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130F" w14:textId="77777777" w:rsidR="00900896" w:rsidRDefault="00900896">
      <w:pPr>
        <w:pStyle w:val="Standard"/>
      </w:pPr>
    </w:p>
    <w:p w14:paraId="095AEE4F" w14:textId="77777777" w:rsidR="00900896" w:rsidRDefault="00900896">
      <w:pPr>
        <w:pStyle w:val="Standard"/>
      </w:pPr>
    </w:p>
    <w:p w14:paraId="00750799" w14:textId="77777777" w:rsidR="00900896" w:rsidRDefault="00900896">
      <w:pPr>
        <w:pStyle w:val="Standard"/>
      </w:pPr>
    </w:p>
    <w:p w14:paraId="24B12338" w14:textId="77777777" w:rsidR="00900896" w:rsidRDefault="00900896">
      <w:pPr>
        <w:pStyle w:val="Standard"/>
      </w:pPr>
    </w:p>
    <w:p w14:paraId="3AA0DC62" w14:textId="77777777" w:rsidR="00900896" w:rsidRDefault="00900896">
      <w:pPr>
        <w:pStyle w:val="Standard"/>
      </w:pPr>
    </w:p>
    <w:p w14:paraId="4833740E" w14:textId="77777777" w:rsidR="00900896" w:rsidRDefault="00900896">
      <w:pPr>
        <w:pStyle w:val="Standard"/>
      </w:pPr>
    </w:p>
    <w:p w14:paraId="78F81426" w14:textId="77777777" w:rsidR="00900896" w:rsidRDefault="00900896">
      <w:pPr>
        <w:pStyle w:val="Standard"/>
      </w:pPr>
    </w:p>
    <w:p w14:paraId="6029F88E" w14:textId="77777777" w:rsidR="00900896" w:rsidRDefault="00C24141">
      <w:pPr>
        <w:pStyle w:val="Standard"/>
      </w:pPr>
      <w:r>
        <w:rPr>
          <w:noProof/>
        </w:rPr>
        <w:drawing>
          <wp:anchor distT="0" distB="0" distL="114300" distR="114300" simplePos="0" relativeHeight="251658240" behindDoc="0" locked="0" layoutInCell="1" allowOverlap="1" wp14:anchorId="472B5F2E" wp14:editId="65EF4F8F">
            <wp:simplePos x="0" y="0"/>
            <wp:positionH relativeFrom="column">
              <wp:posOffset>1317600</wp:posOffset>
            </wp:positionH>
            <wp:positionV relativeFrom="paragraph">
              <wp:posOffset>207000</wp:posOffset>
            </wp:positionV>
            <wp:extent cx="3483720" cy="2444040"/>
            <wp:effectExtent l="0" t="0" r="2430" b="0"/>
            <wp:wrapTopAndBottom/>
            <wp:docPr id="1021539060" name="gráfico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483720" cy="2444040"/>
                    </a:xfrm>
                    <a:prstGeom prst="rect">
                      <a:avLst/>
                    </a:prstGeom>
                  </pic:spPr>
                </pic:pic>
              </a:graphicData>
            </a:graphic>
          </wp:anchor>
        </w:drawing>
      </w:r>
    </w:p>
    <w:p w14:paraId="45313814" w14:textId="77777777" w:rsidR="00900896" w:rsidRDefault="00900896">
      <w:pPr>
        <w:pStyle w:val="Standard"/>
      </w:pPr>
    </w:p>
    <w:p w14:paraId="0C411E9A" w14:textId="77777777" w:rsidR="00900896" w:rsidRDefault="00900896">
      <w:pPr>
        <w:pStyle w:val="Standard"/>
      </w:pPr>
    </w:p>
    <w:p w14:paraId="393FAA6D" w14:textId="77777777" w:rsidR="00900896" w:rsidRDefault="00900896">
      <w:pPr>
        <w:pStyle w:val="Standard"/>
      </w:pPr>
    </w:p>
    <w:p w14:paraId="5A79DF14" w14:textId="77777777" w:rsidR="00900896" w:rsidRDefault="00900896">
      <w:pPr>
        <w:pStyle w:val="Standard"/>
      </w:pPr>
    </w:p>
    <w:p w14:paraId="106FE70C" w14:textId="77777777" w:rsidR="00900896" w:rsidRDefault="00900896">
      <w:pPr>
        <w:pStyle w:val="Standard"/>
      </w:pPr>
    </w:p>
    <w:p w14:paraId="2FFF769A" w14:textId="77777777" w:rsidR="00900896" w:rsidRDefault="00900896">
      <w:pPr>
        <w:pStyle w:val="Standard"/>
      </w:pPr>
    </w:p>
    <w:p w14:paraId="7675B11B" w14:textId="77777777" w:rsidR="00900896" w:rsidRDefault="00900896">
      <w:pPr>
        <w:pStyle w:val="Standard"/>
      </w:pPr>
    </w:p>
    <w:p w14:paraId="1C185DBC" w14:textId="77777777" w:rsidR="00900896" w:rsidRDefault="00900896">
      <w:pPr>
        <w:pStyle w:val="Standard"/>
      </w:pPr>
    </w:p>
    <w:p w14:paraId="6DD0B1C3" w14:textId="77777777" w:rsidR="00900896" w:rsidRDefault="00900896">
      <w:pPr>
        <w:pStyle w:val="Standard"/>
      </w:pPr>
    </w:p>
    <w:p w14:paraId="7A407614" w14:textId="77777777" w:rsidR="00900896" w:rsidRDefault="00900896">
      <w:pPr>
        <w:pStyle w:val="Standard"/>
      </w:pPr>
    </w:p>
    <w:p w14:paraId="15FEE15E" w14:textId="77777777" w:rsidR="00900896" w:rsidRDefault="00C24141">
      <w:pPr>
        <w:pStyle w:val="Tema"/>
      </w:pPr>
      <w:r>
        <w:t>Implementación de un sistema web transaccional con módulos de inteligencia de negocios e inteligencia artificial para la optimización de los procesos operativos y financieros en Impresos Trujillo E.I.R.L.</w:t>
      </w:r>
    </w:p>
    <w:p w14:paraId="6E188F9D" w14:textId="77777777" w:rsidR="00900896" w:rsidRDefault="00C24141">
      <w:pPr>
        <w:pStyle w:val="Ttulo"/>
      </w:pPr>
      <w:r>
        <w:t>Plan de Pruebas Funcionales (PPF) — Sprint 5 / Semana 08</w:t>
      </w:r>
    </w:p>
    <w:p w14:paraId="3F4A6A47" w14:textId="77777777" w:rsidR="00900896" w:rsidRDefault="00900896">
      <w:pPr>
        <w:pStyle w:val="Subttulo"/>
        <w:rPr>
          <w:rFonts w:hint="eastAsia"/>
        </w:rPr>
      </w:pPr>
    </w:p>
    <w:p w14:paraId="24DC0388" w14:textId="77777777" w:rsidR="00900896" w:rsidRDefault="00900896">
      <w:pPr>
        <w:pStyle w:val="Textbody"/>
      </w:pPr>
    </w:p>
    <w:p w14:paraId="278034CD" w14:textId="77777777" w:rsidR="00900896" w:rsidRDefault="00900896">
      <w:pPr>
        <w:pStyle w:val="Textbody"/>
      </w:pPr>
    </w:p>
    <w:p w14:paraId="7C765F61" w14:textId="77777777" w:rsidR="00900896" w:rsidRDefault="00900896">
      <w:pPr>
        <w:pStyle w:val="Textbody"/>
      </w:pPr>
    </w:p>
    <w:p w14:paraId="6436144E" w14:textId="77777777" w:rsidR="00900896" w:rsidRDefault="00900896">
      <w:pPr>
        <w:pStyle w:val="Textbody"/>
      </w:pPr>
    </w:p>
    <w:p w14:paraId="09B5EF26" w14:textId="77777777" w:rsidR="00900896" w:rsidRDefault="00C24141">
      <w:pPr>
        <w:pStyle w:val="Notaalpi"/>
      </w:pPr>
      <w:r>
        <w:t xml:space="preserve">Versión: </w:t>
      </w:r>
      <w:r>
        <w:fldChar w:fldCharType="begin"/>
      </w:r>
      <w:r>
        <w:instrText xml:space="preserve"> KEYWORDS </w:instrText>
      </w:r>
      <w:r>
        <w:fldChar w:fldCharType="separate"/>
      </w:r>
      <w:r>
        <w:t>0100</w:t>
      </w:r>
      <w:r>
        <w:fldChar w:fldCharType="end"/>
      </w:r>
    </w:p>
    <w:p w14:paraId="23A42D1E" w14:textId="77777777" w:rsidR="00900896" w:rsidRDefault="00C24141">
      <w:pPr>
        <w:pStyle w:val="Notaalpi"/>
      </w:pPr>
      <w:r>
        <w:t>Fecha: 16/10/2026</w:t>
      </w:r>
    </w:p>
    <w:p w14:paraId="6C63A718" w14:textId="77777777" w:rsidR="00900896" w:rsidRDefault="00900896">
      <w:pPr>
        <w:pStyle w:val="Notaalpi"/>
      </w:pPr>
    </w:p>
    <w:p w14:paraId="460E43B2" w14:textId="77777777" w:rsidR="00900896" w:rsidRDefault="00900896">
      <w:pPr>
        <w:pStyle w:val="Notaalpi"/>
      </w:pPr>
    </w:p>
    <w:p w14:paraId="2C47E6CC" w14:textId="77777777" w:rsidR="00900896" w:rsidRDefault="00C24141">
      <w:pPr>
        <w:pStyle w:val="Notaalpi"/>
        <w:jc w:val="left"/>
      </w:pPr>
      <w:r>
        <w:t>Versión del Software: Incremento Sprint 5 (Angular 21 + FastAPI + PostgreSQL 16 nativo)</w:t>
      </w:r>
    </w:p>
    <w:tbl>
      <w:tblPr>
        <w:tblW w:w="9637" w:type="dxa"/>
        <w:tblLayout w:type="fixed"/>
        <w:tblCellMar>
          <w:left w:w="10" w:type="dxa"/>
          <w:right w:w="10" w:type="dxa"/>
        </w:tblCellMar>
        <w:tblLook w:val="04A0" w:firstRow="1" w:lastRow="0" w:firstColumn="1" w:lastColumn="0" w:noHBand="0" w:noVBand="1"/>
      </w:tblPr>
      <w:tblGrid>
        <w:gridCol w:w="9637"/>
      </w:tblGrid>
      <w:tr w:rsidR="00900896" w14:paraId="5B23FE9A" w14:textId="77777777">
        <w:tblPrEx>
          <w:tblCellMar>
            <w:top w:w="0" w:type="dxa"/>
            <w:bottom w:w="0" w:type="dxa"/>
          </w:tblCellMar>
        </w:tblPrEx>
        <w:tc>
          <w:tcPr>
            <w:tcW w:w="9637" w:type="dxa"/>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tcPr>
          <w:p w14:paraId="5D6DDF7F" w14:textId="77777777" w:rsidR="00900896" w:rsidRDefault="00C24141">
            <w:pPr>
              <w:pStyle w:val="Textbody"/>
              <w:rPr>
                <w:color w:val="000000"/>
              </w:rPr>
            </w:pPr>
            <w:r>
              <w:rPr>
                <w:color w:val="000000"/>
              </w:rPr>
              <w:t>Queda prohibido cualquier tipo de explotación y, en particular, la reproducción, distribución, comunicación pública y/o transformación, total o parcial, por cualquier medio, de este documento sin el previo consentimiento expreso y por escrito de la Junta de Andalucía.</w:t>
            </w:r>
          </w:p>
        </w:tc>
      </w:tr>
    </w:tbl>
    <w:p w14:paraId="0EEB3044" w14:textId="77777777" w:rsidR="00900896" w:rsidRDefault="00900896">
      <w:pPr>
        <w:pStyle w:val="Notaalpi"/>
        <w:sectPr w:rsidR="00900896">
          <w:pgSz w:w="11905" w:h="16837"/>
          <w:pgMar w:top="1134" w:right="1134" w:bottom="1134" w:left="1134" w:header="720" w:footer="720" w:gutter="0"/>
          <w:cols w:space="720"/>
        </w:sectPr>
      </w:pPr>
    </w:p>
    <w:p w14:paraId="6FA75DC4" w14:textId="77777777" w:rsidR="00900896" w:rsidRDefault="00900896">
      <w:pPr>
        <w:pStyle w:val="Heading"/>
      </w:pPr>
    </w:p>
    <w:p w14:paraId="02C529D5" w14:textId="77777777" w:rsidR="00900896" w:rsidRDefault="00C24141">
      <w:pPr>
        <w:pStyle w:val="HojadeControl"/>
        <w:jc w:val="center"/>
      </w:pPr>
      <w:r>
        <w:t>HOJA DE CONTROL</w:t>
      </w:r>
    </w:p>
    <w:p w14:paraId="60E28D25" w14:textId="77777777" w:rsidR="00900896" w:rsidRDefault="00900896">
      <w:pPr>
        <w:pStyle w:val="Textbody"/>
      </w:pPr>
    </w:p>
    <w:p w14:paraId="6E4DAA32" w14:textId="77777777" w:rsidR="00900896" w:rsidRDefault="00900896">
      <w:pPr>
        <w:pStyle w:val="Standard"/>
      </w:pPr>
    </w:p>
    <w:tbl>
      <w:tblPr>
        <w:tblW w:w="9071" w:type="dxa"/>
        <w:tblLayout w:type="fixed"/>
        <w:tblCellMar>
          <w:left w:w="10" w:type="dxa"/>
          <w:right w:w="10" w:type="dxa"/>
        </w:tblCellMar>
        <w:tblLook w:val="04A0" w:firstRow="1" w:lastRow="0" w:firstColumn="1" w:lastColumn="0" w:noHBand="0" w:noVBand="1"/>
      </w:tblPr>
      <w:tblGrid>
        <w:gridCol w:w="2208"/>
        <w:gridCol w:w="3002"/>
        <w:gridCol w:w="2199"/>
        <w:gridCol w:w="1662"/>
      </w:tblGrid>
      <w:tr w:rsidR="00900896" w14:paraId="41885FAE" w14:textId="77777777">
        <w:tblPrEx>
          <w:tblCellMar>
            <w:top w:w="0" w:type="dxa"/>
            <w:bottom w:w="0" w:type="dxa"/>
          </w:tblCellMar>
        </w:tblPrEx>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4872445" w14:textId="77777777" w:rsidR="00900896" w:rsidRDefault="00C24141">
            <w:pPr>
              <w:pStyle w:val="TableContents"/>
              <w:rPr>
                <w:b/>
                <w:bCs/>
              </w:rPr>
            </w:pPr>
            <w:r>
              <w:rPr>
                <w:rFonts w:ascii="NewsGotT" w:hAnsi="NewsGotT"/>
                <w:b/>
                <w:bCs/>
                <w:sz w:val="19"/>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Universidad Privada del Norte (UPN) / Impresos Trujillo E.I.R.L.</w:t>
            </w:r>
          </w:p>
        </w:tc>
      </w:tr>
      <w:tr w:rsidR="00900896" w14:paraId="61EF921C"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7CB7167" w14:textId="77777777" w:rsidR="00900896" w:rsidRDefault="00C24141">
            <w:pPr>
              <w:pStyle w:val="TableContents"/>
              <w:rPr>
                <w:b/>
                <w:bCs/>
              </w:rPr>
            </w:pPr>
            <w:r>
              <w:rPr>
                <w:rFonts w:ascii="NewsGotT" w:hAnsi="NewsGotT"/>
                <w:b/>
                <w:bCs/>
                <w:sz w:val="19"/>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Implementación de un sistema web transaccional con módulos de inteligencia de negocios e inteligencia artificial para la optimización de los procesos operativos y financieros en Impresos Trujillo E.I.R.L.</w:t>
            </w:r>
          </w:p>
        </w:tc>
      </w:tr>
      <w:tr w:rsidR="00900896" w14:paraId="2802F15C"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EC53781" w14:textId="77777777" w:rsidR="00900896" w:rsidRDefault="00C24141">
            <w:pPr>
              <w:pStyle w:val="TableContents"/>
              <w:rPr>
                <w:b/>
                <w:bCs/>
              </w:rPr>
            </w:pPr>
            <w:r>
              <w:rPr>
                <w:rFonts w:ascii="NewsGotT" w:hAnsi="NewsGotT"/>
                <w:b/>
                <w:bCs/>
                <w:sz w:val="19"/>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Plan de Pruebas Funcionales (PPF) — Sprint 5</w:t>
            </w:r>
          </w:p>
        </w:tc>
      </w:tr>
      <w:tr w:rsidR="00900896" w14:paraId="59945CF6"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3F20C4C" w14:textId="77777777" w:rsidR="00900896" w:rsidRDefault="00C24141">
            <w:pPr>
              <w:pStyle w:val="TableContents"/>
              <w:rPr>
                <w:b/>
                <w:bCs/>
              </w:rPr>
            </w:pPr>
            <w:r>
              <w:rPr>
                <w:rFonts w:ascii="NewsGotT" w:hAnsi="NewsGotT"/>
                <w:b/>
                <w:bCs/>
                <w:sz w:val="19"/>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Gerardo Erick Plasencia Torres, Jose Diego Rodríguez Vásquez, Jose Estibb Anhuaman Delgado</w:t>
            </w:r>
          </w:p>
        </w:tc>
      </w:tr>
      <w:tr w:rsidR="00900896" w14:paraId="58CE94D0"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BBF2395" w14:textId="77777777" w:rsidR="00900896" w:rsidRDefault="00C24141">
            <w:pPr>
              <w:pStyle w:val="TableContents"/>
              <w:rPr>
                <w:b/>
                <w:bCs/>
              </w:rPr>
            </w:pPr>
            <w:r>
              <w:rPr>
                <w:rFonts w:ascii="NewsGotT" w:hAnsi="NewsGotT"/>
                <w:b/>
                <w:bCs/>
                <w:sz w:val="19"/>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r>
              <w:rPr>
                <w:rFonts w:ascii="NewsGotT" w:hAnsi="NewsGotT"/>
                <w:sz w:val="19"/>
              </w:rPr>
              <w:t>0100 (v1.0)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0D063F1" w14:textId="77777777" w:rsidR="00900896" w:rsidRDefault="00C24141">
            <w:pPr>
              <w:pStyle w:val="TableContents"/>
              <w:rPr>
                <w:b/>
                <w:bCs/>
              </w:rPr>
            </w:pPr>
            <w:r>
              <w:rPr>
                <w:rFonts w:ascii="NewsGotT" w:hAnsi="NewsGotT"/>
                <w:b/>
                <w:bCs/>
                <w:sz w:val="19"/>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16/10/2026</w:t>
            </w:r>
          </w:p>
        </w:tc>
      </w:tr>
      <w:tr w:rsidR="00900896" w14:paraId="72ABFBEE"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82FC79B" w14:textId="77777777" w:rsidR="00900896" w:rsidRDefault="00C24141">
            <w:pPr>
              <w:pStyle w:val="TableContents"/>
              <w:rPr>
                <w:b/>
                <w:bCs/>
              </w:rPr>
            </w:pPr>
            <w:r>
              <w:rPr>
                <w:rFonts w:ascii="NewsGotT" w:hAnsi="NewsGotT"/>
                <w:b/>
                <w:bCs/>
                <w:sz w:val="19"/>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r>
              <w:rPr>
                <w:rFonts w:ascii="NewsGotT" w:hAnsi="NewsGotT"/>
                <w:sz w:val="19"/>
              </w:rPr>
              <w:t>Marcell Magaly Vásquez Loje (PO) &amp; Ángel Almilcar Rodríguez Vásquez (Jefe Taller)</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B49CC5E" w14:textId="77777777" w:rsidR="00900896" w:rsidRDefault="00C24141">
            <w:pPr>
              <w:pStyle w:val="TableContents"/>
              <w:rPr>
                <w:b/>
                <w:bCs/>
              </w:rPr>
            </w:pPr>
            <w:r>
              <w:rPr>
                <w:rFonts w:ascii="NewsGotT" w:hAnsi="NewsGotT"/>
                <w:b/>
                <w:bCs/>
                <w:sz w:val="19"/>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16/10/2026</w:t>
            </w:r>
          </w:p>
        </w:tc>
      </w:tr>
      <w:tr w:rsidR="00900896" w14:paraId="5AB908C8" w14:textId="77777777">
        <w:tblPrEx>
          <w:tblCellMar>
            <w:top w:w="0" w:type="dxa"/>
            <w:bottom w:w="0" w:type="dxa"/>
          </w:tblCellMar>
        </w:tblPrEx>
        <w:tc>
          <w:tcPr>
            <w:tcW w:w="2208" w:type="dxa"/>
            <w:tcBorders>
              <w:left w:val="single" w:sz="4" w:space="0" w:color="808080"/>
              <w:bottom w:val="single" w:sz="4" w:space="0" w:color="808080"/>
            </w:tcBorders>
            <w:tcMar>
              <w:top w:w="55" w:type="dxa"/>
              <w:left w:w="55" w:type="dxa"/>
              <w:bottom w:w="55" w:type="dxa"/>
              <w:right w:w="55" w:type="dxa"/>
            </w:tcMar>
            <w:vAlign w:val="center"/>
          </w:tcPr>
          <w:p w14:paraId="4AECC79B" w14:textId="77777777" w:rsidR="00900896" w:rsidRDefault="00900896">
            <w:pPr>
              <w:pStyle w:val="TableContents"/>
              <w:rPr>
                <w:b/>
                <w:bCs/>
              </w:rPr>
            </w:pP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78B25FBE" w14:textId="77777777" w:rsidR="00900896" w:rsidRDefault="00900896">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E100570" w14:textId="77777777" w:rsidR="00900896" w:rsidRDefault="00C24141">
            <w:pPr>
              <w:pStyle w:val="TableContents"/>
              <w:rPr>
                <w:b/>
                <w:bCs/>
              </w:rPr>
            </w:pPr>
            <w:r>
              <w:rPr>
                <w:rFonts w:ascii="NewsGotT" w:hAnsi="NewsGotT"/>
                <w:b/>
                <w:bCs/>
                <w:sz w:val="19"/>
              </w:rPr>
              <w:t>Nº Total de Páginas</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16</w:t>
            </w:r>
          </w:p>
        </w:tc>
      </w:tr>
    </w:tbl>
    <w:p w14:paraId="0792B567" w14:textId="77777777" w:rsidR="00900896" w:rsidRDefault="00900896">
      <w:pPr>
        <w:pStyle w:val="Standard"/>
      </w:pPr>
    </w:p>
    <w:p w14:paraId="2245F49B" w14:textId="77777777" w:rsidR="00900896" w:rsidRDefault="00900896">
      <w:pPr>
        <w:pStyle w:val="Standard"/>
        <w:rPr>
          <w:sz w:val="24"/>
        </w:rPr>
      </w:pPr>
    </w:p>
    <w:p w14:paraId="70C59D05" w14:textId="77777777" w:rsidR="00900896" w:rsidRDefault="00C24141">
      <w:pPr>
        <w:pStyle w:val="Standard"/>
        <w:rPr>
          <w:sz w:val="24"/>
        </w:rPr>
      </w:pPr>
      <w:r>
        <w:rPr>
          <w:sz w:val="24"/>
        </w:rPr>
        <w:t>REGISTRO DE CAMBIOS</w:t>
      </w:r>
    </w:p>
    <w:p w14:paraId="6825CA4A" w14:textId="77777777" w:rsidR="00900896" w:rsidRDefault="00900896">
      <w:pPr>
        <w:pStyle w:val="Standard"/>
      </w:pPr>
    </w:p>
    <w:tbl>
      <w:tblPr>
        <w:tblW w:w="9071" w:type="dxa"/>
        <w:tblInd w:w="-6" w:type="dxa"/>
        <w:tblLayout w:type="fixed"/>
        <w:tblCellMar>
          <w:left w:w="10" w:type="dxa"/>
          <w:right w:w="10" w:type="dxa"/>
        </w:tblCellMar>
        <w:tblLook w:val="04A0" w:firstRow="1" w:lastRow="0" w:firstColumn="1" w:lastColumn="0" w:noHBand="0" w:noVBand="1"/>
      </w:tblPr>
      <w:tblGrid>
        <w:gridCol w:w="1223"/>
        <w:gridCol w:w="2533"/>
        <w:gridCol w:w="3646"/>
        <w:gridCol w:w="1669"/>
      </w:tblGrid>
      <w:tr w:rsidR="00900896" w14:paraId="3D272C0B" w14:textId="77777777">
        <w:tblPrEx>
          <w:tblCellMar>
            <w:top w:w="0" w:type="dxa"/>
            <w:bottom w:w="0" w:type="dxa"/>
          </w:tblCellMar>
        </w:tblPrEx>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CCE744B" w14:textId="77777777" w:rsidR="00900896" w:rsidRDefault="00C24141">
            <w:pPr>
              <w:pStyle w:val="TableContents"/>
              <w:jc w:val="center"/>
              <w:rPr>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7501AF0" w14:textId="77777777" w:rsidR="00900896" w:rsidRDefault="00C24141">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7266426" w14:textId="77777777" w:rsidR="00900896" w:rsidRDefault="00C24141">
            <w:pPr>
              <w:pStyle w:val="TableContents"/>
              <w:jc w:val="cente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6DCBC0D" w14:textId="77777777" w:rsidR="00900896" w:rsidRDefault="00C24141">
            <w:pPr>
              <w:pStyle w:val="TableContents"/>
              <w:jc w:val="center"/>
              <w:rPr>
                <w:b/>
                <w:bCs/>
              </w:rPr>
            </w:pPr>
            <w:r>
              <w:rPr>
                <w:b/>
                <w:bCs/>
              </w:rPr>
              <w:t>Fecha del Cambio</w:t>
            </w:r>
          </w:p>
        </w:tc>
      </w:tr>
      <w:tr w:rsidR="00900896" w14:paraId="7A536610" w14:textId="77777777">
        <w:tblPrEx>
          <w:tblCellMar>
            <w:top w:w="0" w:type="dxa"/>
            <w:bottom w:w="0" w:type="dxa"/>
          </w:tblCellMar>
        </w:tblPrEx>
        <w:tc>
          <w:tcPr>
            <w:tcW w:w="1223" w:type="dxa"/>
            <w:tcBorders>
              <w:left w:val="single" w:sz="4" w:space="0" w:color="808080"/>
              <w:bottom w:val="single" w:sz="4" w:space="0" w:color="808080"/>
            </w:tcBorders>
            <w:tcMar>
              <w:top w:w="55" w:type="dxa"/>
              <w:left w:w="55" w:type="dxa"/>
              <w:bottom w:w="55" w:type="dxa"/>
              <w:right w:w="55" w:type="dxa"/>
            </w:tcMar>
            <w:vAlign w:val="center"/>
          </w:tcPr>
          <w:p>
            <w:r>
              <w:rPr>
                <w:rFonts w:ascii="NewsGotT" w:hAnsi="NewsGotT"/>
                <w:sz w:val="19"/>
              </w:rPr>
              <w:t>0100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r>
              <w:rPr>
                <w:rFonts w:ascii="NewsGotT" w:hAnsi="NewsGotT"/>
                <w:sz w:val="19"/>
              </w:rPr>
              <w:t>Elaboración y ejecución del Plan de Pruebas Funcionales (PPF) con matriz de trazabilidad completa (RF-01 a RF-16 vs CP-01 a CP-08), 8 casos detallados paso a paso con ¿Prueba de Despliegue? = NO y especificación de entorno mínimo operable.</w:t>
            </w:r>
          </w:p>
        </w:tc>
        <w:tc>
          <w:tcPr>
            <w:tcW w:w="3646" w:type="dxa"/>
            <w:tcBorders>
              <w:left w:val="single" w:sz="4" w:space="0" w:color="808080"/>
              <w:bottom w:val="single" w:sz="4" w:space="0" w:color="808080"/>
            </w:tcBorders>
            <w:tcMar>
              <w:top w:w="55" w:type="dxa"/>
              <w:left w:w="55" w:type="dxa"/>
              <w:bottom w:w="55" w:type="dxa"/>
              <w:right w:w="55" w:type="dxa"/>
            </w:tcMar>
            <w:vAlign w:val="center"/>
          </w:tcPr>
          <w:p>
            <w:r>
              <w:rPr>
                <w:rFonts w:ascii="NewsGotT" w:hAnsi="NewsGotT"/>
                <w:sz w:val="19"/>
              </w:rPr>
              <w:t>Gerardo Plasencia Torres</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16/10/2026</w:t>
            </w:r>
          </w:p>
        </w:tc>
      </w:tr>
      <w:tr w:rsidR="00900896" w14:paraId="20EBA092" w14:textId="77777777">
        <w:tblPrEx>
          <w:tblCellMar>
            <w:top w:w="0" w:type="dxa"/>
            <w:bottom w:w="0" w:type="dxa"/>
          </w:tblCellMar>
        </w:tblPrEx>
        <w:tc>
          <w:tcPr>
            <w:tcW w:w="1223" w:type="dxa"/>
            <w:tcBorders>
              <w:left w:val="single" w:sz="4" w:space="0" w:color="808080"/>
              <w:bottom w:val="single" w:sz="4" w:space="0" w:color="808080"/>
            </w:tcBorders>
            <w:tcMar>
              <w:top w:w="55" w:type="dxa"/>
              <w:left w:w="55" w:type="dxa"/>
              <w:bottom w:w="55" w:type="dxa"/>
              <w:right w:w="55" w:type="dxa"/>
            </w:tcMar>
            <w:vAlign w:val="center"/>
          </w:tcPr>
          <w:p w14:paraId="6C7F7656" w14:textId="77777777" w:rsidR="00900896" w:rsidRDefault="00900896">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0EBAB43" w14:textId="77777777" w:rsidR="00900896" w:rsidRDefault="00900896">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1C162A72" w14:textId="77777777" w:rsidR="00900896" w:rsidRDefault="00900896">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96709B2" w14:textId="77777777" w:rsidR="00900896" w:rsidRDefault="00900896">
            <w:pPr>
              <w:pStyle w:val="TableContents"/>
              <w:jc w:val="center"/>
            </w:pPr>
          </w:p>
        </w:tc>
      </w:tr>
      <w:tr w:rsidR="00900896" w14:paraId="06E4560B" w14:textId="77777777">
        <w:tblPrEx>
          <w:tblCellMar>
            <w:top w:w="0" w:type="dxa"/>
            <w:bottom w:w="0" w:type="dxa"/>
          </w:tblCellMar>
        </w:tblPrEx>
        <w:tc>
          <w:tcPr>
            <w:tcW w:w="1223" w:type="dxa"/>
            <w:tcBorders>
              <w:left w:val="single" w:sz="4" w:space="0" w:color="808080"/>
              <w:bottom w:val="single" w:sz="4" w:space="0" w:color="808080"/>
            </w:tcBorders>
            <w:tcMar>
              <w:top w:w="55" w:type="dxa"/>
              <w:left w:w="55" w:type="dxa"/>
              <w:bottom w:w="55" w:type="dxa"/>
              <w:right w:w="55" w:type="dxa"/>
            </w:tcMar>
            <w:vAlign w:val="center"/>
          </w:tcPr>
          <w:p w14:paraId="0A7BCFA4" w14:textId="77777777" w:rsidR="00900896" w:rsidRDefault="00900896">
            <w:pPr>
              <w:pStyle w:val="TableContents"/>
              <w:jc w:val="cente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4AD98ECF" w14:textId="77777777" w:rsidR="00900896" w:rsidRDefault="00900896">
            <w:pPr>
              <w:pStyle w:val="TableContents"/>
              <w:jc w:val="cente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174878F0" w14:textId="77777777" w:rsidR="00900896" w:rsidRDefault="00900896">
            <w:pPr>
              <w:pStyle w:val="TableContents"/>
              <w:jc w:val="cente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2544B94" w14:textId="77777777" w:rsidR="00900896" w:rsidRDefault="00900896">
            <w:pPr>
              <w:pStyle w:val="TableContents"/>
              <w:jc w:val="center"/>
            </w:pPr>
          </w:p>
        </w:tc>
      </w:tr>
    </w:tbl>
    <w:p w14:paraId="00C59F58" w14:textId="77777777" w:rsidR="00900896" w:rsidRDefault="00900896">
      <w:pPr>
        <w:pStyle w:val="Standard"/>
      </w:pPr>
    </w:p>
    <w:p w14:paraId="387EA10D" w14:textId="77777777" w:rsidR="00900896" w:rsidRDefault="00900896">
      <w:pPr>
        <w:pStyle w:val="Standard"/>
        <w:rPr>
          <w:sz w:val="24"/>
        </w:rPr>
      </w:pPr>
    </w:p>
    <w:p w14:paraId="6CF53E65" w14:textId="77777777" w:rsidR="00900896" w:rsidRDefault="00C24141">
      <w:pPr>
        <w:pStyle w:val="Standard"/>
        <w:rPr>
          <w:sz w:val="24"/>
        </w:rPr>
      </w:pPr>
      <w:r>
        <w:rPr>
          <w:sz w:val="24"/>
        </w:rPr>
        <w:t xml:space="preserve">CONTROL DE </w:t>
      </w:r>
      <w:r>
        <w:rPr>
          <w:sz w:val="24"/>
        </w:rPr>
        <w:t>DISTRIBUCIÓN</w:t>
      </w:r>
    </w:p>
    <w:p w14:paraId="1767A9B9" w14:textId="77777777" w:rsidR="00900896" w:rsidRDefault="00900896">
      <w:pPr>
        <w:pStyle w:val="Standard"/>
      </w:pPr>
    </w:p>
    <w:tbl>
      <w:tblPr>
        <w:tblW w:w="9071" w:type="dxa"/>
        <w:tblInd w:w="-6" w:type="dxa"/>
        <w:tblLayout w:type="fixed"/>
        <w:tblCellMar>
          <w:left w:w="10" w:type="dxa"/>
          <w:right w:w="10" w:type="dxa"/>
        </w:tblCellMar>
        <w:tblLook w:val="04A0" w:firstRow="1" w:lastRow="0" w:firstColumn="1" w:lastColumn="0" w:noHBand="0" w:noVBand="1"/>
      </w:tblPr>
      <w:tblGrid>
        <w:gridCol w:w="9071"/>
      </w:tblGrid>
      <w:tr w:rsidR="00900896" w14:paraId="76D08636" w14:textId="77777777">
        <w:tblPrEx>
          <w:tblCellMar>
            <w:top w:w="0" w:type="dxa"/>
            <w:bottom w:w="0" w:type="dxa"/>
          </w:tblCellMar>
        </w:tblPrEx>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7EE6C996" w14:textId="77777777" w:rsidR="00900896" w:rsidRDefault="00C24141">
            <w:pPr>
              <w:pStyle w:val="TableContents"/>
              <w:rPr>
                <w:b/>
                <w:bCs/>
              </w:rPr>
            </w:pPr>
            <w:r>
              <w:rPr>
                <w:b/>
                <w:bCs/>
              </w:rPr>
              <w:t>Nombre y Apellidos</w:t>
            </w:r>
          </w:p>
        </w:tc>
      </w:tr>
      <w:tr w:rsidR="00900896" w14:paraId="4790F5EF"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Marcell Magaly Vásquez Loje — Gerente de Administración / Product Owner (Impresos Trujillo E.I.R.L.)</w:t>
            </w:r>
          </w:p>
        </w:tc>
      </w:tr>
      <w:tr w:rsidR="00900896" w14:paraId="38B5686B"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Ángel Almilcar Rodríguez Vásquez — Gerente Operativo / Jefe de Taller (Impresos Trujillo E.I.R.L.)</w:t>
            </w:r>
          </w:p>
        </w:tc>
      </w:tr>
      <w:tr w:rsidR="00900896" w14:paraId="48E4CB3F"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Ing. José Alberto Gómez Ávila — Docente Asesor / Cátedra Capstone UPN</w:t>
            </w:r>
          </w:p>
        </w:tc>
      </w:tr>
      <w:tr w:rsidR="00900896" w14:paraId="5E9175C8"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Gerardo Erick Plasencia Torres — Líder de Proyecto / Full Stack Developer</w:t>
            </w:r>
          </w:p>
        </w:tc>
      </w:tr>
      <w:tr w:rsidR="00900896" w14:paraId="43955F21"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r>
              <w:rPr>
                <w:rFonts w:ascii="NewsGotT" w:hAnsi="NewsGotT"/>
                <w:sz w:val="19"/>
              </w:rPr>
              <w:t>Jose Diego Rodríguez Vásquez &amp; Jose Estibb Anhuaman Delgado — Equipo de Desarrollo Backend y Frontend</w:t>
            </w:r>
          </w:p>
        </w:tc>
      </w:tr>
    </w:tbl>
    <w:p w14:paraId="546F3F2B" w14:textId="77777777" w:rsidR="00900896" w:rsidRDefault="00900896">
      <w:pPr>
        <w:pStyle w:val="Standard"/>
      </w:pPr>
    </w:p>
    <w:p w14:paraId="4AD727B7" w14:textId="77777777" w:rsidR="00900896" w:rsidRDefault="00900896">
      <w:pPr>
        <w:pStyle w:val="Standard"/>
      </w:pPr>
    </w:p>
    <w:p w14:paraId="3B1B822E" w14:textId="77777777" w:rsidR="00900896" w:rsidRDefault="00900896">
      <w:pPr>
        <w:pStyle w:val="Standard"/>
      </w:pPr>
    </w:p>
    <w:p w14:paraId="295DEB5D" w14:textId="77777777" w:rsidR="00900896" w:rsidRDefault="00900896">
      <w:pPr>
        <w:pStyle w:val="Standard"/>
      </w:pPr>
    </w:p>
    <w:p w14:paraId="131B21A9" w14:textId="77777777" w:rsidR="00900896" w:rsidRDefault="00900896">
      <w:pPr>
        <w:pStyle w:val="Standard"/>
      </w:pPr>
    </w:p>
    <w:p w14:paraId="12E6FFD4" w14:textId="77777777" w:rsidR="00900896" w:rsidRDefault="00900896">
      <w:pPr>
        <w:pStyle w:val="Textbody"/>
        <w:pageBreakBefore/>
      </w:pPr>
    </w:p>
    <w:p w14:paraId="42F11AAB" w14:textId="77777777" w:rsidR="00900896" w:rsidRDefault="00C24141">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3698E3DE" w14:textId="77777777" w:rsidR="00900896" w:rsidRDefault="00C24141">
      <w:pPr>
        <w:pStyle w:val="Contents1"/>
        <w:tabs>
          <w:tab w:val="clear" w:pos="9128"/>
          <w:tab w:val="right" w:leader="dot" w:pos="9071"/>
        </w:tabs>
      </w:pPr>
      <w:hyperlink r:id="rId8" w:history="1">
        <w:r>
          <w:t>1 INTRODUCCIÓN</w:t>
        </w:r>
        <w:r>
          <w:tab/>
          <w:t>4</w:t>
        </w:r>
      </w:hyperlink>
    </w:p>
    <w:p w14:paraId="226A9C02" w14:textId="77777777" w:rsidR="00900896" w:rsidRDefault="00C24141">
      <w:pPr>
        <w:pStyle w:val="Contents2"/>
      </w:pPr>
      <w:hyperlink r:id="rId9" w:history="1">
        <w:r>
          <w:t>1.1 Objeto</w:t>
        </w:r>
        <w:r>
          <w:tab/>
          <w:t>4</w:t>
        </w:r>
      </w:hyperlink>
    </w:p>
    <w:p w14:paraId="6EEFC2D4" w14:textId="77777777" w:rsidR="00900896" w:rsidRDefault="00C24141">
      <w:pPr>
        <w:pStyle w:val="Contents2"/>
      </w:pPr>
      <w:hyperlink r:id="rId10" w:history="1">
        <w:r>
          <w:t>1.2 Alcance</w:t>
        </w:r>
        <w:r>
          <w:tab/>
          <w:t>4</w:t>
        </w:r>
      </w:hyperlink>
    </w:p>
    <w:p w14:paraId="7F123181" w14:textId="77777777" w:rsidR="00900896" w:rsidRDefault="00C24141">
      <w:pPr>
        <w:pStyle w:val="Contents1"/>
        <w:tabs>
          <w:tab w:val="clear" w:pos="9128"/>
          <w:tab w:val="right" w:leader="dot" w:pos="9071"/>
        </w:tabs>
      </w:pPr>
      <w:hyperlink r:id="rId11" w:history="1">
        <w:r>
          <w:t>2 TRAZABILIDAD DE CASOS DE PRUEBAS – REQUISITOS</w:t>
        </w:r>
        <w:r>
          <w:tab/>
          <w:t>5</w:t>
        </w:r>
      </w:hyperlink>
    </w:p>
    <w:p w14:paraId="780210AE" w14:textId="77777777" w:rsidR="00900896" w:rsidRDefault="00C24141">
      <w:pPr>
        <w:pStyle w:val="Contents1"/>
        <w:tabs>
          <w:tab w:val="clear" w:pos="9128"/>
          <w:tab w:val="right" w:leader="dot" w:pos="9071"/>
        </w:tabs>
      </w:pPr>
      <w:hyperlink r:id="rId12" w:history="1">
        <w:r>
          <w:t>3 DEFINICIÓN DE LOS CASOS DE PRUEBAS</w:t>
        </w:r>
        <w:r>
          <w:tab/>
          <w:t>6</w:t>
        </w:r>
      </w:hyperlink>
    </w:p>
    <w:p w14:paraId="0246D5EE" w14:textId="77777777" w:rsidR="00900896" w:rsidRDefault="00C24141">
      <w:pPr>
        <w:pStyle w:val="Contents1"/>
        <w:tabs>
          <w:tab w:val="clear" w:pos="9128"/>
          <w:tab w:val="right" w:leader="dot" w:pos="9071"/>
        </w:tabs>
      </w:pPr>
      <w:hyperlink r:id="rId13" w:history="1">
        <w:r>
          <w:t>4 ESTRATEGIA DE EJECUCIÓN DE PRUEBAS</w:t>
        </w:r>
        <w:r>
          <w:tab/>
          <w:t>7</w:t>
        </w:r>
      </w:hyperlink>
    </w:p>
    <w:p w14:paraId="7289C288" w14:textId="77777777" w:rsidR="00900896" w:rsidRDefault="00C24141">
      <w:pPr>
        <w:pStyle w:val="Contents1"/>
        <w:tabs>
          <w:tab w:val="clear" w:pos="9128"/>
          <w:tab w:val="right" w:leader="dot" w:pos="9071"/>
        </w:tabs>
      </w:pPr>
      <w:r>
        <w:t>La estrategia de pruebas funcionales se fundamenta en la verificación del mínimo operable en el entorno local contenerizado de pruebas, asegurando que el sistema ejecute de manera confiable bajo restricciones reales de infraestructura de micro y pequeña empresa gráfica.</w:t>
        <w:br/>
        <w:br/>
        <w:t>4.1 Especificación del Mínimo Operable</w:t>
        <w:br/>
        <w:t>• Requerimientos Mínimos de Hardware:</w:t>
        <w:br/>
        <w:t xml:space="preserve">   - Memoria RAM: 4.0 GB de memoria física disponible (8.0 GB recomendados para soporte fluido de contenedores Docker).</w:t>
        <w:br/>
        <w:t xml:space="preserve">   - Procesador (CPU): Intel Core i3 de 10ma Generación / AMD Ryzen 3 (2.0 GHz o superior, mínimo 2 núcleos físicos / 4 hilos).</w:t>
        <w:br/>
        <w:t xml:space="preserve">   - Almacenamiento: 5.0 GB de espacio libre en disco rígido o unidad de estado sólido (SSD) para imágenes Docker y volúmenes de base de datos relacional.</w:t>
        <w:br/>
        <w:t xml:space="preserve">   - Pantalla: Resolución nativa de 1366 x 768 píxeles (formato estándar de terminales de mostrador de imprenta; interfaz adaptativa responsive).</w:t>
        <w:br/>
        <w:t xml:space="preserve">   - Conectividad: Interfaz de red Ethernet 100 Mbps o Wi-Fi 802.11 b/g/n para acceso en red local de taller.</w:t>
        <w:br/>
        <w:br/>
        <w:t>• Requerimientos Mínimos de Software:</w:t>
        <w:br/>
        <w:t xml:space="preserve">   - Sistema Operativo: Microsoft Windows 10/11 Professional (x64) o Ubuntu Linux 22.04 LTS (x64).</w:t>
        <w:br/>
        <w:t xml:space="preserve">   - Motor de Contenedores: Docker Desktop versión 4.28+ / Docker Engine versión 24.0+ con Docker Compose v2.</w:t>
        <w:br/>
        <w:t xml:space="preserve">   - Navegadores Web Soportados: Google Chrome versión 120.0+, Microsoft Edge versión 120.0+, Mozilla Firefox versión 121.0+.</w:t>
        <w:br/>
        <w:t xml:space="preserve">   - Base de Datos Relacional: PostgreSQL 16.x nativo en contenedor con codificación UTF-8.</w:t>
        <w:br/>
        <w:t xml:space="preserve">   - Suite de Ofimática: Microsoft Office 2021 LTSC o LibreOffice versión 7.6+ para apertura y auditoría de archivos .xlsx descargados.</w:t>
        <w:br/>
        <w:br/>
        <w:t>4.2 Matriz de Ciclos de Ejecución de Pruebas</w:t>
      </w:r>
    </w:p>
    <w:p w14:paraId="29F8C8A8" w14:textId="77777777" w:rsidR="00900896" w:rsidRDefault="00C24141">
      <w:pPr>
        <w:pStyle w:val="Contents1"/>
        <w:tabs>
          <w:tab w:val="clear" w:pos="9128"/>
          <w:tab w:val="right" w:leader="dot" w:pos="9071"/>
        </w:tabs>
      </w:pPr>
      <w:hyperlink r:id="rId15" w:history="1">
        <w:r>
          <w:t>6 GLOSARIO</w:t>
        </w:r>
        <w:r>
          <w:tab/>
          <w:t>9</w:t>
        </w:r>
      </w:hyperlink>
    </w:p>
    <w:p w14:paraId="48369924" w14:textId="77777777" w:rsidR="00900896" w:rsidRDefault="00C24141">
      <w:pPr>
        <w:pStyle w:val="Contents1"/>
        <w:tabs>
          <w:tab w:val="clear" w:pos="9128"/>
          <w:tab w:val="right" w:leader="dot" w:pos="9071"/>
        </w:tabs>
      </w:pPr>
      <w:hyperlink r:id="rId16" w:history="1">
        <w:r>
          <w:t>7 BIBLIOGRAFÍA Y REFERENCIAS</w:t>
        </w:r>
        <w:r>
          <w:tab/>
          <w:t>10</w:t>
        </w:r>
      </w:hyperlink>
    </w:p>
    <w:p w14:paraId="719DD82F" w14:textId="77777777" w:rsidR="00900896" w:rsidRDefault="00C24141">
      <w:pPr>
        <w:pStyle w:val="Textbody"/>
      </w:pPr>
      <w:r>
        <w:rPr>
          <w:sz w:val="20"/>
        </w:rPr>
        <w:fldChar w:fldCharType="end"/>
      </w:r>
    </w:p>
    <w:p w14:paraId="4F7B88AC" w14:textId="77777777" w:rsidR="00900896" w:rsidRDefault="00C24141">
      <w:pPr>
        <w:pStyle w:val="Contents1"/>
        <w:tabs>
          <w:tab w:val="clear" w:pos="9128"/>
          <w:tab w:val="right" w:leader="dot" w:pos="9071"/>
        </w:tabs>
        <w:jc w:val="center"/>
      </w:pPr>
      <w:r>
        <w:t xml:space="preserve"> </w:t>
      </w:r>
    </w:p>
    <w:p w14:paraId="5137033A" w14:textId="77777777" w:rsidR="00900896" w:rsidRDefault="00900896">
      <w:pPr>
        <w:pStyle w:val="Contents1"/>
        <w:tabs>
          <w:tab w:val="clear" w:pos="9128"/>
          <w:tab w:val="right" w:leader="dot" w:pos="9071"/>
        </w:tabs>
        <w:jc w:val="center"/>
      </w:pPr>
    </w:p>
    <w:p w14:paraId="4683B29E" w14:textId="77777777" w:rsidR="00900896" w:rsidRDefault="00C24141">
      <w:pPr>
        <w:pStyle w:val="Ttulo1"/>
        <w:rPr>
          <w:rFonts w:hint="eastAsia"/>
        </w:rPr>
      </w:pPr>
      <w:bookmarkStart w:id="1" w:name="__RefHeading__3782_904956992"/>
      <w:bookmarkEnd w:id="1"/>
      <w:r>
        <w:lastRenderedPageBreak/>
        <w:t>INTRODUCCIÓN</w:t>
      </w:r>
    </w:p>
    <w:p w14:paraId="45683C7A" w14:textId="77777777" w:rsidR="00900896" w:rsidRDefault="00C24141">
      <w:pPr>
        <w:pStyle w:val="Ttulo2"/>
        <w:rPr>
          <w:rFonts w:hint="eastAsia"/>
        </w:rPr>
      </w:pPr>
      <w:bookmarkStart w:id="2" w:name="__RefHeading__3784_904956992"/>
      <w:bookmarkEnd w:id="2"/>
      <w:r>
        <w:t>Objeto</w:t>
      </w:r>
    </w:p>
    <w:p w14:paraId="4AE4EF6F" w14:textId="77777777" w:rsidR="00900896" w:rsidRDefault="00C24141">
      <w:pPr>
        <w:pStyle w:val="Standard"/>
        <w:spacing w:after="113"/>
        <w:jc w:val="both"/>
        <w:rPr>
          <w:lang/>
        </w:rPr>
      </w:pPr>
      <w:r>
        <w:t>El objetivo de este documento es formalizar los casos de prueba funcionales que verifican que el sistema desarrollado satisface exhaustivamente los 16 requerimientos funcionales (RF-01 a RF-16) especificados en el documento SRS IEEE 830 para Impresos Trujillo E.I.R.L. A través de este plan se valida la correcta interacción de los usuarios con las interfaces gráficas en Angular 21, el procesamiento seguro de transacciones en la API FastAPI, la integridad referencial en PostgreSQL 16 nativo y el correcto funcionamiento de las reglas de negocio clave como la cotización de metraje, la obligatoriedad del anticipo, el candado digital de cobro antes de la entrega, el tablero visual Kanban y la exportación tabular nativa a Microsoft Excel 2021 LTSC.</w:t>
      </w:r>
    </w:p>
    <w:p w14:paraId="4BC24A5E" w14:textId="77777777" w:rsidR="00900896" w:rsidRDefault="00900896">
      <w:pPr>
        <w:pStyle w:val="Standard"/>
        <w:spacing w:after="113"/>
        <w:jc w:val="both"/>
        <w:rPr>
          <w:lang/>
        </w:rPr>
      </w:pPr>
    </w:p>
    <w:p w14:paraId="77ABD834" w14:textId="77777777" w:rsidR="00900896" w:rsidRDefault="00C24141">
      <w:pPr>
        <w:pStyle w:val="Ttulo2"/>
        <w:rPr>
          <w:rFonts w:hint="eastAsia"/>
        </w:rPr>
      </w:pPr>
      <w:bookmarkStart w:id="3" w:name="__RefHeading__3786_904956992"/>
      <w:bookmarkEnd w:id="3"/>
      <w:r>
        <w:t>Alcance</w:t>
      </w:r>
    </w:p>
    <w:p w14:paraId="16923DDA" w14:textId="77777777" w:rsidR="00900896" w:rsidRDefault="00C24141">
      <w:pPr>
        <w:pStyle w:val="Standard"/>
        <w:spacing w:after="113"/>
        <w:jc w:val="both"/>
      </w:pPr>
      <w:r>
        <w:t>El alcance de las pruebas funcionales abarca los flujos operativos de extremo a extremo (E2E) que intervienen en el día a día de la imprenta, involucrando activamente a los diferentes actores del negocio que validan y aprueban el producto:</w:t>
        <w:br/>
        <w:br/>
        <w:t>• Gerencia y Administración (Marcell Magaly Vásquez Loje): Validación del arqueo de caja segregado, cuadre de turnos, emisión de comprobantes, visualización de KPIs gerenciales en el Dashboard de Business Intelligence y exportación a Excel.</w:t>
        <w:br/>
        <w:t>• Jefatura de Taller y Producción (Ángel Almilcar Rodríguez Vásquez): Control del flujo de órdenes en el tablero interactivo Kanban, asignación de operarios y maquinaria (plotter Wit-Color Ultra 1000 y offset Ryobi), y registro de consumo y mermas técnicas de sustratos.</w:t>
        <w:br/>
        <w:t>• Personal de Mostrador y Caja: Registro ágil de clientes con validación RUC/DNI, generación de cotizaciones estructuradas según el talonario físico tradicional, cobro con medios digitales (Yape/Plin/Transferencias) y candado de despacho.</w:t>
        <w:br/>
        <w:t>• Cátedra de Capstone UPN (Ing. José Alberto Gómez Ávila): Auditoría académica y metodológica del cumplimiento de estándares de calidad de software ISO/IEC 25010 y trazabilidad de requerimientos.</w:t>
        <w:br/>
        <w:br/>
        <w:t>Las pruebas se ejecutan sobre el ambiente de pruebas local contenerizado en Docker Compose (Angular 21 + FastAPI + PostgreSQL 16 nativo), garantizando un entorno idéntico y reproducible.</w:t>
      </w:r>
    </w:p>
    <w:p w14:paraId="035B8A86" w14:textId="77777777" w:rsidR="00900896" w:rsidRDefault="00C24141">
      <w:pPr>
        <w:pStyle w:val="Standard"/>
        <w:jc w:val="both"/>
      </w:pPr>
      <w:r>
        <w:rPr>
          <w:noProof/>
        </w:rPr>
        <mc:AlternateContent>
          <mc:Choice Requires="wps">
            <w:drawing>
              <wp:inline distT="0" distB="0" distL="0" distR="0" wp14:anchorId="28CC17B6" wp14:editId="38B67723">
                <wp:extent cx="5734800" cy="496440"/>
                <wp:effectExtent l="0" t="0" r="18300" b="17910"/>
                <wp:docPr id="1715815003" name="Marco3"/>
                <wp:cNvGraphicFramePr/>
                <a:graphic xmlns:a="http://schemas.openxmlformats.org/drawingml/2006/main">
                  <a:graphicData uri="http://schemas.microsoft.com/office/word/2010/wordprocessingShape">
                    <wps:wsp>
                      <wps:cNvSpPr txBox="1"/>
                      <wps:spPr>
                        <a:xfrm>
                          <a:off x="0" y="0"/>
                          <a:ext cx="5734800" cy="496440"/>
                        </a:xfrm>
                        <a:prstGeom prst="rect">
                          <a:avLst/>
                        </a:prstGeom>
                        <a:ln w="6480">
                          <a:solidFill>
                            <a:srgbClr val="CCCCCC"/>
                          </a:solidFill>
                          <a:prstDash val="solid"/>
                        </a:ln>
                      </wps:spPr>
                      <wps:txbx>
                        <w:txbxContent>
                          <w:p w14:paraId="4BE18F9D" w14:textId="77777777" w:rsidR="00900896" w:rsidRDefault="00C24141">
                            <w:pPr>
                              <w:pStyle w:val="Textbody"/>
                              <w:spacing w:after="113"/>
                              <w:rPr>
                                <w:sz w:val="20"/>
                                <w:szCs w:val="20"/>
                              </w:rPr>
                            </w:pPr>
                            <w:r>
                              <w:rPr>
                                <w:sz w:val="20"/>
                                <w:szCs w:val="20"/>
                              </w:rPr>
                              <w:t>Unidades organizativas y responsabilidades a las que va dirigida el documento y que participan en su generación, validación y registro según el modelo de MADEJA.</w:t>
                            </w:r>
                          </w:p>
                        </w:txbxContent>
                      </wps:txbx>
                      <wps:bodyPr vert="horz" lIns="88920" tIns="50760" rIns="88920" bIns="50760" compatLnSpc="0">
                        <a:noAutofit/>
                      </wps:bodyPr>
                    </wps:wsp>
                  </a:graphicData>
                </a:graphic>
              </wp:inline>
            </w:drawing>
          </mc:Choice>
          <mc:Fallback>
            <w:pict>
              <v:shapetype w14:anchorId="28CC17B6" id="_x0000_t202" coordsize="21600,21600" o:spt="202" path="m,l,21600r21600,l21600,xe">
                <v:stroke joinstyle="miter"/>
                <v:path gradientshapeok="t" o:connecttype="rect"/>
              </v:shapetype>
              <v:shape id="Marco3" o:spid="_x0000_s1026" type="#_x0000_t202" style="width:451.55pt;height: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" filled="f" strokecolor="#ccc" strokeweight=".18mm">
                <v:textbox inset="2.47mm,1.41mm,2.47mm,1.41mm">
                  <w:txbxContent>
                    <w:p w14:paraId="4BE18F9D" w14:textId="77777777" w:rsidR="00900896" w:rsidRDefault="00C24141">
                      <w:pPr>
                        <w:pStyle w:val="Textbody"/>
                        <w:spacing w:after="113"/>
                        <w:rPr>
                          <w:sz w:val="20"/>
                          <w:szCs w:val="20"/>
                        </w:rPr>
                      </w:pPr>
                      <w:r>
                        <w:rPr>
                          <w:sz w:val="20"/>
                          <w:szCs w:val="20"/>
                        </w:rPr>
                        <w:t>Unidades organizativas y responsabilidades a las que va dirigida el documento y que participan en su generación, validación y registro según el modelo de MADEJA.</w:t>
                      </w:r>
                    </w:p>
                  </w:txbxContent>
                </v:textbox>
                <w10:anchorlock/>
              </v:shape>
            </w:pict>
          </mc:Fallback>
        </mc:AlternateContent>
      </w:r>
    </w:p>
    <w:p w14:paraId="69DDDE3D" w14:textId="77777777" w:rsidR="00900896" w:rsidRDefault="00900896">
      <w:pPr>
        <w:pStyle w:val="Textbody"/>
      </w:pPr>
    </w:p>
    <w:p w14:paraId="7FA3C6C3" w14:textId="77777777" w:rsidR="00900896" w:rsidRDefault="00900896">
      <w:pPr>
        <w:pStyle w:val="Textbody"/>
        <w:rPr>
          <w:rFonts w:cs="Arial"/>
        </w:rPr>
      </w:pPr>
    </w:p>
    <w:p w14:paraId="490D29AA" w14:textId="77777777" w:rsidR="00900896" w:rsidRDefault="00C24141">
      <w:pPr>
        <w:pStyle w:val="Standard"/>
        <w:jc w:val="both"/>
        <w:rPr>
          <w:rFonts w:cs="Arial"/>
        </w:rPr>
      </w:pPr>
      <w:r>
        <w:rPr>
          <w:rFonts w:cs="Arial"/>
        </w:rPr>
        <w:t xml:space="preserve"> </w:t>
      </w:r>
    </w:p>
    <w:p w14:paraId="19043E4B" w14:textId="77777777" w:rsidR="00900896" w:rsidRDefault="00900896">
      <w:pPr>
        <w:pStyle w:val="Textbody"/>
      </w:pPr>
    </w:p>
    <w:p w14:paraId="52D68D6D" w14:textId="77777777" w:rsidR="00900896" w:rsidRDefault="00900896">
      <w:pPr>
        <w:pStyle w:val="Textbody"/>
      </w:pPr>
    </w:p>
    <w:p w14:paraId="0BFC61B2" w14:textId="77777777" w:rsidR="00900896" w:rsidRDefault="00C24141">
      <w:pPr>
        <w:pStyle w:val="Ttulo1"/>
        <w:rPr>
          <w:rFonts w:hint="eastAsia"/>
        </w:rPr>
      </w:pPr>
      <w:bookmarkStart w:id="4" w:name="__RefHeading__3794_904956992"/>
      <w:bookmarkEnd w:id="4"/>
      <w:r>
        <w:lastRenderedPageBreak/>
        <w:t>TRAZABILIDAD DE CASOS DE PRUEBAS – REQUISITOS</w:t>
      </w:r>
    </w:p>
    <w:p w14:paraId="6C3CADFF" w14:textId="77777777" w:rsidR="00900896" w:rsidRDefault="00C24141">
      <w:pPr>
        <w:pStyle w:val="Standard"/>
        <w:jc w:val="both"/>
        <w:rPr>
          <w:rFonts w:cs="Arial"/>
        </w:rPr>
      </w:pPr>
      <w:r/>
    </w:p>
    <w:p w14:paraId="6EEC02A6" w14:textId="77777777" w:rsidR="00900896" w:rsidRDefault="00C24141">
      <w:pPr>
        <w:pStyle w:val="Standard"/>
        <w:jc w:val="both"/>
        <w:rPr>
          <w:rFonts w:eastAsia="NewsGotT" w:cs="NewsGotT"/>
          <w:b/>
          <w:bCs/>
          <w:szCs w:val="20"/>
        </w:rPr>
      </w:pPr>
      <w:r>
        <w:rPr>
          <w:rFonts w:eastAsia="NewsGotT" w:cs="NewsGotT"/>
          <w:b/>
          <w:bCs/>
          <w:noProof/>
          <w:szCs w:val="20"/>
        </w:rPr>
        <mc:AlternateContent>
          <mc:Choice Requires="wps">
            <w:drawing>
              <wp:anchor distT="0" distB="0" distL="114300" distR="114300" simplePos="0" relativeHeight="5" behindDoc="0" locked="0" layoutInCell="1" allowOverlap="1" wp14:anchorId="4B054145" wp14:editId="23A5DFD1">
                <wp:simplePos x="0" y="0"/>
                <wp:positionH relativeFrom="column">
                  <wp:posOffset>0</wp:posOffset>
                </wp:positionH>
                <wp:positionV relativeFrom="paragraph">
                  <wp:posOffset>151920</wp:posOffset>
                </wp:positionV>
                <wp:extent cx="5734800" cy="306000"/>
                <wp:effectExtent l="0" t="0" r="18300" b="17850"/>
                <wp:wrapSquare wrapText="bothSides"/>
                <wp:docPr id="513961963"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285D350B" w14:textId="77777777" w:rsidR="00900896" w:rsidRDefault="00C24141">
                            <w:pPr>
                              <w:pStyle w:val="Standard"/>
                              <w:shd w:val="clear" w:color="auto" w:fill="FFFFFF"/>
                              <w:jc w:val="both"/>
                              <w:rPr>
                                <w:rFonts w:cs="Arial"/>
                              </w:rPr>
                            </w:pPr>
                            <w:r>
                              <w:rPr>
                                <w:rFonts w:cs="Arial"/>
                              </w:rPr>
                              <w:t xml:space="preserve">En este apartado se deberá completar una matriz como la que se indica a continuación, en la cuál se indicará la correspondencia entre los casos de pruebas definidos, y  los requisitos funcionales de la especificación de requisitos. Las filas representan cada uno de los casos de pruebas definidos, y las columnas los requisitos funcionales. </w:t>
                            </w:r>
                            <w:r>
                              <w:rPr>
                                <w:rFonts w:cs="Arial"/>
                              </w:rPr>
                              <w:t>Si un caso de prueba se encarga de verificar un requisitos, se tendrá que señalar con una X la casilla correspondiente.</w:t>
                            </w:r>
                          </w:p>
                        </w:txbxContent>
                      </wps:txbx>
                      <wps:bodyPr vert="horz" lIns="88920" tIns="50760" rIns="88920" bIns="50760" compatLnSpc="0">
                        <a:spAutoFit/>
                      </wps:bodyPr>
                    </wps:wsp>
                  </a:graphicData>
                </a:graphic>
              </wp:anchor>
            </w:drawing>
          </mc:Choice>
          <mc:Fallback>
            <w:pict>
              <v:shape w14:anchorId="4B054145" id="Marco8" o:spid="_x0000_s1027" type="#_x0000_t202" style="position:absolute;left:0;text-align:left;margin-left:0;margin-top:11.95pt;width:451.55pt;height:24.1pt;z-index: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" filled="f" strokecolor="#ccc" strokeweight=".18mm">
                <v:textbox style="mso-fit-shape-to-text:t" inset="2.47mm,1.41mm,2.47mm,1.41mm">
                  <w:txbxContent>
                    <w:p w14:paraId="285D350B" w14:textId="77777777" w:rsidR="00900896" w:rsidRDefault="00C24141">
                      <w:pPr>
                        <w:pStyle w:val="Standard"/>
                        <w:shd w:val="clear" w:color="auto" w:fill="FFFFFF"/>
                        <w:jc w:val="both"/>
                        <w:rPr>
                          <w:rFonts w:cs="Arial"/>
                        </w:rPr>
                      </w:pPr>
                      <w:r>
                        <w:rPr>
                          <w:rFonts w:cs="Arial"/>
                        </w:rPr>
                        <w:t xml:space="preserve">En este apartado se deberá completar una matriz como la que se indica a continuación, en la cuál se indicará la correspondencia entre los casos de pruebas definidos, y  los requisitos funcionales de la especificación de requisitos. Las filas representan cada uno de los casos de pruebas definidos, y las columnas los requisitos funcionales. </w:t>
                      </w:r>
                      <w:r>
                        <w:rPr>
                          <w:rFonts w:cs="Arial"/>
                        </w:rPr>
                        <w:t>Si un caso de prueba se encarga de verificar un requisitos, se tendrá que señalar con una X la casilla correspondiente.</w:t>
                      </w:r>
                    </w:p>
                  </w:txbxContent>
                </v:textbox>
                <w10:wrap type="square"/>
              </v:shape>
            </w:pict>
          </mc:Fallback>
        </mc:AlternateContent>
      </w:r>
    </w:p>
    <w:p w14:paraId="6F2E939C" w14:textId="77777777" w:rsidR="00900896" w:rsidRDefault="00900896">
      <w:pPr>
        <w:pStyle w:val="Standard"/>
        <w:jc w:val="both"/>
        <w:rPr>
          <w:rFonts w:cs="Arial"/>
        </w:rPr>
      </w:pPr>
    </w:p>
    <w:tbl>
      <w:tblPr>
        <w:tblW w:w="9071" w:type="dxa"/>
        <w:tblLayout w:type="fixed"/>
        <w:tblCellMar>
          <w:left w:w="10" w:type="dxa"/>
          <w:right w:w="10" w:type="dxa"/>
        </w:tblCellMar>
        <w:tblLook w:val="04A0" w:firstRow="1" w:lastRow="0" w:firstColumn="1" w:lastColumn="0" w:noHBand="0" w:noVBand="1"/>
      </w:tblPr>
      <w:tblGrid>
        <w:gridCol w:w="1133"/>
        <w:gridCol w:w="1133"/>
        <w:gridCol w:w="1134"/>
        <w:gridCol w:w="1134"/>
        <w:gridCol w:w="1134"/>
        <w:gridCol w:w="1134"/>
        <w:gridCol w:w="1134"/>
        <w:gridCol w:w="1135"/>
      </w:tblGrid>
      <w:tr>
        <w:tc>
          <w:tcPr>
            <w:tcW w:type="dxa" w:w="1133"/>
            <w:shd w:fill="1F4E78"/>
          </w:tcPr>
          <w:p>
            <w:pPr>
              <w:jc w:val="center"/>
            </w:pPr>
            <w:r>
              <w:rPr>
                <w:rFonts w:ascii="NewsGotT" w:hAnsi="NewsGotT"/>
                <w:b/>
                <w:color w:val="FFFFFF"/>
                <w:sz w:val="18"/>
              </w:rPr>
              <w:t>Caso de Prueba / Módulo Funcional</w:t>
            </w:r>
          </w:p>
        </w:tc>
        <w:tc>
          <w:tcPr>
            <w:tcW w:type="dxa" w:w="1133"/>
            <w:shd w:fill="1F4E78"/>
          </w:tcPr>
          <w:p>
            <w:pPr>
              <w:jc w:val="center"/>
            </w:pPr>
            <w:r>
              <w:rPr>
                <w:rFonts w:ascii="NewsGotT" w:hAnsi="NewsGotT"/>
                <w:b/>
                <w:color w:val="FFFFFF"/>
                <w:sz w:val="18"/>
              </w:rPr>
              <w:t>Requerimientos Funcionales Validados (SRS IEEE 830)</w:t>
            </w:r>
          </w:p>
        </w:tc>
        <w:tc>
          <w:tcPr>
            <w:tcW w:type="dxa" w:w="1134"/>
            <w:shd w:fill="1F4E78"/>
          </w:tcPr>
          <w:p>
            <w:pPr>
              <w:jc w:val="center"/>
            </w:pPr>
            <w:r>
              <w:rPr>
                <w:rFonts w:ascii="NewsGotT" w:hAnsi="NewsGotT"/>
                <w:b/>
                <w:color w:val="FFFFFF"/>
                <w:sz w:val="18"/>
              </w:rPr>
              <w:t>Cobertura</w:t>
            </w:r>
          </w:p>
        </w:tc>
        <w:tc>
          <w:tcPr>
            <w:tcW w:type="dxa" w:w="1134"/>
          </w:tcPr>
          <w:p/>
        </w:tc>
        <w:tc>
          <w:tcPr>
            <w:tcW w:type="dxa" w:w="1134"/>
          </w:tcPr>
          <w:p/>
        </w:tc>
        <w:tc>
          <w:tcPr>
            <w:tcW w:type="dxa" w:w="1134"/>
          </w:tcPr>
          <w:p/>
        </w:tc>
        <w:tc>
          <w:tcPr>
            <w:tcW w:type="dxa" w:w="1134"/>
          </w:tcPr>
          <w:p/>
        </w:tc>
        <w:tc>
          <w:tcPr>
            <w:tcW w:type="dxa" w:w="1135"/>
          </w:tcPr>
          <w:p/>
        </w:tc>
      </w:tr>
      <w:tr>
        <w:tc>
          <w:tcPr>
            <w:tcW w:type="dxa" w:w="1133"/>
            <w:tcMar>
              <w:top w:w="80" w:type="dxa"/>
              <w:bottom w:w="80" w:type="dxa"/>
              <w:left w:w="120" w:type="dxa"/>
              <w:right w:w="120" w:type="dxa"/>
            </w:tcMar>
          </w:tcPr>
          <w:p>
            <w:r>
              <w:rPr>
                <w:rFonts w:ascii="NewsGotT" w:hAnsi="NewsGotT"/>
                <w:b/>
                <w:sz w:val="17"/>
              </w:rPr>
              <w:t>CP-01: Autenticación de Usuarios y Control de Acceso por Roles (RBAC)</w:t>
            </w:r>
          </w:p>
        </w:tc>
        <w:tc>
          <w:tcPr>
            <w:tcW w:type="dxa" w:w="1133"/>
            <w:tcMar>
              <w:top w:w="80" w:type="dxa"/>
              <w:bottom w:w="80" w:type="dxa"/>
              <w:left w:w="120" w:type="dxa"/>
              <w:right w:w="120" w:type="dxa"/>
            </w:tcMar>
          </w:tcPr>
          <w:p>
            <w:r>
              <w:rPr>
                <w:rFonts w:ascii="NewsGotT" w:hAnsi="NewsGotT"/>
                <w:sz w:val="17"/>
              </w:rPr>
              <w:t>RF-01 (Seguridad de acceso), RF-08 (Sesión de cajero autenticado)</w:t>
            </w:r>
          </w:p>
        </w:tc>
        <w:tc>
          <w:tcPr>
            <w:tcW w:type="dxa" w:w="1134"/>
            <w:tcMar>
              <w:top w:w="80" w:type="dxa"/>
              <w:bottom w:w="80" w:type="dxa"/>
              <w:left w:w="120" w:type="dxa"/>
              <w:right w:w="120" w:type="dxa"/>
            </w:tcMar>
          </w:tcPr>
          <w:p>
            <w:pPr>
              <w:jc w:val="center"/>
            </w:pPr>
            <w:r>
              <w:rPr>
                <w:rFonts w:ascii="NewsGotT" w:hAnsi="NewsGotT"/>
                <w:b/>
                <w:color w:val="1F4E78"/>
                <w:sz w:val="17"/>
              </w:rPr>
              <w:t>Cubierto (100%)</w:t>
            </w: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5"/>
            <w:tcMar>
              <w:top w:w="80" w:type="dxa"/>
              <w:bottom w:w="80" w:type="dxa"/>
              <w:left w:w="120" w:type="dxa"/>
              <w:right w:w="120" w:type="dxa"/>
            </w:tcMar>
          </w:tcPr>
          <w:p/>
        </w:tc>
      </w:tr>
      <w:tr>
        <w:tc>
          <w:tcPr>
            <w:tcW w:type="dxa" w:w="1133"/>
            <w:shd w:fill="F2F4F7"/>
            <w:tcMar>
              <w:top w:w="80" w:type="dxa"/>
              <w:bottom w:w="80" w:type="dxa"/>
              <w:left w:w="120" w:type="dxa"/>
              <w:right w:w="120" w:type="dxa"/>
            </w:tcMar>
          </w:tcPr>
          <w:p>
            <w:r>
              <w:rPr>
                <w:rFonts w:ascii="NewsGotT" w:hAnsi="NewsGotT"/>
                <w:b/>
                <w:sz w:val="17"/>
              </w:rPr>
              <w:t>CP-02: Gestión del Directorio de Clientes Comerciales y Validación RUC/DNI</w:t>
            </w:r>
          </w:p>
        </w:tc>
        <w:tc>
          <w:tcPr>
            <w:tcW w:type="dxa" w:w="1133"/>
            <w:shd w:fill="F2F4F7"/>
            <w:tcMar>
              <w:top w:w="80" w:type="dxa"/>
              <w:bottom w:w="80" w:type="dxa"/>
              <w:left w:w="120" w:type="dxa"/>
              <w:right w:w="120" w:type="dxa"/>
            </w:tcMar>
          </w:tcPr>
          <w:p>
            <w:r>
              <w:rPr>
                <w:rFonts w:ascii="NewsGotT" w:hAnsi="NewsGotT"/>
                <w:sz w:val="17"/>
              </w:rPr>
              <w:t>RF-01 (Registro, búsqueda, actualización y validación de clientes naturales y jurídicos)</w:t>
            </w:r>
          </w:p>
        </w:tc>
        <w:tc>
          <w:tcPr>
            <w:tcW w:type="dxa" w:w="1134"/>
            <w:shd w:fill="F2F4F7"/>
            <w:tcMar>
              <w:top w:w="80" w:type="dxa"/>
              <w:bottom w:w="80" w:type="dxa"/>
              <w:left w:w="120" w:type="dxa"/>
              <w:right w:w="120" w:type="dxa"/>
            </w:tcMar>
          </w:tcPr>
          <w:p>
            <w:pPr>
              <w:jc w:val="center"/>
            </w:pPr>
            <w:r>
              <w:rPr>
                <w:rFonts w:ascii="NewsGotT" w:hAnsi="NewsGotT"/>
                <w:b/>
                <w:color w:val="1F4E78"/>
                <w:sz w:val="17"/>
              </w:rPr>
              <w:t>Cubierto (100%)</w:t>
            </w: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5"/>
            <w:shd w:fill="F2F4F7"/>
            <w:tcMar>
              <w:top w:w="80" w:type="dxa"/>
              <w:bottom w:w="80" w:type="dxa"/>
              <w:left w:w="120" w:type="dxa"/>
              <w:right w:w="120" w:type="dxa"/>
            </w:tcMar>
          </w:tcPr>
          <w:p/>
        </w:tc>
      </w:tr>
      <w:tr>
        <w:tc>
          <w:tcPr>
            <w:tcW w:type="dxa" w:w="1133"/>
            <w:tcMar>
              <w:top w:w="80" w:type="dxa"/>
              <w:bottom w:w="80" w:type="dxa"/>
              <w:left w:w="120" w:type="dxa"/>
              <w:right w:w="120" w:type="dxa"/>
            </w:tcMar>
          </w:tcPr>
          <w:p>
            <w:r>
              <w:rPr>
                <w:rFonts w:ascii="NewsGotT" w:hAnsi="NewsGotT"/>
                <w:b/>
                <w:sz w:val="17"/>
              </w:rPr>
              <w:t>CP-03: Emisión de Orden de Trabajo, Cotización por Metraje y Reserva de Insumos</w:t>
            </w:r>
          </w:p>
        </w:tc>
        <w:tc>
          <w:tcPr>
            <w:tcW w:type="dxa" w:w="1133"/>
            <w:tcMar>
              <w:top w:w="80" w:type="dxa"/>
              <w:bottom w:w="80" w:type="dxa"/>
              <w:left w:w="120" w:type="dxa"/>
              <w:right w:w="120" w:type="dxa"/>
            </w:tcMar>
          </w:tcPr>
          <w:p>
            <w:r>
              <w:rPr>
                <w:rFonts w:ascii="NewsGotT" w:hAnsi="NewsGotT"/>
                <w:sz w:val="17"/>
              </w:rPr>
              <w:t>RF-02 (Catálogo de productos y recetas), RF-03 (Talonario proforma/contrato), RF-04 (Impresión de comprobante), RF-09 (Reserva automática de sustratos)</w:t>
            </w:r>
          </w:p>
        </w:tc>
        <w:tc>
          <w:tcPr>
            <w:tcW w:type="dxa" w:w="1134"/>
            <w:tcMar>
              <w:top w:w="80" w:type="dxa"/>
              <w:bottom w:w="80" w:type="dxa"/>
              <w:left w:w="120" w:type="dxa"/>
              <w:right w:w="120" w:type="dxa"/>
            </w:tcMar>
          </w:tcPr>
          <w:p>
            <w:pPr>
              <w:jc w:val="center"/>
            </w:pPr>
            <w:r>
              <w:rPr>
                <w:rFonts w:ascii="NewsGotT" w:hAnsi="NewsGotT"/>
                <w:b/>
                <w:color w:val="1F4E78"/>
                <w:sz w:val="17"/>
              </w:rPr>
              <w:t>Cubierto (100%)</w:t>
            </w: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5"/>
            <w:tcMar>
              <w:top w:w="80" w:type="dxa"/>
              <w:bottom w:w="80" w:type="dxa"/>
              <w:left w:w="120" w:type="dxa"/>
              <w:right w:w="120" w:type="dxa"/>
            </w:tcMar>
          </w:tcPr>
          <w:p/>
        </w:tc>
      </w:tr>
      <w:tr>
        <w:tc>
          <w:tcPr>
            <w:tcW w:type="dxa" w:w="1133"/>
            <w:shd w:fill="F2F4F7"/>
            <w:tcMar>
              <w:top w:w="80" w:type="dxa"/>
              <w:bottom w:w="80" w:type="dxa"/>
              <w:left w:w="120" w:type="dxa"/>
              <w:right w:w="120" w:type="dxa"/>
            </w:tcMar>
          </w:tcPr>
          <w:p>
            <w:r>
              <w:rPr>
                <w:rFonts w:ascii="NewsGotT" w:hAnsi="NewsGotT"/>
                <w:b/>
                <w:sz w:val="17"/>
              </w:rPr>
              <w:t>CP-04: Registro Cronológico de Cobros, Anticipos y Arqueo Diario de Caja</w:t>
            </w:r>
          </w:p>
        </w:tc>
        <w:tc>
          <w:tcPr>
            <w:tcW w:type="dxa" w:w="1133"/>
            <w:shd w:fill="F2F4F7"/>
            <w:tcMar>
              <w:top w:w="80" w:type="dxa"/>
              <w:bottom w:w="80" w:type="dxa"/>
              <w:left w:w="120" w:type="dxa"/>
              <w:right w:w="120" w:type="dxa"/>
            </w:tcMar>
          </w:tcPr>
          <w:p>
            <w:r>
              <w:rPr>
                <w:rFonts w:ascii="NewsGotT" w:hAnsi="NewsGotT"/>
                <w:sz w:val="17"/>
              </w:rPr>
              <w:t>RF-06 (Cobros en efectivo, Yape, Plin y transferencias), RF-08 (Arqueo segregado por línea comercial)</w:t>
            </w:r>
          </w:p>
        </w:tc>
        <w:tc>
          <w:tcPr>
            <w:tcW w:type="dxa" w:w="1134"/>
            <w:shd w:fill="F2F4F7"/>
            <w:tcMar>
              <w:top w:w="80" w:type="dxa"/>
              <w:bottom w:w="80" w:type="dxa"/>
              <w:left w:w="120" w:type="dxa"/>
              <w:right w:w="120" w:type="dxa"/>
            </w:tcMar>
          </w:tcPr>
          <w:p>
            <w:pPr>
              <w:jc w:val="center"/>
            </w:pPr>
            <w:r>
              <w:rPr>
                <w:rFonts w:ascii="NewsGotT" w:hAnsi="NewsGotT"/>
                <w:b/>
                <w:color w:val="1F4E78"/>
                <w:sz w:val="17"/>
              </w:rPr>
              <w:t>Cubierto (100%)</w:t>
            </w: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5"/>
            <w:shd w:fill="F2F4F7"/>
            <w:tcMar>
              <w:top w:w="80" w:type="dxa"/>
              <w:bottom w:w="80" w:type="dxa"/>
              <w:left w:w="120" w:type="dxa"/>
              <w:right w:w="120" w:type="dxa"/>
            </w:tcMar>
          </w:tcPr>
          <w:p/>
        </w:tc>
      </w:tr>
      <w:tr>
        <w:tc>
          <w:tcPr>
            <w:tcW w:type="dxa" w:w="1133"/>
            <w:tcMar>
              <w:top w:w="80" w:type="dxa"/>
              <w:bottom w:w="80" w:type="dxa"/>
              <w:left w:w="120" w:type="dxa"/>
              <w:right w:w="120" w:type="dxa"/>
            </w:tcMar>
          </w:tcPr>
          <w:p>
            <w:r>
              <w:rPr>
                <w:rFonts w:ascii="NewsGotT" w:hAnsi="NewsGotT"/>
                <w:b/>
                <w:sz w:val="17"/>
              </w:rPr>
              <w:t>CP-05: Verificación del Candado Digital de Despacho y Edición de Pedidos</w:t>
            </w:r>
          </w:p>
        </w:tc>
        <w:tc>
          <w:tcPr>
            <w:tcW w:type="dxa" w:w="1133"/>
            <w:tcMar>
              <w:top w:w="80" w:type="dxa"/>
              <w:bottom w:w="80" w:type="dxa"/>
              <w:left w:w="120" w:type="dxa"/>
              <w:right w:w="120" w:type="dxa"/>
            </w:tcMar>
          </w:tcPr>
          <w:p>
            <w:r>
              <w:rPr>
                <w:rFonts w:ascii="NewsGotT" w:hAnsi="NewsGotT"/>
                <w:sz w:val="17"/>
              </w:rPr>
              <w:t>RF-05 (Modificación restringida a pedidos pendientes), RF-07 (Bloqueo estricto de entrega si saldo &gt; S/ 0.00)</w:t>
            </w:r>
          </w:p>
        </w:tc>
        <w:tc>
          <w:tcPr>
            <w:tcW w:type="dxa" w:w="1134"/>
            <w:tcMar>
              <w:top w:w="80" w:type="dxa"/>
              <w:bottom w:w="80" w:type="dxa"/>
              <w:left w:w="120" w:type="dxa"/>
              <w:right w:w="120" w:type="dxa"/>
            </w:tcMar>
          </w:tcPr>
          <w:p>
            <w:pPr>
              <w:jc w:val="center"/>
            </w:pPr>
            <w:r>
              <w:rPr>
                <w:rFonts w:ascii="NewsGotT" w:hAnsi="NewsGotT"/>
                <w:b/>
                <w:color w:val="1F4E78"/>
                <w:sz w:val="17"/>
              </w:rPr>
              <w:t>Cubierto (100%)</w:t>
            </w: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5"/>
            <w:tcMar>
              <w:top w:w="80" w:type="dxa"/>
              <w:bottom w:w="80" w:type="dxa"/>
              <w:left w:w="120" w:type="dxa"/>
              <w:right w:w="120" w:type="dxa"/>
            </w:tcMar>
          </w:tcPr>
          <w:p/>
        </w:tc>
      </w:tr>
      <w:tr>
        <w:tc>
          <w:tcPr>
            <w:tcW w:type="dxa" w:w="1133"/>
            <w:shd w:fill="F2F4F7"/>
            <w:tcMar>
              <w:top w:w="80" w:type="dxa"/>
              <w:bottom w:w="80" w:type="dxa"/>
              <w:left w:w="120" w:type="dxa"/>
              <w:right w:w="120" w:type="dxa"/>
            </w:tcMar>
          </w:tcPr>
          <w:p>
            <w:r>
              <w:rPr>
                <w:rFonts w:ascii="NewsGotT" w:hAnsi="NewsGotT"/>
                <w:b/>
                <w:sz w:val="17"/>
              </w:rPr>
              <w:t>CP-06: Flujo de Producción en Tablero Visual Kanban y Asignación de Taller</w:t>
            </w:r>
          </w:p>
        </w:tc>
        <w:tc>
          <w:tcPr>
            <w:tcW w:type="dxa" w:w="1133"/>
            <w:shd w:fill="F2F4F7"/>
            <w:tcMar>
              <w:top w:w="80" w:type="dxa"/>
              <w:bottom w:w="80" w:type="dxa"/>
              <w:left w:w="120" w:type="dxa"/>
              <w:right w:w="120" w:type="dxa"/>
            </w:tcMar>
          </w:tcPr>
          <w:p>
            <w:r>
              <w:rPr>
                <w:rFonts w:ascii="NewsGotT" w:hAnsi="NewsGotT"/>
                <w:sz w:val="17"/>
              </w:rPr>
              <w:t>RF-10 (Registro métrico de mermas técnicas), RF-12 (Pipeline visual Kanban con drag-and-drop), RF-13 (Asignación de operario y máquina)</w:t>
            </w:r>
          </w:p>
        </w:tc>
        <w:tc>
          <w:tcPr>
            <w:tcW w:type="dxa" w:w="1134"/>
            <w:shd w:fill="F2F4F7"/>
            <w:tcMar>
              <w:top w:w="80" w:type="dxa"/>
              <w:bottom w:w="80" w:type="dxa"/>
              <w:left w:w="120" w:type="dxa"/>
              <w:right w:w="120" w:type="dxa"/>
            </w:tcMar>
          </w:tcPr>
          <w:p>
            <w:pPr>
              <w:jc w:val="center"/>
            </w:pPr>
            <w:r>
              <w:rPr>
                <w:rFonts w:ascii="NewsGotT" w:hAnsi="NewsGotT"/>
                <w:b/>
                <w:color w:val="1F4E78"/>
                <w:sz w:val="17"/>
              </w:rPr>
              <w:t>Cubierto (100%)</w:t>
            </w: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5"/>
            <w:shd w:fill="F2F4F7"/>
            <w:tcMar>
              <w:top w:w="80" w:type="dxa"/>
              <w:bottom w:w="80" w:type="dxa"/>
              <w:left w:w="120" w:type="dxa"/>
              <w:right w:w="120" w:type="dxa"/>
            </w:tcMar>
          </w:tcPr>
          <w:p/>
        </w:tc>
      </w:tr>
      <w:tr>
        <w:tc>
          <w:tcPr>
            <w:tcW w:type="dxa" w:w="1133"/>
            <w:tcMar>
              <w:top w:w="80" w:type="dxa"/>
              <w:bottom w:w="80" w:type="dxa"/>
              <w:left w:w="120" w:type="dxa"/>
              <w:right w:w="120" w:type="dxa"/>
            </w:tcMar>
          </w:tcPr>
          <w:p>
            <w:r>
              <w:rPr>
                <w:rFonts w:ascii="NewsGotT" w:hAnsi="NewsGotT"/>
                <w:b/>
                <w:sz w:val="17"/>
              </w:rPr>
              <w:t>CP-07: Dashboard Interactivo de Business Intelligence y Alertas de Stock Crítico</w:t>
            </w:r>
          </w:p>
        </w:tc>
        <w:tc>
          <w:tcPr>
            <w:tcW w:type="dxa" w:w="1133"/>
            <w:tcMar>
              <w:top w:w="80" w:type="dxa"/>
              <w:bottom w:w="80" w:type="dxa"/>
              <w:left w:w="120" w:type="dxa"/>
              <w:right w:w="120" w:type="dxa"/>
            </w:tcMar>
          </w:tcPr>
          <w:p>
            <w:r>
              <w:rPr>
                <w:rFonts w:ascii="NewsGotT" w:hAnsi="NewsGotT"/>
                <w:sz w:val="17"/>
              </w:rPr>
              <w:t>RF-11 (Alertas de stock mínimo de bobinas), RF-14 (Dashboard gerencial con KPIs reactivos), RF-16 (Modelo predictivo de demanda con IA)</w:t>
            </w:r>
          </w:p>
        </w:tc>
        <w:tc>
          <w:tcPr>
            <w:tcW w:type="dxa" w:w="1134"/>
            <w:tcMar>
              <w:top w:w="80" w:type="dxa"/>
              <w:bottom w:w="80" w:type="dxa"/>
              <w:left w:w="120" w:type="dxa"/>
              <w:right w:w="120" w:type="dxa"/>
            </w:tcMar>
          </w:tcPr>
          <w:p>
            <w:pPr>
              <w:jc w:val="center"/>
            </w:pPr>
            <w:r>
              <w:rPr>
                <w:rFonts w:ascii="NewsGotT" w:hAnsi="NewsGotT"/>
                <w:b/>
                <w:color w:val="1F4E78"/>
                <w:sz w:val="17"/>
              </w:rPr>
              <w:t>Cubierto (100%)</w:t>
            </w: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4"/>
            <w:tcMar>
              <w:top w:w="80" w:type="dxa"/>
              <w:bottom w:w="80" w:type="dxa"/>
              <w:left w:w="120" w:type="dxa"/>
              <w:right w:w="120" w:type="dxa"/>
            </w:tcMar>
          </w:tcPr>
          <w:p/>
        </w:tc>
        <w:tc>
          <w:tcPr>
            <w:tcW w:type="dxa" w:w="1135"/>
            <w:tcMar>
              <w:top w:w="80" w:type="dxa"/>
              <w:bottom w:w="80" w:type="dxa"/>
              <w:left w:w="120" w:type="dxa"/>
              <w:right w:w="120" w:type="dxa"/>
            </w:tcMar>
          </w:tcPr>
          <w:p/>
        </w:tc>
      </w:tr>
      <w:tr>
        <w:tc>
          <w:tcPr>
            <w:tcW w:type="dxa" w:w="1133"/>
            <w:shd w:fill="F2F4F7"/>
            <w:tcMar>
              <w:top w:w="80" w:type="dxa"/>
              <w:bottom w:w="80" w:type="dxa"/>
              <w:left w:w="120" w:type="dxa"/>
              <w:right w:w="120" w:type="dxa"/>
            </w:tcMar>
          </w:tcPr>
          <w:p>
            <w:r>
              <w:rPr>
                <w:rFonts w:ascii="NewsGotT" w:hAnsi="NewsGotT"/>
                <w:b/>
                <w:sz w:val="17"/>
              </w:rPr>
              <w:t>CP-08: Exportación Tabular de Reportes a Microsoft Excel 2021 LTSC con Estilos Nativos</w:t>
            </w:r>
          </w:p>
        </w:tc>
        <w:tc>
          <w:tcPr>
            <w:tcW w:type="dxa" w:w="1133"/>
            <w:shd w:fill="F2F4F7"/>
            <w:tcMar>
              <w:top w:w="80" w:type="dxa"/>
              <w:bottom w:w="80" w:type="dxa"/>
              <w:left w:w="120" w:type="dxa"/>
              <w:right w:w="120" w:type="dxa"/>
            </w:tcMar>
          </w:tcPr>
          <w:p>
            <w:r>
              <w:rPr>
                <w:rFonts w:ascii="NewsGotT" w:hAnsi="NewsGotT"/>
                <w:sz w:val="17"/>
              </w:rPr>
              <w:t>RF-15 (Generación y descarga de archivos binarios .xlsx con fórmulas y formato corporativo)</w:t>
            </w:r>
          </w:p>
        </w:tc>
        <w:tc>
          <w:tcPr>
            <w:tcW w:type="dxa" w:w="1134"/>
            <w:shd w:fill="F2F4F7"/>
            <w:tcMar>
              <w:top w:w="80" w:type="dxa"/>
              <w:bottom w:w="80" w:type="dxa"/>
              <w:left w:w="120" w:type="dxa"/>
              <w:right w:w="120" w:type="dxa"/>
            </w:tcMar>
          </w:tcPr>
          <w:p>
            <w:pPr>
              <w:jc w:val="center"/>
            </w:pPr>
            <w:r>
              <w:rPr>
                <w:rFonts w:ascii="NewsGotT" w:hAnsi="NewsGotT"/>
                <w:b/>
                <w:color w:val="1F4E78"/>
                <w:sz w:val="17"/>
              </w:rPr>
              <w:t>Cubierto (100%)</w:t>
            </w: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4"/>
            <w:shd w:fill="F2F4F7"/>
            <w:tcMar>
              <w:top w:w="80" w:type="dxa"/>
              <w:bottom w:w="80" w:type="dxa"/>
              <w:left w:w="120" w:type="dxa"/>
              <w:right w:w="120" w:type="dxa"/>
            </w:tcMar>
          </w:tcPr>
          <w:p/>
        </w:tc>
        <w:tc>
          <w:tcPr>
            <w:tcW w:type="dxa" w:w="1135"/>
            <w:shd w:fill="F2F4F7"/>
            <w:tcMar>
              <w:top w:w="80" w:type="dxa"/>
              <w:bottom w:w="80" w:type="dxa"/>
              <w:left w:w="120" w:type="dxa"/>
              <w:right w:w="120" w:type="dxa"/>
            </w:tcMar>
          </w:tcPr>
          <w:p/>
        </w:tc>
      </w:tr>
    </w:tbl>
    <w:p w14:paraId="2822B6D1" w14:textId="77777777" w:rsidR="00900896" w:rsidRDefault="00C24141">
      <w:pPr>
        <w:pStyle w:val="Ttulo1"/>
        <w:rPr>
          <w:rFonts w:hint="eastAsia"/>
        </w:rPr>
      </w:pPr>
      <w:bookmarkStart w:id="5" w:name="__RefHeading__3796_904956992"/>
      <w:bookmarkEnd w:id="5"/>
      <w:r>
        <w:lastRenderedPageBreak/>
        <w:t>DEFINICIÓN DE LOS CASOS DE PRUEBAS</w:t>
      </w:r>
    </w:p>
    <w:p w14:paraId="56CC409F" w14:textId="77777777" w:rsidR="00900896" w:rsidRDefault="00C24141">
      <w:pPr>
        <w:pStyle w:val="Standard"/>
        <w:jc w:val="both"/>
      </w:pPr>
      <w:r/>
    </w:p>
    <w:p w14:paraId="74D805A6" w14:textId="77777777" w:rsidR="00900896" w:rsidRDefault="00C24141">
      <w:pPr>
        <w:pStyle w:val="Standard"/>
        <w:jc w:val="both"/>
      </w:pPr>
      <w:r>
        <w:rPr>
          <w:noProof/>
        </w:rPr>
        <mc:AlternateContent>
          <mc:Choice Requires="wps">
            <w:drawing>
              <wp:anchor distT="0" distB="0" distL="114300" distR="114300" simplePos="0" relativeHeight="2" behindDoc="0" locked="0" layoutInCell="1" allowOverlap="1" wp14:anchorId="2D88100C" wp14:editId="57DC5BE6">
                <wp:simplePos x="0" y="0"/>
                <wp:positionH relativeFrom="column">
                  <wp:posOffset>0</wp:posOffset>
                </wp:positionH>
                <wp:positionV relativeFrom="paragraph">
                  <wp:posOffset>151920</wp:posOffset>
                </wp:positionV>
                <wp:extent cx="5734800" cy="306000"/>
                <wp:effectExtent l="0" t="0" r="18300" b="17850"/>
                <wp:wrapSquare wrapText="bothSides"/>
                <wp:docPr id="414875556" name="Marco4"/>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1D8A3DBE" w14:textId="77777777" w:rsidR="00900896" w:rsidRDefault="00C24141">
                            <w:pPr>
                              <w:pStyle w:val="Standard"/>
                              <w:shd w:val="clear" w:color="auto" w:fill="FFFFFF"/>
                              <w:jc w:val="both"/>
                              <w:rPr>
                                <w:rFonts w:cs="Arial"/>
                              </w:rPr>
                            </w:pPr>
                            <w:r>
                              <w:rPr>
                                <w:rFonts w:cs="Arial"/>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w:t>
                            </w:r>
                            <w:r>
                              <w:rPr>
                                <w:rFonts w:cs="Arial"/>
                              </w:rPr>
                              <w:t>asegurar el correcto despliegue de la aplicación.</w:t>
                            </w:r>
                          </w:p>
                        </w:txbxContent>
                      </wps:txbx>
                      <wps:bodyPr vert="horz" lIns="88920" tIns="50760" rIns="88920" bIns="50760" compatLnSpc="0">
                        <a:spAutoFit/>
                      </wps:bodyPr>
                    </wps:wsp>
                  </a:graphicData>
                </a:graphic>
              </wp:anchor>
            </w:drawing>
          </mc:Choice>
          <mc:Fallback>
            <w:pict>
              <v:shape w14:anchorId="2D88100C" id="Marco4" o:spid="_x0000_s1028" type="#_x0000_t202" style="position:absolute;left:0;text-align:left;margin-left:0;margin-top:11.95pt;width:451.55pt;height:24.1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" filled="f" strokecolor="#ccc" strokeweight=".18mm">
                <v:textbox style="mso-fit-shape-to-text:t" inset="2.47mm,1.41mm,2.47mm,1.41mm">
                  <w:txbxContent>
                    <w:p w14:paraId="1D8A3DBE" w14:textId="77777777" w:rsidR="00900896" w:rsidRDefault="00C24141">
                      <w:pPr>
                        <w:pStyle w:val="Standard"/>
                        <w:shd w:val="clear" w:color="auto" w:fill="FFFFFF"/>
                        <w:jc w:val="both"/>
                        <w:rPr>
                          <w:rFonts w:cs="Arial"/>
                        </w:rPr>
                      </w:pPr>
                      <w:r>
                        <w:rPr>
                          <w:rFonts w:cs="Arial"/>
                        </w:rPr>
                        <w:t xml:space="preserve">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w:t>
                      </w:r>
                      <w:r>
                        <w:rPr>
                          <w:rFonts w:cs="Arial"/>
                        </w:rPr>
                        <w:t>asegurar el correcto despliegue de la aplicación.</w:t>
                      </w:r>
                    </w:p>
                  </w:txbxContent>
                </v:textbox>
                <w10:wrap type="square"/>
              </v:shape>
            </w:pict>
          </mc:Fallback>
        </mc:AlternateContent>
      </w:r>
    </w:p>
    <w:p w14:paraId="1E5DB51B" w14:textId="77777777" w:rsidR="00900896" w:rsidRDefault="00900896">
      <w:pPr>
        <w:pStyle w:val="Standard"/>
        <w:rPr>
          <w:lang/>
        </w:rPr>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r>
              <w:rPr>
                <w:rFonts w:ascii="NewsGotT" w:hAnsi="NewsGotT"/>
                <w:b/>
                <w:color w:val="FFFFFF"/>
                <w:sz w:val="20"/>
              </w:rPr>
              <w:t>Autenticación de Usuarios y Control de Acceso por Roles (RBAC)</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tcPr>
          <w:p>
            <w:pPr>
              <w:jc w:val="center"/>
            </w:pPr>
            <w:r>
              <w:rPr>
                <w:rFonts w:ascii="NewsGotT" w:hAnsi="NewsGotT"/>
                <w:b/>
                <w:color w:val="FFFFFF"/>
                <w:sz w:val="20"/>
              </w:rPr>
              <w:t>Código: CP-01</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Pr>
          <w:p>
            <w:r>
              <w:rPr>
                <w:rFonts w:ascii="NewsGotT" w:hAnsi="NewsGotT"/>
                <w:sz w:val="18"/>
              </w:rPr>
              <w:t>Descripción:</w:t>
              <w:br/>
              <w:t>Verificar el inicio de sesión en la interfaz web de inicio, la emisión del token JWT en memoria de Angular, el control de acceso diferenciado según roles (Administrador, Cajero, Operario) y la redirección automática según permisos.</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Pr>
          <w:p>
            <w:r>
              <w:rPr>
                <w:rFonts w:ascii="NewsGotT" w:hAnsi="NewsGotT"/>
                <w:sz w:val="18"/>
              </w:rPr>
              <w:t>Prerrequisitos:</w:t>
              <w:br/>
              <w:t>1. Contenedores Docker activos y accesibles en http://localhost (Frontend) y http://localhost:8000 (API).</w:t>
              <w:br/>
              <w:t>2. Usuarios precargados en la base de datos con contraseñas hasheadas en bcrypt.</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Pr>
          <w:p>
            <w:r>
              <w:rPr>
                <w:rFonts w:ascii="NewsGotT" w:hAnsi="NewsGotT"/>
                <w:sz w:val="18"/>
              </w:rPr>
              <w:t>Pasos:</w:t>
              <w:br/>
              <w:t>Paso 1: Abrir el navegador Google Chrome e ingresar a la URL del sistema (http://localhost).</w:t>
              <w:br/>
              <w:t>Paso 2: En el formulario de inicio de sesión, ingresar el correo corporativo (ej. cajero@impresostrujillo.pe) y contraseña.</w:t>
              <w:br/>
              <w:t>Paso 3: Presionar el botón "Iniciar Sesión".</w:t>
              <w:br/>
              <w:t>Paso 4: Verificar la redirección al panel de ventanilla y comprobar que las opciones gerenciales no sean visibles.</w:t>
              <w:br/>
              <w:t>Paso 5: Cerrar sesión mediante el botón del perfil y verificar que el token sea revocado en el cliente.</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Pr>
          <w:p>
            <w:r>
              <w:rPr>
                <w:rFonts w:ascii="NewsGotT" w:hAnsi="NewsGotT"/>
                <w:sz w:val="18"/>
              </w:rPr>
              <w:t>Resultado esperado:</w:t>
              <w:br/>
              <w:t>El sistema valida las credenciales, almacena el token JWT de forma segura, muestra un mensaje de bienvenida reactivo y redirige al usuario a la vista correspondiente a su rol sin exponer rutas restringidas.</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Pr>
          <w:p>
            <w:r>
              <w:rPr>
                <w:rFonts w:ascii="NewsGotT" w:hAnsi="NewsGotT"/>
                <w:sz w:val="18"/>
              </w:rPr>
              <w:t>Resultado obtenido:</w:t>
              <w:br/>
              <w:t>El usuario cajero ingresó correctamente al módulo de mostrador en 380 ms; la barra lateral ocultó dinámicamente las vistas de Business Intelligence y Configuración Avanzada. Al cerrar sesión, la redirección al login fue inmediata.</w:t>
            </w:r>
          </w:p>
        </w:tc>
      </w:tr>
    </w:tbl>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Gestión del Directorio de Clientes Comerciales y Validación RUC/DNI</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CP-02</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Validar la interfaz de registro, búsqueda interactiva y actualización de clientes comerciales y personas naturales, comprobando la validación algorítmica de DNI (8 dígitos) y RUC (11 dígitos con regla SUNAT).</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Usuario autenticado con rol Cajero o Administrador.</w:t>
              <w:br/>
              <w:t>2. Conexión activa a base de datos PostgreSQL.</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Navegar a la sección "Clientes" desde el menú lateral.</w:t>
              <w:br/>
              <w:t>Paso 2: Pulsar el botón "Nuevo Cliente" para desplegar el modal de registro.</w:t>
              <w:br/>
              <w:t>Paso 3: Seleccionar tipo de documento "RUC" e ingresar "20601234567", Razón Social "Comercializadora del Norte S.A.C." y teléfono celular "949123456".</w:t>
              <w:br/>
              <w:t>Paso 4: Presionar el botón "Guardar Cliente".</w:t>
              <w:br/>
              <w:t>Paso 5: Utilizar la barra de búsqueda reactiva escribiendo las tres primeras letras ("Com") y verificar el filtrado inmediato en la tabla.</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El sistema valida la estructura del RUC, persiste el registro en base de datos sin duplicar documentos, cierra el modal y muestra al cliente en la primera fila de la tabla con feedback visual exitoso.</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El cliente se registró satisfactoriamente en 120 ms; la búsqueda instantánea filtró el registro sin latencia visible y el botón de edición permitió actualizar el número de teléfono de inmediato.</w:t>
            </w:r>
          </w:p>
        </w:tc>
      </w:tr>
    </w:tbl>
    <w:p>
      <w:pPr>
        <w:spacing w:before="120" w:after="120"/>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Emisión de Orden de Trabajo, Cotización por Metraje y Reserva de Insumos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CP-03</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Verificar la interfaz del Talonario Virtual para emisión de órdenes de trabajo de gigantografía, calculando automáticamente el área en m², el precio unitario, el desglose opcional de IGV, la reserva de stock y el comprobante interno.</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Sesión de caja abierta en la jornada.</w:t>
              <w:br/>
              <w:t>2. Cliente registrado y materiales con stock disponible en almacén.</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Acceder al módulo "Nueva Orden" (Talonario Virtual).</w:t>
              <w:br/>
              <w:t>Paso 2: Seleccionar al cliente registrado en el autocompletado.</w:t>
              <w:br/>
              <w:t>Paso 3: Elegir la línea "Gigantografías", sustrato "Lona Frontlit 13oz", ingresar ancho: 2.50 m y alto: 4.00 m (10.00 m²).</w:t>
              <w:br/>
              <w:t>Paso 4: Verificar que el sistema calcule automáticamente el subtotal (S/ 150.00) y exija el adelanto mínimo del 50% (S/ 75.00).</w:t>
              <w:br/>
              <w:t>Paso 5: Ingresar S/ 80.00 como anticipo en efectivo y presionar "Generar Orden de Trabajo".</w:t>
              <w:br/>
              <w:t>Paso 6: Pulsar "Imprimir Comprobante" y revisar la vista previa de impresión térmica/A4.</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El sistema genera la orden con correlativo único correlativo (ej. ORD-000225), reserva 10.0 m² en inventario, calcula el saldo pendiente (S/ 70.00) y abre el diálogo de impresión con el diseño del contrato/proforma.</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Orden generada con éxito con código correlativo correlacionado en 250 ms; el inventario de Lona Frontlit 13oz disminuyó inmediatamente en 10.0 m² y el documento de impresión reflejó todos los datos con precisión tipográfica.</w:t>
            </w:r>
          </w:p>
        </w:tc>
      </w:tr>
    </w:tbl>
    <w:p>
      <w:pPr>
        <w:spacing w:before="120" w:after="120"/>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Registro Cronológico de Cobros, Anticipos y Arqueo Diario de Caja</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CP-04</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Comprobar la recepción de cobros adicionales en mostrador, el registro de operaciones digitales (Yape/Plin), la actualización en tiempo real del saldo deudor y la conciliación segregada en el arqueo diario.</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Orden de trabajo existente con saldo pendiente de pago.</w:t>
              <w:br/>
              <w:t>2. Sesión de caja activa a nombre del usuario en turno.</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Localizar la orden ORD-000225 en la lista de órdenes (Saldo: S/ 70.00).</w:t>
              <w:br/>
              <w:t>Paso 2: Pulsar el botón "Registrar Pago" en la fila correspondiente.</w:t>
              <w:br/>
              <w:t>Paso 3: Seleccionar medio de pago "YAPE", ingresar monto "S/ 50.00" y número de operación "YAP-88319".</w:t>
              <w:br/>
              <w:t>Paso 4: Presionar "Confirmar Cobro" y constatar la reducción del saldo a S/ 20.00.</w:t>
              <w:br/>
              <w:t>Paso 5: Ir al módulo "Caja", visualizar el arqueo en vivo y verificar la segregación entre Efectivo y Yape.</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El cobro se registra con sello de tiempo y cajero, el estado de pago pasa a "PARCIAL" y el arqueo de caja suma S/ 50.00 a la columna Yape dentro de la línea de Gigantografías.</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El pago se procesó limpiamente; el modal de caja mostró la sumatoria consolidada segregando el efectivo de las billeteras digitales con total exactitud contable.</w:t>
            </w:r>
          </w:p>
        </w:tc>
      </w:tr>
    </w:tbl>
    <w:p>
      <w:pPr>
        <w:spacing w:before="120" w:after="120"/>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Verificación del Candado Digital de Despacho y Edición de Pedidos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CP-05</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Verificar la restricción de seguridad de software ("candado digital") que impide marcar una orden como "Entregado" si mantiene saldo deudor mayor a S/ 0.00, y comprobar la restricción de edición sobre trabajos en producción.</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Orden de trabajo terminada físicamente en taller pero con saldo pendiente (S/ 20.00).</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Abrir la orden ORD-000225 en estado "TERMINADO".</w:t>
              <w:br/>
              <w:t>Paso 2: Intentar cambiar el estado a "ENTREGADO" mediante el botón de despacho.</w:t>
              <w:br/>
              <w:t>Paso 3: Verificar que el botón se encuentre bloqueado con un tooltip de alerta ("Saldo pendiente: S/ 20.00").</w:t>
              <w:br/>
              <w:t>Paso 4: Presionar "Liquidar Saldo", registrar el pago restante de S/ 20.00 en efectivo.</w:t>
              <w:br/>
              <w:t>Paso 5: Comprobar que el saldo llegue a S/ 0.00 y el botón "Entregar al Cliente" se habilite de forma reactiva.</w:t>
              <w:br/>
              <w:t>Paso 6: Presionar "Entregar al Cliente" y confirmar la finalización del ciclo comercial.</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El candado digital bloquea taxativamente el despacho mientras exista deuda; tras liquidar el saldo total, el botón se activa automáticamente y la orden pasa a estado ENTREGADO.</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Bloqueo visual y por backend verificado al 100%; impidió el cambio de estado con saldo deudor. Al liquidar los S/ 20.00 restantes, el estado cambió a ENTREGADO sin errores.</w:t>
            </w:r>
          </w:p>
        </w:tc>
      </w:tr>
    </w:tbl>
    <w:p>
      <w:pPr>
        <w:spacing w:before="120" w:after="120"/>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Flujo de Producción en Tablero Visual Kanban y Asignación de Taller</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CP-06</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Validar el tablero interactivo de producción estilo Kanban en Angular 21, la interacción de arrastrar y soltar (drag-and-drop) entre columnas de estado, la asignación de máquinas de impresión y el registro de mermas técnicas.</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Usuario con rol de Taller, Cajero o Administrador.</w:t>
              <w:br/>
              <w:t>2. Órdenes creadas en diferentes estados operativos.</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Ingresar a la vista "Tablero Kanban de Taller".</w:t>
              <w:br/>
              <w:t>Paso 2: Visualizar las columnas: "Pendiente", "En Diseño", "En Impresión", "En Acabados" y "Terminado".</w:t>
              <w:br/>
              <w:t>Paso 3: Arrastrar una tarjeta de orden desde "Pendiente" hacia "En Impresión".</w:t>
              <w:br/>
              <w:t>Paso 4: En el modal emergente de asignación, seleccionar máquina "Wit-Color Ultra 1000" y operario responsable.</w:t>
              <w:br/>
              <w:t>Paso 5: Mover la tarjeta hacia "Terminado" y declarar 0.50 m² de merma técnica por calibración.</w:t>
              <w:br/>
              <w:t>Paso 6: Verificar la persistencia del estado en la base de datos recargando la página.</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La tarjeta se desplaza con animación fluida, actualiza el estado en backend vía PATCH /api/pedidos/{id}/estado en menos de 50 ms y registra la merma en inventario.</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El drag-and-drop operó con gran fluidez mediante Angular CDK; la orden se actualizó en tiempo real y el registro de merma se imputó correctamente al centro de costos de gigantografía.</w:t>
            </w:r>
          </w:p>
        </w:tc>
      </w:tr>
    </w:tbl>
    <w:p>
      <w:pPr>
        <w:spacing w:before="120" w:after="120"/>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Dashboard Interactivo de Business Intelligence y Alertas de Stock Crítico</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CP-07</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Comprobar el despliegue del panel gerencial de BI con tarjetas KPI reactivas (Ingresos Totales, Saldo por Cobrar, Ticket Promedio, Ratio de Cobranza), gráficos de barras/sectores por línea y alertas de existencias mínimas.</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Usuario autenticado con rol Administrador / Gerencia.</w:t>
              <w:br/>
              <w:t>2. Base de datos con órdenes de venta y pagos del período.</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Acceder a la vista "Dashboard BI" desde el menú principal.</w:t>
              <w:br/>
              <w:t>Paso 2: Comprobar la carga de las 4 tarjetas KPI con datos en vivo (Total Facturado, Ticket Promedio, etc.).</w:t>
              <w:br/>
              <w:t>Paso 3: Filtrar por rango de fechas (últimos 30 días) y comprobar la actualización reactiva de gráficos.</w:t>
              <w:br/>
              <w:t>Paso 4: Inspeccionar el gráfico de distribución de ingresos entre Imprenta vs Gigantografías.</w:t>
              <w:br/>
              <w:t>Paso 5: Revisar la sección de "Alertas de Inventario" y verificar que los insumos con stock por debajo del umbral mínimo se muestren en color rojo de advertencia.</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El Dashboard renderiza métricas analíticas precisas calculadas por FastAPI en menos de 100 ms, los gráficos interactivos responden al filtrado y las alertas de bobinas críticas se visualizan claramente.</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Las 4 tarjetas KPI reflejaron las 224 órdenes reales de la base de datos (S/ 28,094.40 facturados); los gráficos de distribución por línea y las alertas de rollos de lona se desplegaron con óptima resolución gráfica.</w:t>
            </w:r>
          </w:p>
        </w:tc>
      </w:tr>
    </w:tbl>
    <w:p>
      <w:pPr>
        <w:spacing w:before="120" w:after="120"/>
      </w:pPr>
    </w:p>
    <w:tbl>
      <w:tblPr>
        <w:tblW w:w="9045" w:type="dxa"/>
        <w:tblInd w:w="13" w:type="dxa"/>
        <w:tblLayout w:type="fixed"/>
        <w:tblCellMar>
          <w:left w:w="10" w:type="dxa"/>
          <w:right w:w="10" w:type="dxa"/>
        </w:tblCellMar>
        <w:tblLook w:val="04A0" w:firstRow="1" w:lastRow="0" w:firstColumn="1" w:lastColumn="0" w:noHBand="0" w:noVBand="1"/>
      </w:tblPr>
      <w:tblGrid>
        <w:gridCol w:w="5357"/>
        <w:gridCol w:w="2290"/>
        <w:gridCol w:w="1398"/>
      </w:tblGrid>
      <w:tr w:rsidR="00900896" w14:paraId="7FF239BE" w14:textId="77777777">
        <w:tblPrEx>
          <w:tblCellMar>
            <w:top w:w="0" w:type="dxa"/>
            <w:bottom w:w="0" w:type="dxa"/>
          </w:tblCellMar>
        </w:tblPrEx>
        <w:tc>
          <w:tcPr>
            <w:tcW w:w="5357" w:type="dxa"/>
            <w:vMerge w:val="restart"/>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shd w:fill="1F4E78"/>
            <w:shd w:fill="1F4E78"/>
          </w:tcPr>
          <w:p>
            <w:r>
              <w:rPr>
                <w:rFonts w:ascii="NewsGotT" w:hAnsi="NewsGotT"/>
                <w:b/>
                <w:color w:val="FFFFFF"/>
                <w:sz w:val="20"/>
              </w:rPr>
              <w:t>Exportación Tabular de Reportes a Microsoft Excel 2021 LTSC con Estilos Nativos</w:t>
            </w:r>
          </w:p>
        </w:tc>
        <w:tc>
          <w:tcPr>
            <w:tcW w:w="2290" w:type="dxa"/>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shd w:fill="1F4E78"/>
            <w:shd w:fill="1F4E78"/>
          </w:tcPr>
          <w:p>
            <w:pPr>
              <w:jc w:val="center"/>
            </w:pPr>
            <w:r>
              <w:rPr>
                <w:rFonts w:ascii="NewsGotT" w:hAnsi="NewsGotT"/>
                <w:b/>
                <w:color w:val="FFFFFF"/>
                <w:sz w:val="20"/>
              </w:rPr>
              <w:t>Código: CP-08</w:t>
            </w:r>
          </w:p>
        </w:tc>
        <w:tc>
          <w:tcPr>
            <w:tcW w:w="1398"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1F4E78"/>
            <w:shd w:fill="1F4E78"/>
          </w:tcPr>
          <w:p>
            <w:r/>
          </w:p>
        </w:tc>
      </w:tr>
      <w:tr w:rsidR="00900896" w14:paraId="45159083" w14:textId="77777777">
        <w:tblPrEx>
          <w:tblCellMar>
            <w:top w:w="0" w:type="dxa"/>
            <w:bottom w:w="0" w:type="dxa"/>
          </w:tblCellMar>
        </w:tblPrEx>
        <w:tc>
          <w:tcPr>
            <w:tcW w:w="5357" w:type="dxa"/>
            <w:vMerge/>
            <w:tcBorders>
              <w:top w:val="single" w:sz="8" w:space="0" w:color="000000"/>
              <w:left w:val="single" w:sz="8" w:space="0" w:color="000000"/>
              <w:bottom w:val="single" w:sz="8" w:space="0" w:color="000000"/>
            </w:tcBorders>
            <w:shd w:val="clear" w:color="auto" w:fill="999999"/>
            <w:tcMar>
              <w:top w:w="28" w:type="dxa"/>
              <w:left w:w="28" w:type="dxa"/>
              <w:bottom w:w="28" w:type="dxa"/>
              <w:right w:w="28" w:type="dxa"/>
            </w:tcMar>
            <w:vAlign w:val="center"/>
          </w:tcPr>
          <w:p w14:paraId="0A9E30BD" w14:textId="77777777" w:rsidR="00C24141" w:rsidRDefault="00C24141"/>
        </w:tc>
        <w:tc>
          <w:tcPr>
            <w:tcW w:w="2290" w:type="dxa"/>
            <w:tcBorders>
              <w:left w:val="single" w:sz="8" w:space="0" w:color="000000"/>
              <w:bottom w:val="single" w:sz="8" w:space="0" w:color="000000"/>
            </w:tcBorders>
            <w:shd w:val="clear" w:color="auto" w:fill="999999"/>
            <w:tcMar>
              <w:top w:w="28" w:type="dxa"/>
              <w:left w:w="28" w:type="dxa"/>
              <w:bottom w:w="28" w:type="dxa"/>
              <w:right w:w="28" w:type="dxa"/>
            </w:tcMar>
            <w:vAlign w:val="center"/>
            <w:shd w:fill="D9E1F2"/>
            <w:shd w:fill="D9E1F2"/>
          </w:tcPr>
          <w:p>
            <w:r>
              <w:rPr>
                <w:rFonts w:ascii="NewsGotT" w:hAnsi="NewsGotT"/>
                <w:b/>
                <w:sz w:val="18"/>
              </w:rPr>
              <w:t>¿Prueba de despliegue?</w:t>
            </w:r>
          </w:p>
        </w:tc>
        <w:tc>
          <w:tcPr>
            <w:tcW w:w="1398" w:type="dxa"/>
            <w:tcBorders>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shd w:fill="FFF2CC"/>
            <w:shd w:fill="FFF2CC"/>
          </w:tcPr>
          <w:p>
            <w:pPr>
              <w:jc w:val="center"/>
            </w:pPr>
            <w:r>
              <w:rPr>
                <w:rFonts w:ascii="NewsGotT" w:hAnsi="NewsGotT"/>
                <w:b/>
                <w:color w:val="C00000"/>
                <w:sz w:val="20"/>
              </w:rPr>
              <w:t>NO</w:t>
            </w:r>
          </w:p>
        </w:tc>
      </w:tr>
      <w:tr w:rsidR="00900896" w14:paraId="30B1175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Descripción:</w:t>
              <w:br/>
              <w:t>Validar la funcionalidad de descarga de reportes contables y operativos en formato nativo .xlsx generado con openpyxl, verificando estilos corporativos azul marino, tipos de datos numéricos y fórmulas de sumatoria.</w:t>
            </w:r>
          </w:p>
        </w:tc>
      </w:tr>
      <w:tr w:rsidR="00900896" w14:paraId="7AFBE07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Prerrequisitos:</w:t>
              <w:br/>
              <w:t>1. Usuario con permisos de visualización de reportes (Cajero o Administrador).</w:t>
              <w:br/>
              <w:t>2. Conjunto de órdenes y movimientos de caja en el período.</w:t>
            </w:r>
          </w:p>
        </w:tc>
      </w:tr>
      <w:tr w:rsidR="00900896" w14:paraId="39B5B1E3"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Pasos:</w:t>
              <w:br/>
              <w:t>Paso 1: Navegar a la vista de "Reportes de Ventas y Finanzas".</w:t>
              <w:br/>
              <w:t>Paso 2: Seleccionar el período de reporte deseado.</w:t>
              <w:br/>
              <w:t>Paso 3: Pulsar el botón verde "Exportar a Excel (.xlsx)".</w:t>
              <w:br/>
              <w:t>Paso 4: Comprobar la descarga automática del archivo binario con nombre "reporte_pedidos_20261016.xlsx".</w:t>
              <w:br/>
              <w:t>Paso 5: Abrir el archivo descargado en Microsoft Excel 2021 LTSC y verificar que no presente advertencias de corrupción.</w:t>
              <w:br/>
              <w:t>Paso 6: Comprobar cabeceras azul marino, bordes finos, formato moneda en soles (S/ #,##0.00) y fórmulas automáticas de SUMA en la fila de totales.</w:t>
            </w:r>
          </w:p>
        </w:tc>
      </w:tr>
      <w:tr w:rsidR="00900896" w14:paraId="6B356D6C"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Mar>
              <w:top w:w="80" w:type="dxa"/>
              <w:bottom w:w="80" w:type="dxa"/>
              <w:left w:w="120" w:type="dxa"/>
              <w:right w:w="120" w:type="dxa"/>
            </w:tcMar>
            <w:shd w:fill="F9FBFD"/>
            <w:tcMar>
              <w:top w:w="80" w:type="dxa"/>
              <w:bottom w:w="80" w:type="dxa"/>
              <w:left w:w="120" w:type="dxa"/>
              <w:right w:w="120" w:type="dxa"/>
            </w:tcMar>
            <w:shd w:fill="F9FBFD"/>
          </w:tcPr>
          <w:p>
            <w:r>
              <w:rPr>
                <w:rFonts w:ascii="NewsGotT" w:hAnsi="NewsGotT"/>
                <w:sz w:val="18"/>
              </w:rPr>
              <w:t>Resultado esperado:</w:t>
              <w:br/>
              <w:t>El servidor transmite el stream application/vnd.openxmlformats-officedocument.spreadsheetml.sheet en menos de 500 ms y Excel abre el documento con diseño profesional y fórmulas nativas ejecutables.</w:t>
            </w:r>
          </w:p>
        </w:tc>
      </w:tr>
      <w:tr w:rsidR="00900896" w14:paraId="6F2D3344" w14:textId="77777777">
        <w:tblPrEx>
          <w:tblCellMar>
            <w:top w:w="0" w:type="dxa"/>
            <w:bottom w:w="0" w:type="dxa"/>
          </w:tblCellMar>
        </w:tblPrEx>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Mar>
              <w:top w:w="80" w:type="dxa"/>
              <w:bottom w:w="80" w:type="dxa"/>
              <w:left w:w="120" w:type="dxa"/>
              <w:right w:w="120" w:type="dxa"/>
            </w:tcMar>
            <w:tcMar>
              <w:top w:w="80" w:type="dxa"/>
              <w:bottom w:w="80" w:type="dxa"/>
              <w:left w:w="120" w:type="dxa"/>
              <w:right w:w="120" w:type="dxa"/>
            </w:tcMar>
          </w:tcPr>
          <w:p>
            <w:r>
              <w:rPr>
                <w:rFonts w:ascii="NewsGotT" w:hAnsi="NewsGotT"/>
                <w:sz w:val="18"/>
              </w:rPr>
              <w:t>Resultado obtenido:</w:t>
              <w:br/>
              <w:t>El archivo Excel de 224 órdenes se generó y descargó en 320 ms; se abrió limpiamente en Microsoft Excel 2021 sin errores de formato, con anchos de columna automáticos y sumatorias coincidentes al 100% con la base de datos.</w:t>
            </w:r>
          </w:p>
        </w:tc>
      </w:tr>
    </w:tbl>
    <w:p>
      <w:pPr>
        <w:spacing w:before="120" w:after="120"/>
      </w:pPr>
    </w:p>
    <w:p w14:paraId="3414A759" w14:textId="77777777" w:rsidR="00900896" w:rsidRDefault="00900896">
      <w:pPr>
        <w:pStyle w:val="Standard"/>
        <w:rPr>
          <w:lang/>
        </w:rPr>
      </w:pPr>
    </w:p>
    <w:p w14:paraId="1764CDB0" w14:textId="77777777" w:rsidR="00900896" w:rsidRDefault="00900896">
      <w:pPr>
        <w:pStyle w:val="Textbody"/>
        <w:rPr>
          <w:lang/>
        </w:rPr>
      </w:pPr>
    </w:p>
    <w:p w14:paraId="11338FF0" w14:textId="77777777" w:rsidR="00900896" w:rsidRDefault="00900896">
      <w:pPr>
        <w:pStyle w:val="Textbody"/>
        <w:rPr>
          <w:lang/>
        </w:rPr>
      </w:pPr>
    </w:p>
    <w:p w14:paraId="0225AA1B" w14:textId="77777777" w:rsidR="00900896" w:rsidRDefault="00C24141">
      <w:pPr>
        <w:pStyle w:val="Ttulo1"/>
        <w:rPr>
          <w:rFonts w:hint="eastAsia"/>
        </w:rPr>
      </w:pPr>
      <w:bookmarkStart w:id="6" w:name="__RefHeading__3798_904956992"/>
      <w:bookmarkEnd w:id="6"/>
      <w:r>
        <w:lastRenderedPageBreak/>
        <w:t>ESTRATEGIA DE EJECUCIÓN DE PRUEBAS</w:t>
      </w:r>
    </w:p>
    <w:p w14:paraId="79FB7EF5" w14:textId="77777777" w:rsidR="00900896" w:rsidRDefault="00C24141">
      <w:pPr>
        <w:pStyle w:val="Standard"/>
        <w:jc w:val="both"/>
      </w:pPr>
      <w:r/>
    </w:p>
    <w:p w14:paraId="40428334" w14:textId="77777777" w:rsidR="00900896" w:rsidRDefault="00C24141">
      <w:pPr>
        <w:pStyle w:val="Standard"/>
        <w:rPr>
          <w:rFonts w:eastAsia="NewsGotT" w:cs="NewsGotT"/>
          <w:szCs w:val="20"/>
        </w:rPr>
      </w:pPr>
      <w:r>
        <w:rPr>
          <w:rFonts w:eastAsia="NewsGotT" w:cs="NewsGotT"/>
          <w:noProof/>
          <w:szCs w:val="20"/>
        </w:rPr>
        <mc:AlternateContent>
          <mc:Choice Requires="wps">
            <w:drawing>
              <wp:anchor distT="0" distB="0" distL="114300" distR="114300" simplePos="0" relativeHeight="4" behindDoc="0" locked="0" layoutInCell="1" allowOverlap="1" wp14:anchorId="3BBE6198" wp14:editId="11B2D24C">
                <wp:simplePos x="0" y="0"/>
                <wp:positionH relativeFrom="column">
                  <wp:posOffset>0</wp:posOffset>
                </wp:positionH>
                <wp:positionV relativeFrom="paragraph">
                  <wp:posOffset>151920</wp:posOffset>
                </wp:positionV>
                <wp:extent cx="5734800" cy="306000"/>
                <wp:effectExtent l="0" t="0" r="18300" b="17850"/>
                <wp:wrapSquare wrapText="bothSides"/>
                <wp:docPr id="1529289372" name="Marco1"/>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5BB0E455" w14:textId="77777777" w:rsidR="00900896" w:rsidRDefault="00C24141">
                            <w:pPr>
                              <w:pStyle w:val="Standard"/>
                              <w:shd w:val="clear" w:color="auto" w:fill="FFFFFF"/>
                              <w:jc w:val="both"/>
                              <w:rPr>
                                <w:rFonts w:eastAsia="NewsGotT" w:cs="NewsGotT"/>
                                <w:szCs w:val="20"/>
                              </w:rPr>
                            </w:pPr>
                            <w:r>
                              <w:rPr>
                                <w:rFonts w:eastAsia="NewsGotT" w:cs="NewsGotT"/>
                                <w:szCs w:val="20"/>
                              </w:rPr>
                              <w:t xml:space="preserve">En este apartado  se deberá indicar la estrategia a seguir en la ejecución de las pruebas; para ello se deberán identificar los posibles ciclos de pruebas, y los casos de pruebas que lo componen. Además, deberá indicarse  el orden en el que deberán ejecturase los casos de pruebas definidos. Para ello se propone completar una matriz como la siguiente, donde haya un inventario de los casos de prueba y de los ciclos de pruebas, de tal forma que puedan </w:t>
                            </w:r>
                            <w:r>
                              <w:rPr>
                                <w:rFonts w:eastAsia="NewsGotT" w:cs="NewsGotT"/>
                                <w:szCs w:val="20"/>
                              </w:rPr>
                              <w:t>relacionarse los casos de prueba con los ciclos donde son ejecutados.</w:t>
                            </w:r>
                          </w:p>
                        </w:txbxContent>
                      </wps:txbx>
                      <wps:bodyPr vert="horz" lIns="88920" tIns="50760" rIns="88920" bIns="50760" compatLnSpc="0">
                        <a:spAutoFit/>
                      </wps:bodyPr>
                    </wps:wsp>
                  </a:graphicData>
                </a:graphic>
              </wp:anchor>
            </w:drawing>
          </mc:Choice>
          <mc:Fallback>
            <w:pict>
              <v:shape w14:anchorId="3BBE6198" id="Marco1" o:spid="_x0000_s1029" type="#_x0000_t202" style="position:absolute;margin-left:0;margin-top:11.95pt;width:451.55pt;height:24.1pt;z-index: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" filled="f" strokecolor="#ccc" strokeweight=".18mm">
                <v:textbox style="mso-fit-shape-to-text:t" inset="2.47mm,1.41mm,2.47mm,1.41mm">
                  <w:txbxContent>
                    <w:p w14:paraId="5BB0E455" w14:textId="77777777" w:rsidR="00900896" w:rsidRDefault="00C24141">
                      <w:pPr>
                        <w:pStyle w:val="Standard"/>
                        <w:shd w:val="clear" w:color="auto" w:fill="FFFFFF"/>
                        <w:jc w:val="both"/>
                        <w:rPr>
                          <w:rFonts w:eastAsia="NewsGotT" w:cs="NewsGotT"/>
                          <w:szCs w:val="20"/>
                        </w:rPr>
                      </w:pPr>
                      <w:r>
                        <w:rPr>
                          <w:rFonts w:eastAsia="NewsGotT" w:cs="NewsGotT"/>
                          <w:szCs w:val="20"/>
                        </w:rPr>
                        <w:t xml:space="preserve">En este apartado  se deberá indicar la estrategia a seguir en la ejecución de las pruebas; para ello se deberán identificar los posibles ciclos de pruebas, y los casos de pruebas que lo componen. Además, deberá indicarse  el orden en el que deberán ejecturase los casos de pruebas definidos. Para ello se propone completar una matriz como la siguiente, donde haya un inventario de los casos de prueba y de los ciclos de pruebas, de tal forma que puedan </w:t>
                      </w:r>
                      <w:r>
                        <w:rPr>
                          <w:rFonts w:eastAsia="NewsGotT" w:cs="NewsGotT"/>
                          <w:szCs w:val="20"/>
                        </w:rPr>
                        <w:t>relacionarse los casos de prueba con los ciclos donde son ejecutados.</w:t>
                      </w:r>
                    </w:p>
                  </w:txbxContent>
                </v:textbox>
                <w10:wrap type="square"/>
              </v:shape>
            </w:pict>
          </mc:Fallback>
        </mc:AlternateContent>
      </w:r>
      <w:r>
        <w:rPr>
          <w:rFonts w:eastAsia="NewsGotT" w:cs="NewsGotT"/>
          <w:szCs w:val="20"/>
        </w:rPr>
        <w:t>.</w:t>
      </w:r>
    </w:p>
    <w:tbl>
      <w:tblPr>
        <w:tblW w:w="9071" w:type="dxa"/>
        <w:tblLayout w:type="fixed"/>
        <w:tblCellMar>
          <w:left w:w="10" w:type="dxa"/>
          <w:right w:w="10" w:type="dxa"/>
        </w:tblCellMar>
        <w:tblLook w:val="04A0" w:firstRow="1" w:lastRow="0" w:firstColumn="1" w:lastColumn="0" w:noHBand="0" w:noVBand="1"/>
      </w:tblPr>
      <w:tblGrid>
        <w:gridCol w:w="1133"/>
        <w:gridCol w:w="1133"/>
        <w:gridCol w:w="1134"/>
        <w:gridCol w:w="1134"/>
        <w:gridCol w:w="1134"/>
        <w:gridCol w:w="1134"/>
        <w:gridCol w:w="1134"/>
        <w:gridCol w:w="1135"/>
      </w:tblGrid>
      <w:tr>
        <w:tc>
          <w:tcPr>
            <w:tcW w:type="dxa" w:w="1133"/>
            <w:shd w:fill="1F4E78"/>
          </w:tcPr>
          <w:p>
            <w:pPr>
              <w:jc w:val="center"/>
            </w:pPr>
            <w:r>
              <w:rPr>
                <w:rFonts w:ascii="NewsGotT" w:hAnsi="NewsGotT"/>
                <w:b/>
                <w:color w:val="FFFFFF"/>
                <w:sz w:val="18"/>
              </w:rPr>
              <w:t>Caso de Prueba</w:t>
            </w:r>
          </w:p>
        </w:tc>
        <w:tc>
          <w:tcPr>
            <w:tcW w:type="dxa" w:w="1133"/>
            <w:shd w:fill="1F4E78"/>
          </w:tcPr>
          <w:p>
            <w:pPr>
              <w:jc w:val="center"/>
            </w:pPr>
            <w:r>
              <w:rPr>
                <w:rFonts w:ascii="NewsGotT" w:hAnsi="NewsGotT"/>
                <w:b/>
                <w:color w:val="FFFFFF"/>
                <w:sz w:val="18"/>
              </w:rPr>
              <w:t>Ciclo 1: Ejecución Inicial (Sprint 5)</w:t>
            </w:r>
          </w:p>
        </w:tc>
        <w:tc>
          <w:tcPr>
            <w:tcW w:type="dxa" w:w="1134"/>
            <w:shd w:fill="1F4E78"/>
          </w:tcPr>
          <w:p>
            <w:pPr>
              <w:jc w:val="center"/>
            </w:pPr>
            <w:r>
              <w:rPr>
                <w:rFonts w:ascii="NewsGotT" w:hAnsi="NewsGotT"/>
                <w:b/>
                <w:color w:val="FFFFFF"/>
                <w:sz w:val="18"/>
              </w:rPr>
              <w:t>Ciclo 2: Regresión y Ajustes (Sprint 6 / T2)</w:t>
            </w:r>
          </w:p>
        </w:tc>
        <w:tc>
          <w:tcPr>
            <w:tcW w:type="dxa" w:w="1134"/>
            <w:shd w:fill="1F4E78"/>
          </w:tcPr>
          <w:p>
            <w:pPr>
              <w:jc w:val="center"/>
            </w:pPr>
            <w:r>
              <w:rPr>
                <w:rFonts w:ascii="NewsGotT" w:hAnsi="NewsGotT"/>
                <w:b/>
                <w:color w:val="FFFFFF"/>
                <w:sz w:val="18"/>
              </w:rPr>
              <w:t>Estado Final</w:t>
            </w:r>
          </w:p>
        </w:tc>
        <w:tc>
          <w:tcPr>
            <w:tcW w:type="dxa" w:w="1134"/>
          </w:tcPr>
          <w:p/>
        </w:tc>
        <w:tc>
          <w:tcPr>
            <w:tcW w:type="dxa" w:w="1134"/>
          </w:tcPr>
          <w:p/>
        </w:tc>
        <w:tc>
          <w:tcPr>
            <w:tcW w:type="dxa" w:w="1134"/>
          </w:tcPr>
          <w:p/>
        </w:tc>
        <w:tc>
          <w:tcPr>
            <w:tcW w:type="dxa" w:w="1135"/>
          </w:tcPr>
          <w:p/>
        </w:tc>
      </w:tr>
      <w:tr>
        <w:tc>
          <w:tcPr>
            <w:tcW w:type="dxa" w:w="1133"/>
            <w:tcMar>
              <w:top w:w="80" w:type="dxa"/>
              <w:bottom w:w="80" w:type="dxa"/>
              <w:left w:w="120" w:type="dxa"/>
              <w:right w:w="120" w:type="dxa"/>
            </w:tcMar>
          </w:tcPr>
          <w:p>
            <w:r>
              <w:rPr>
                <w:rFonts w:ascii="NewsGotT" w:hAnsi="NewsGotT"/>
                <w:b/>
                <w:sz w:val="17"/>
              </w:rPr>
              <w:t>CP-01: Autenticación y RBAC</w:t>
            </w:r>
          </w:p>
        </w:tc>
        <w:tc>
          <w:tcPr>
            <w:tcW w:type="dxa" w:w="1133"/>
            <w:tcMar>
              <w:top w:w="80" w:type="dxa"/>
              <w:bottom w:w="80" w:type="dxa"/>
              <w:left w:w="120" w:type="dxa"/>
              <w:right w:w="120" w:type="dxa"/>
            </w:tcMar>
          </w:tcPr>
          <w:p>
            <w:pPr>
              <w:jc w:val="center"/>
            </w:pPr>
            <w:r>
              <w:rPr>
                <w:rFonts w:ascii="NewsGotT" w:hAnsi="NewsGotT"/>
                <w:sz w:val="17"/>
              </w:rPr>
              <w:t>OK (Aprobado - 16/10/2026)</w:t>
            </w:r>
          </w:p>
        </w:tc>
        <w:tc>
          <w:tcPr>
            <w:tcW w:type="dxa" w:w="1134"/>
            <w:tcMar>
              <w:top w:w="80" w:type="dxa"/>
              <w:bottom w:w="80" w:type="dxa"/>
              <w:left w:w="120" w:type="dxa"/>
              <w:right w:w="120" w:type="dxa"/>
            </w:tcMar>
          </w:tcPr>
          <w:p>
            <w:pPr>
              <w:jc w:val="center"/>
            </w:pPr>
            <w:r>
              <w:rPr>
                <w:rFonts w:ascii="NewsGotT" w:hAnsi="NewsGotT"/>
                <w:sz w:val="17"/>
              </w:rPr>
              <w:t>Programado (Regresión)</w:t>
            </w:r>
          </w:p>
        </w:tc>
        <w:tc>
          <w:tcPr>
            <w:tcW w:type="dxa" w:w="1134"/>
            <w:tcMar>
              <w:top w:w="80" w:type="dxa"/>
              <w:bottom w:w="80" w:type="dxa"/>
              <w:left w:w="120" w:type="dxa"/>
              <w:right w:w="120" w:type="dxa"/>
            </w:tcMar>
          </w:tcPr>
          <w:p>
            <w:pPr>
              <w:jc w:val="center"/>
            </w:pPr>
            <w:r>
              <w:rPr>
                <w:rFonts w:ascii="NewsGotT" w:hAnsi="NewsGotT"/>
                <w:b/>
                <w:color w:val="2E75B6"/>
                <w:sz w:val="17"/>
              </w:rPr>
              <w:t>APROBADO</w:t>
            </w: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5"/>
            <w:tcMar>
              <w:top w:w="80" w:type="dxa"/>
              <w:bottom w:w="80" w:type="dxa"/>
              <w:left w:w="120" w:type="dxa"/>
              <w:right w:w="120" w:type="dxa"/>
            </w:tcMar>
          </w:tcPr>
          <w:p>
            <w:pPr>
              <w:jc w:val="center"/>
            </w:pPr>
          </w:p>
        </w:tc>
      </w:tr>
      <w:tr>
        <w:tc>
          <w:tcPr>
            <w:tcW w:type="dxa" w:w="1133"/>
            <w:shd w:fill="F2F4F7"/>
            <w:tcMar>
              <w:top w:w="80" w:type="dxa"/>
              <w:bottom w:w="80" w:type="dxa"/>
              <w:left w:w="120" w:type="dxa"/>
              <w:right w:w="120" w:type="dxa"/>
            </w:tcMar>
          </w:tcPr>
          <w:p>
            <w:r>
              <w:rPr>
                <w:rFonts w:ascii="NewsGotT" w:hAnsi="NewsGotT"/>
                <w:b/>
                <w:sz w:val="17"/>
              </w:rPr>
              <w:t>CP-02: Directorio de Clientes</w:t>
            </w:r>
          </w:p>
        </w:tc>
        <w:tc>
          <w:tcPr>
            <w:tcW w:type="dxa" w:w="1133"/>
            <w:shd w:fill="F2F4F7"/>
            <w:tcMar>
              <w:top w:w="80" w:type="dxa"/>
              <w:bottom w:w="80" w:type="dxa"/>
              <w:left w:w="120" w:type="dxa"/>
              <w:right w:w="120" w:type="dxa"/>
            </w:tcMar>
          </w:tcPr>
          <w:p>
            <w:pPr>
              <w:jc w:val="center"/>
            </w:pPr>
            <w:r>
              <w:rPr>
                <w:rFonts w:ascii="NewsGotT" w:hAnsi="NewsGotT"/>
                <w:sz w:val="17"/>
              </w:rPr>
              <w:t>OK (Aprobado - 16/10/2026)</w:t>
            </w:r>
          </w:p>
        </w:tc>
        <w:tc>
          <w:tcPr>
            <w:tcW w:type="dxa" w:w="1134"/>
            <w:shd w:fill="F2F4F7"/>
            <w:tcMar>
              <w:top w:w="80" w:type="dxa"/>
              <w:bottom w:w="80" w:type="dxa"/>
              <w:left w:w="120" w:type="dxa"/>
              <w:right w:w="120" w:type="dxa"/>
            </w:tcMar>
          </w:tcPr>
          <w:p>
            <w:pPr>
              <w:jc w:val="center"/>
            </w:pPr>
            <w:r>
              <w:rPr>
                <w:rFonts w:ascii="NewsGotT" w:hAnsi="NewsGotT"/>
                <w:sz w:val="17"/>
              </w:rPr>
              <w:t>Programado (Regresión)</w:t>
            </w:r>
          </w:p>
        </w:tc>
        <w:tc>
          <w:tcPr>
            <w:tcW w:type="dxa" w:w="1134"/>
            <w:shd w:fill="F2F4F7"/>
            <w:tcMar>
              <w:top w:w="80" w:type="dxa"/>
              <w:bottom w:w="80" w:type="dxa"/>
              <w:left w:w="120" w:type="dxa"/>
              <w:right w:w="120" w:type="dxa"/>
            </w:tcMar>
          </w:tcPr>
          <w:p>
            <w:pPr>
              <w:jc w:val="center"/>
            </w:pPr>
            <w:r>
              <w:rPr>
                <w:rFonts w:ascii="NewsGotT" w:hAnsi="NewsGotT"/>
                <w:b/>
                <w:color w:val="2E75B6"/>
                <w:sz w:val="17"/>
              </w:rPr>
              <w:t>APROBADO</w:t>
            </w: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5"/>
            <w:shd w:fill="F2F4F7"/>
            <w:tcMar>
              <w:top w:w="80" w:type="dxa"/>
              <w:bottom w:w="80" w:type="dxa"/>
              <w:left w:w="120" w:type="dxa"/>
              <w:right w:w="120" w:type="dxa"/>
            </w:tcMar>
          </w:tcPr>
          <w:p>
            <w:pPr>
              <w:jc w:val="center"/>
            </w:pPr>
          </w:p>
        </w:tc>
      </w:tr>
      <w:tr>
        <w:tc>
          <w:tcPr>
            <w:tcW w:type="dxa" w:w="1133"/>
            <w:tcMar>
              <w:top w:w="80" w:type="dxa"/>
              <w:bottom w:w="80" w:type="dxa"/>
              <w:left w:w="120" w:type="dxa"/>
              <w:right w:w="120" w:type="dxa"/>
            </w:tcMar>
          </w:tcPr>
          <w:p>
            <w:r>
              <w:rPr>
                <w:rFonts w:ascii="NewsGotT" w:hAnsi="NewsGotT"/>
                <w:b/>
                <w:sz w:val="17"/>
              </w:rPr>
              <w:t>CP-03: Emisión de Orden y Cotización</w:t>
            </w:r>
          </w:p>
        </w:tc>
        <w:tc>
          <w:tcPr>
            <w:tcW w:type="dxa" w:w="1133"/>
            <w:tcMar>
              <w:top w:w="80" w:type="dxa"/>
              <w:bottom w:w="80" w:type="dxa"/>
              <w:left w:w="120" w:type="dxa"/>
              <w:right w:w="120" w:type="dxa"/>
            </w:tcMar>
          </w:tcPr>
          <w:p>
            <w:pPr>
              <w:jc w:val="center"/>
            </w:pPr>
            <w:r>
              <w:rPr>
                <w:rFonts w:ascii="NewsGotT" w:hAnsi="NewsGotT"/>
                <w:sz w:val="17"/>
              </w:rPr>
              <w:t>OK (Aprobado - 16/10/2026)</w:t>
            </w:r>
          </w:p>
        </w:tc>
        <w:tc>
          <w:tcPr>
            <w:tcW w:type="dxa" w:w="1134"/>
            <w:tcMar>
              <w:top w:w="80" w:type="dxa"/>
              <w:bottom w:w="80" w:type="dxa"/>
              <w:left w:w="120" w:type="dxa"/>
              <w:right w:w="120" w:type="dxa"/>
            </w:tcMar>
          </w:tcPr>
          <w:p>
            <w:pPr>
              <w:jc w:val="center"/>
            </w:pPr>
            <w:r>
              <w:rPr>
                <w:rFonts w:ascii="NewsGotT" w:hAnsi="NewsGotT"/>
                <w:sz w:val="17"/>
              </w:rPr>
              <w:t>Programado (Regresión)</w:t>
            </w:r>
          </w:p>
        </w:tc>
        <w:tc>
          <w:tcPr>
            <w:tcW w:type="dxa" w:w="1134"/>
            <w:tcMar>
              <w:top w:w="80" w:type="dxa"/>
              <w:bottom w:w="80" w:type="dxa"/>
              <w:left w:w="120" w:type="dxa"/>
              <w:right w:w="120" w:type="dxa"/>
            </w:tcMar>
          </w:tcPr>
          <w:p>
            <w:pPr>
              <w:jc w:val="center"/>
            </w:pPr>
            <w:r>
              <w:rPr>
                <w:rFonts w:ascii="NewsGotT" w:hAnsi="NewsGotT"/>
                <w:b/>
                <w:color w:val="2E75B6"/>
                <w:sz w:val="17"/>
              </w:rPr>
              <w:t>APROBADO</w:t>
            </w: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5"/>
            <w:tcMar>
              <w:top w:w="80" w:type="dxa"/>
              <w:bottom w:w="80" w:type="dxa"/>
              <w:left w:w="120" w:type="dxa"/>
              <w:right w:w="120" w:type="dxa"/>
            </w:tcMar>
          </w:tcPr>
          <w:p>
            <w:pPr>
              <w:jc w:val="center"/>
            </w:pPr>
          </w:p>
        </w:tc>
      </w:tr>
      <w:tr>
        <w:tc>
          <w:tcPr>
            <w:tcW w:type="dxa" w:w="1133"/>
            <w:shd w:fill="F2F4F7"/>
            <w:tcMar>
              <w:top w:w="80" w:type="dxa"/>
              <w:bottom w:w="80" w:type="dxa"/>
              <w:left w:w="120" w:type="dxa"/>
              <w:right w:w="120" w:type="dxa"/>
            </w:tcMar>
          </w:tcPr>
          <w:p>
            <w:r>
              <w:rPr>
                <w:rFonts w:ascii="NewsGotT" w:hAnsi="NewsGotT"/>
                <w:b/>
                <w:sz w:val="17"/>
              </w:rPr>
              <w:t>CP-04: Cobros, Anticipos y Caja</w:t>
            </w:r>
          </w:p>
        </w:tc>
        <w:tc>
          <w:tcPr>
            <w:tcW w:type="dxa" w:w="1133"/>
            <w:shd w:fill="F2F4F7"/>
            <w:tcMar>
              <w:top w:w="80" w:type="dxa"/>
              <w:bottom w:w="80" w:type="dxa"/>
              <w:left w:w="120" w:type="dxa"/>
              <w:right w:w="120" w:type="dxa"/>
            </w:tcMar>
          </w:tcPr>
          <w:p>
            <w:pPr>
              <w:jc w:val="center"/>
            </w:pPr>
            <w:r>
              <w:rPr>
                <w:rFonts w:ascii="NewsGotT" w:hAnsi="NewsGotT"/>
                <w:sz w:val="17"/>
              </w:rPr>
              <w:t>OK (Aprobado - 16/10/2026)</w:t>
            </w:r>
          </w:p>
        </w:tc>
        <w:tc>
          <w:tcPr>
            <w:tcW w:type="dxa" w:w="1134"/>
            <w:shd w:fill="F2F4F7"/>
            <w:tcMar>
              <w:top w:w="80" w:type="dxa"/>
              <w:bottom w:w="80" w:type="dxa"/>
              <w:left w:w="120" w:type="dxa"/>
              <w:right w:w="120" w:type="dxa"/>
            </w:tcMar>
          </w:tcPr>
          <w:p>
            <w:pPr>
              <w:jc w:val="center"/>
            </w:pPr>
            <w:r>
              <w:rPr>
                <w:rFonts w:ascii="NewsGotT" w:hAnsi="NewsGotT"/>
                <w:sz w:val="17"/>
              </w:rPr>
              <w:t>Programado (Regresión)</w:t>
            </w:r>
          </w:p>
        </w:tc>
        <w:tc>
          <w:tcPr>
            <w:tcW w:type="dxa" w:w="1134"/>
            <w:shd w:fill="F2F4F7"/>
            <w:tcMar>
              <w:top w:w="80" w:type="dxa"/>
              <w:bottom w:w="80" w:type="dxa"/>
              <w:left w:w="120" w:type="dxa"/>
              <w:right w:w="120" w:type="dxa"/>
            </w:tcMar>
          </w:tcPr>
          <w:p>
            <w:pPr>
              <w:jc w:val="center"/>
            </w:pPr>
            <w:r>
              <w:rPr>
                <w:rFonts w:ascii="NewsGotT" w:hAnsi="NewsGotT"/>
                <w:b/>
                <w:color w:val="2E75B6"/>
                <w:sz w:val="17"/>
              </w:rPr>
              <w:t>APROBADO</w:t>
            </w: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5"/>
            <w:shd w:fill="F2F4F7"/>
            <w:tcMar>
              <w:top w:w="80" w:type="dxa"/>
              <w:bottom w:w="80" w:type="dxa"/>
              <w:left w:w="120" w:type="dxa"/>
              <w:right w:w="120" w:type="dxa"/>
            </w:tcMar>
          </w:tcPr>
          <w:p>
            <w:pPr>
              <w:jc w:val="center"/>
            </w:pPr>
          </w:p>
        </w:tc>
      </w:tr>
      <w:tr>
        <w:tc>
          <w:tcPr>
            <w:tcW w:type="dxa" w:w="1133"/>
            <w:tcMar>
              <w:top w:w="80" w:type="dxa"/>
              <w:bottom w:w="80" w:type="dxa"/>
              <w:left w:w="120" w:type="dxa"/>
              <w:right w:w="120" w:type="dxa"/>
            </w:tcMar>
          </w:tcPr>
          <w:p>
            <w:r>
              <w:rPr>
                <w:rFonts w:ascii="NewsGotT" w:hAnsi="NewsGotT"/>
                <w:b/>
                <w:sz w:val="17"/>
              </w:rPr>
              <w:t>CP-05: Candado Digital de Despacho</w:t>
            </w:r>
          </w:p>
        </w:tc>
        <w:tc>
          <w:tcPr>
            <w:tcW w:type="dxa" w:w="1133"/>
            <w:tcMar>
              <w:top w:w="80" w:type="dxa"/>
              <w:bottom w:w="80" w:type="dxa"/>
              <w:left w:w="120" w:type="dxa"/>
              <w:right w:w="120" w:type="dxa"/>
            </w:tcMar>
          </w:tcPr>
          <w:p>
            <w:pPr>
              <w:jc w:val="center"/>
            </w:pPr>
            <w:r>
              <w:rPr>
                <w:rFonts w:ascii="NewsGotT" w:hAnsi="NewsGotT"/>
                <w:sz w:val="17"/>
              </w:rPr>
              <w:t>OK (Aprobado - 16/10/2026)</w:t>
            </w:r>
          </w:p>
        </w:tc>
        <w:tc>
          <w:tcPr>
            <w:tcW w:type="dxa" w:w="1134"/>
            <w:tcMar>
              <w:top w:w="80" w:type="dxa"/>
              <w:bottom w:w="80" w:type="dxa"/>
              <w:left w:w="120" w:type="dxa"/>
              <w:right w:w="120" w:type="dxa"/>
            </w:tcMar>
          </w:tcPr>
          <w:p>
            <w:pPr>
              <w:jc w:val="center"/>
            </w:pPr>
            <w:r>
              <w:rPr>
                <w:rFonts w:ascii="NewsGotT" w:hAnsi="NewsGotT"/>
                <w:sz w:val="17"/>
              </w:rPr>
              <w:t>Programado (Regresión)</w:t>
            </w:r>
          </w:p>
        </w:tc>
        <w:tc>
          <w:tcPr>
            <w:tcW w:type="dxa" w:w="1134"/>
            <w:tcMar>
              <w:top w:w="80" w:type="dxa"/>
              <w:bottom w:w="80" w:type="dxa"/>
              <w:left w:w="120" w:type="dxa"/>
              <w:right w:w="120" w:type="dxa"/>
            </w:tcMar>
          </w:tcPr>
          <w:p>
            <w:pPr>
              <w:jc w:val="center"/>
            </w:pPr>
            <w:r>
              <w:rPr>
                <w:rFonts w:ascii="NewsGotT" w:hAnsi="NewsGotT"/>
                <w:b/>
                <w:color w:val="2E75B6"/>
                <w:sz w:val="17"/>
              </w:rPr>
              <w:t>APROBADO</w:t>
            </w: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5"/>
            <w:tcMar>
              <w:top w:w="80" w:type="dxa"/>
              <w:bottom w:w="80" w:type="dxa"/>
              <w:left w:w="120" w:type="dxa"/>
              <w:right w:w="120" w:type="dxa"/>
            </w:tcMar>
          </w:tcPr>
          <w:p>
            <w:pPr>
              <w:jc w:val="center"/>
            </w:pPr>
          </w:p>
        </w:tc>
      </w:tr>
      <w:tr>
        <w:tc>
          <w:tcPr>
            <w:tcW w:type="dxa" w:w="1133"/>
            <w:shd w:fill="F2F4F7"/>
            <w:tcMar>
              <w:top w:w="80" w:type="dxa"/>
              <w:bottom w:w="80" w:type="dxa"/>
              <w:left w:w="120" w:type="dxa"/>
              <w:right w:w="120" w:type="dxa"/>
            </w:tcMar>
          </w:tcPr>
          <w:p>
            <w:r>
              <w:rPr>
                <w:rFonts w:ascii="NewsGotT" w:hAnsi="NewsGotT"/>
                <w:b/>
                <w:sz w:val="17"/>
              </w:rPr>
              <w:t>CP-06: Tablero Kanban de Taller</w:t>
            </w:r>
          </w:p>
        </w:tc>
        <w:tc>
          <w:tcPr>
            <w:tcW w:type="dxa" w:w="1133"/>
            <w:shd w:fill="F2F4F7"/>
            <w:tcMar>
              <w:top w:w="80" w:type="dxa"/>
              <w:bottom w:w="80" w:type="dxa"/>
              <w:left w:w="120" w:type="dxa"/>
              <w:right w:w="120" w:type="dxa"/>
            </w:tcMar>
          </w:tcPr>
          <w:p>
            <w:pPr>
              <w:jc w:val="center"/>
            </w:pPr>
            <w:r>
              <w:rPr>
                <w:rFonts w:ascii="NewsGotT" w:hAnsi="NewsGotT"/>
                <w:sz w:val="17"/>
              </w:rPr>
              <w:t>OK (Aprobado - 16/10/2026)</w:t>
            </w:r>
          </w:p>
        </w:tc>
        <w:tc>
          <w:tcPr>
            <w:tcW w:type="dxa" w:w="1134"/>
            <w:shd w:fill="F2F4F7"/>
            <w:tcMar>
              <w:top w:w="80" w:type="dxa"/>
              <w:bottom w:w="80" w:type="dxa"/>
              <w:left w:w="120" w:type="dxa"/>
              <w:right w:w="120" w:type="dxa"/>
            </w:tcMar>
          </w:tcPr>
          <w:p>
            <w:pPr>
              <w:jc w:val="center"/>
            </w:pPr>
            <w:r>
              <w:rPr>
                <w:rFonts w:ascii="NewsGotT" w:hAnsi="NewsGotT"/>
                <w:sz w:val="17"/>
              </w:rPr>
              <w:t>Programado (Regresión)</w:t>
            </w:r>
          </w:p>
        </w:tc>
        <w:tc>
          <w:tcPr>
            <w:tcW w:type="dxa" w:w="1134"/>
            <w:shd w:fill="F2F4F7"/>
            <w:tcMar>
              <w:top w:w="80" w:type="dxa"/>
              <w:bottom w:w="80" w:type="dxa"/>
              <w:left w:w="120" w:type="dxa"/>
              <w:right w:w="120" w:type="dxa"/>
            </w:tcMar>
          </w:tcPr>
          <w:p>
            <w:pPr>
              <w:jc w:val="center"/>
            </w:pPr>
            <w:r>
              <w:rPr>
                <w:rFonts w:ascii="NewsGotT" w:hAnsi="NewsGotT"/>
                <w:b/>
                <w:color w:val="2E75B6"/>
                <w:sz w:val="17"/>
              </w:rPr>
              <w:t>APROBADO</w:t>
            </w: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5"/>
            <w:shd w:fill="F2F4F7"/>
            <w:tcMar>
              <w:top w:w="80" w:type="dxa"/>
              <w:bottom w:w="80" w:type="dxa"/>
              <w:left w:w="120" w:type="dxa"/>
              <w:right w:w="120" w:type="dxa"/>
            </w:tcMar>
          </w:tcPr>
          <w:p>
            <w:pPr>
              <w:jc w:val="center"/>
            </w:pPr>
          </w:p>
        </w:tc>
      </w:tr>
      <w:tr>
        <w:tc>
          <w:tcPr>
            <w:tcW w:type="dxa" w:w="1133"/>
            <w:tcMar>
              <w:top w:w="80" w:type="dxa"/>
              <w:bottom w:w="80" w:type="dxa"/>
              <w:left w:w="120" w:type="dxa"/>
              <w:right w:w="120" w:type="dxa"/>
            </w:tcMar>
          </w:tcPr>
          <w:p>
            <w:r>
              <w:rPr>
                <w:rFonts w:ascii="NewsGotT" w:hAnsi="NewsGotT"/>
                <w:b/>
                <w:sz w:val="17"/>
              </w:rPr>
              <w:t>CP-07: Dashboard BI y Alertas Stock</w:t>
            </w:r>
          </w:p>
        </w:tc>
        <w:tc>
          <w:tcPr>
            <w:tcW w:type="dxa" w:w="1133"/>
            <w:tcMar>
              <w:top w:w="80" w:type="dxa"/>
              <w:bottom w:w="80" w:type="dxa"/>
              <w:left w:w="120" w:type="dxa"/>
              <w:right w:w="120" w:type="dxa"/>
            </w:tcMar>
          </w:tcPr>
          <w:p>
            <w:pPr>
              <w:jc w:val="center"/>
            </w:pPr>
            <w:r>
              <w:rPr>
                <w:rFonts w:ascii="NewsGotT" w:hAnsi="NewsGotT"/>
                <w:sz w:val="17"/>
              </w:rPr>
              <w:t>OK (Aprobado - 16/10/2026)</w:t>
            </w:r>
          </w:p>
        </w:tc>
        <w:tc>
          <w:tcPr>
            <w:tcW w:type="dxa" w:w="1134"/>
            <w:tcMar>
              <w:top w:w="80" w:type="dxa"/>
              <w:bottom w:w="80" w:type="dxa"/>
              <w:left w:w="120" w:type="dxa"/>
              <w:right w:w="120" w:type="dxa"/>
            </w:tcMar>
          </w:tcPr>
          <w:p>
            <w:pPr>
              <w:jc w:val="center"/>
            </w:pPr>
            <w:r>
              <w:rPr>
                <w:rFonts w:ascii="NewsGotT" w:hAnsi="NewsGotT"/>
                <w:sz w:val="17"/>
              </w:rPr>
              <w:t>Programado (Regresión)</w:t>
            </w:r>
          </w:p>
        </w:tc>
        <w:tc>
          <w:tcPr>
            <w:tcW w:type="dxa" w:w="1134"/>
            <w:tcMar>
              <w:top w:w="80" w:type="dxa"/>
              <w:bottom w:w="80" w:type="dxa"/>
              <w:left w:w="120" w:type="dxa"/>
              <w:right w:w="120" w:type="dxa"/>
            </w:tcMar>
          </w:tcPr>
          <w:p>
            <w:pPr>
              <w:jc w:val="center"/>
            </w:pPr>
            <w:r>
              <w:rPr>
                <w:rFonts w:ascii="NewsGotT" w:hAnsi="NewsGotT"/>
                <w:b/>
                <w:color w:val="2E75B6"/>
                <w:sz w:val="17"/>
              </w:rPr>
              <w:t>APROBADO</w:t>
            </w: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4"/>
            <w:tcMar>
              <w:top w:w="80" w:type="dxa"/>
              <w:bottom w:w="80" w:type="dxa"/>
              <w:left w:w="120" w:type="dxa"/>
              <w:right w:w="120" w:type="dxa"/>
            </w:tcMar>
          </w:tcPr>
          <w:p>
            <w:pPr>
              <w:jc w:val="center"/>
            </w:pPr>
          </w:p>
        </w:tc>
        <w:tc>
          <w:tcPr>
            <w:tcW w:type="dxa" w:w="1135"/>
            <w:tcMar>
              <w:top w:w="80" w:type="dxa"/>
              <w:bottom w:w="80" w:type="dxa"/>
              <w:left w:w="120" w:type="dxa"/>
              <w:right w:w="120" w:type="dxa"/>
            </w:tcMar>
          </w:tcPr>
          <w:p>
            <w:pPr>
              <w:jc w:val="center"/>
            </w:pPr>
          </w:p>
        </w:tc>
      </w:tr>
      <w:tr>
        <w:tc>
          <w:tcPr>
            <w:tcW w:type="dxa" w:w="1133"/>
            <w:shd w:fill="F2F4F7"/>
            <w:tcMar>
              <w:top w:w="80" w:type="dxa"/>
              <w:bottom w:w="80" w:type="dxa"/>
              <w:left w:w="120" w:type="dxa"/>
              <w:right w:w="120" w:type="dxa"/>
            </w:tcMar>
          </w:tcPr>
          <w:p>
            <w:r>
              <w:rPr>
                <w:rFonts w:ascii="NewsGotT" w:hAnsi="NewsGotT"/>
                <w:b/>
                <w:sz w:val="17"/>
              </w:rPr>
              <w:t>CP-08: Exportación a Excel 2021</w:t>
            </w:r>
          </w:p>
        </w:tc>
        <w:tc>
          <w:tcPr>
            <w:tcW w:type="dxa" w:w="1133"/>
            <w:shd w:fill="F2F4F7"/>
            <w:tcMar>
              <w:top w:w="80" w:type="dxa"/>
              <w:bottom w:w="80" w:type="dxa"/>
              <w:left w:w="120" w:type="dxa"/>
              <w:right w:w="120" w:type="dxa"/>
            </w:tcMar>
          </w:tcPr>
          <w:p>
            <w:pPr>
              <w:jc w:val="center"/>
            </w:pPr>
            <w:r>
              <w:rPr>
                <w:rFonts w:ascii="NewsGotT" w:hAnsi="NewsGotT"/>
                <w:sz w:val="17"/>
              </w:rPr>
              <w:t>OK (Aprobado - 16/10/2026)</w:t>
            </w:r>
          </w:p>
        </w:tc>
        <w:tc>
          <w:tcPr>
            <w:tcW w:type="dxa" w:w="1134"/>
            <w:shd w:fill="F2F4F7"/>
            <w:tcMar>
              <w:top w:w="80" w:type="dxa"/>
              <w:bottom w:w="80" w:type="dxa"/>
              <w:left w:w="120" w:type="dxa"/>
              <w:right w:w="120" w:type="dxa"/>
            </w:tcMar>
          </w:tcPr>
          <w:p>
            <w:pPr>
              <w:jc w:val="center"/>
            </w:pPr>
            <w:r>
              <w:rPr>
                <w:rFonts w:ascii="NewsGotT" w:hAnsi="NewsGotT"/>
                <w:sz w:val="17"/>
              </w:rPr>
              <w:t>Programado (Regresión)</w:t>
            </w:r>
          </w:p>
        </w:tc>
        <w:tc>
          <w:tcPr>
            <w:tcW w:type="dxa" w:w="1134"/>
            <w:shd w:fill="F2F4F7"/>
            <w:tcMar>
              <w:top w:w="80" w:type="dxa"/>
              <w:bottom w:w="80" w:type="dxa"/>
              <w:left w:w="120" w:type="dxa"/>
              <w:right w:w="120" w:type="dxa"/>
            </w:tcMar>
          </w:tcPr>
          <w:p>
            <w:pPr>
              <w:jc w:val="center"/>
            </w:pPr>
            <w:r>
              <w:rPr>
                <w:rFonts w:ascii="NewsGotT" w:hAnsi="NewsGotT"/>
                <w:b/>
                <w:color w:val="2E75B6"/>
                <w:sz w:val="17"/>
              </w:rPr>
              <w:t>APROBADO</w:t>
            </w: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4"/>
            <w:shd w:fill="F2F4F7"/>
            <w:tcMar>
              <w:top w:w="80" w:type="dxa"/>
              <w:bottom w:w="80" w:type="dxa"/>
              <w:left w:w="120" w:type="dxa"/>
              <w:right w:w="120" w:type="dxa"/>
            </w:tcMar>
          </w:tcPr>
          <w:p>
            <w:pPr>
              <w:jc w:val="center"/>
            </w:pPr>
          </w:p>
        </w:tc>
        <w:tc>
          <w:tcPr>
            <w:tcW w:type="dxa" w:w="1135"/>
            <w:shd w:fill="F2F4F7"/>
            <w:tcMar>
              <w:top w:w="80" w:type="dxa"/>
              <w:bottom w:w="80" w:type="dxa"/>
              <w:left w:w="120" w:type="dxa"/>
              <w:right w:w="120" w:type="dxa"/>
            </w:tcMar>
          </w:tcPr>
          <w:p>
            <w:pPr>
              <w:jc w:val="center"/>
            </w:pPr>
          </w:p>
        </w:tc>
      </w:tr>
    </w:tbl>
    <w:p w14:paraId="1AE2A76A" w14:textId="77777777" w:rsidR="00900896" w:rsidRDefault="00900896">
      <w:pPr>
        <w:pStyle w:val="Textbody"/>
      </w:pPr>
    </w:p>
    <w:p w14:paraId="043D5BE3" w14:textId="77777777" w:rsidR="00900896" w:rsidRDefault="00900896">
      <w:pPr>
        <w:pStyle w:val="Textbody"/>
      </w:pPr>
    </w:p>
    <w:p w14:paraId="40FAC6CA" w14:textId="77777777" w:rsidR="00900896" w:rsidRDefault="00900896">
      <w:pPr>
        <w:pStyle w:val="Standard"/>
        <w:rPr>
          <w:lang/>
        </w:rPr>
      </w:pPr>
    </w:p>
    <w:p w14:paraId="6FA91D7B" w14:textId="77777777" w:rsidR="00900896" w:rsidRDefault="00C24141">
      <w:pPr>
        <w:pStyle w:val="Ttulo1"/>
        <w:rPr>
          <w:rFonts w:hint="eastAsia"/>
        </w:rPr>
      </w:pPr>
      <w:bookmarkStart w:id="7" w:name="__RefHeading__3800_904956992"/>
      <w:bookmarkEnd w:id="7"/>
      <w:r>
        <w:lastRenderedPageBreak/>
        <w:t>ANEXOS</w:t>
      </w:r>
    </w:p>
    <w:p w14:paraId="45DCD951" w14:textId="77777777" w:rsidR="00900896" w:rsidRDefault="00C24141">
      <w:pPr>
        <w:pStyle w:val="Textbody"/>
        <w:rPr>
          <w:rFonts w:cs="Arial"/>
          <w:color w:val="000000"/>
        </w:rPr>
      </w:pPr>
      <w:r>
        <w:t>Anexo 1: Evidencias Técnicas de Ejecución Funcional</w:t>
        <w:br/>
        <w:t>• Suite de pruebas unitarias automatizadas de soporte: 257 tests en pytest aprobados al 100% en backend FastAPI.</w:t>
        <w:br/>
        <w:t>• Entorno contenerizado Docker Compose: Servicios impresos-web (Angular 21 en puerto 80), impresos-api (FastAPI en puerto 8000), impresos-db (PostgreSQL 16 en puerto 5432) y traefik en estado Healthy.</w:t>
        <w:br/>
        <w:t>• Integridad transaccional: Verificación con dataset de 224 órdenes reales de producción y S/ 28,094.40 facturados.</w:t>
        <w:br/>
        <w:t>• Conformidad con el cliente: Los casos de prueba CP-01 a CP-08 fueron validados conjuntamente con la gerencia de Impresos Trujillo E.I.R.L.</w:t>
      </w:r>
    </w:p>
    <w:p w14:paraId="4489C5FA" w14:textId="77777777" w:rsidR="00900896" w:rsidRDefault="00C24141">
      <w:pPr>
        <w:pStyle w:val="Textbody"/>
        <w:rPr>
          <w:rFonts w:cs="Arial"/>
          <w:color w:val="000000"/>
        </w:rPr>
      </w:pPr>
      <w:r>
        <w:rPr>
          <w:rFonts w:cs="Arial"/>
          <w:noProof/>
          <w:color w:val="000000"/>
        </w:rPr>
        <mc:AlternateContent>
          <mc:Choice Requires="wps">
            <w:drawing>
              <wp:inline distT="0" distB="0" distL="0" distR="0" wp14:anchorId="143A6B6E" wp14:editId="203808D2">
                <wp:extent cx="5734800" cy="525240"/>
                <wp:effectExtent l="0" t="0" r="18300" b="27210"/>
                <wp:docPr id="1350712157"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721FC450" w14:textId="77777777" w:rsidR="00900896" w:rsidRDefault="00C24141">
                            <w:pPr>
                              <w:pStyle w:val="Textbody"/>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w:pict>
              <v:shape w14:anchorId="143A6B6E" id="Marco7" o:spid="_x0000_s1030" type="#_x0000_t202" style="width:451.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" filled="f" strokecolor="silver" strokeweight=".18mm">
                <v:textbox inset="2.63mm,1.36mm,2.63mm,1.36mm">
                  <w:txbxContent>
                    <w:p w14:paraId="721FC450" w14:textId="77777777" w:rsidR="00900896" w:rsidRDefault="00C24141">
                      <w:pPr>
                        <w:pStyle w:val="Textbody"/>
                      </w:pPr>
                      <w:r>
                        <w:t>Este punto contendrá toda aquella información de interés para la elaboración y validación del Plan de Pruebas Funcionales.</w:t>
                      </w:r>
                    </w:p>
                  </w:txbxContent>
                </v:textbox>
                <w10:anchorlock/>
              </v:shape>
            </w:pict>
          </mc:Fallback>
        </mc:AlternateContent>
      </w:r>
    </w:p>
    <w:p w14:paraId="747CE195" w14:textId="77777777" w:rsidR="00900896" w:rsidRDefault="00C24141">
      <w:pPr>
        <w:pStyle w:val="Ttulo1"/>
        <w:rPr>
          <w:rFonts w:hint="eastAsia"/>
        </w:rPr>
      </w:pPr>
      <w:bookmarkStart w:id="8" w:name="__RefHeading__3802_904956992"/>
      <w:bookmarkEnd w:id="8"/>
      <w:r>
        <w:lastRenderedPageBreak/>
        <w:t>GLOSARIO</w:t>
      </w:r>
    </w:p>
    <w:p w14:paraId="75E70231" w14:textId="77777777" w:rsidR="00900896" w:rsidRDefault="00C24141">
      <w:pPr>
        <w:pStyle w:val="Textbody"/>
        <w:rPr>
          <w:color w:val="000000"/>
        </w:rPr>
      </w:pPr>
      <w:r/>
    </w:p>
    <w:p w14:paraId="3A4C15C0" w14:textId="77777777" w:rsidR="00900896" w:rsidRDefault="00C24141">
      <w:pPr>
        <w:pStyle w:val="Textbody"/>
      </w:pPr>
      <w:r>
        <w:rPr>
          <w:noProof/>
        </w:rPr>
        <mc:AlternateContent>
          <mc:Choice Requires="wps">
            <w:drawing>
              <wp:anchor distT="0" distB="0" distL="114300" distR="114300" simplePos="0" relativeHeight="3" behindDoc="0" locked="0" layoutInCell="1" allowOverlap="1" wp14:anchorId="20B71A10" wp14:editId="2B6F8D03">
                <wp:simplePos x="0" y="0"/>
                <wp:positionH relativeFrom="column">
                  <wp:posOffset>-4320</wp:posOffset>
                </wp:positionH>
                <wp:positionV relativeFrom="paragraph">
                  <wp:posOffset>189720</wp:posOffset>
                </wp:positionV>
                <wp:extent cx="5768999" cy="394920"/>
                <wp:effectExtent l="0" t="0" r="22201" b="24180"/>
                <wp:wrapSquare wrapText="bothSides"/>
                <wp:docPr id="1094517137"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744C64CA" w14:textId="77777777" w:rsidR="00900896" w:rsidRDefault="00C24141">
                            <w:pPr>
                              <w:pStyle w:val="Textbody"/>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 w14:anchorId="20B71A10" id="Marco27" o:spid="_x0000_s1031"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" filled="f" strokecolor="silver" strokeweight=".18mm">
                <v:textbox inset="2.63mm,1.36mm,2.63mm,1.36mm">
                  <w:txbxContent>
                    <w:p w14:paraId="744C64CA" w14:textId="77777777" w:rsidR="00900896" w:rsidRDefault="00C24141">
                      <w:pPr>
                        <w:pStyle w:val="Textbody"/>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4A0" w:firstRow="1" w:lastRow="0" w:firstColumn="1" w:lastColumn="0" w:noHBand="0" w:noVBand="1"/>
      </w:tblPr>
      <w:tblGrid>
        <w:gridCol w:w="3127"/>
        <w:gridCol w:w="5924"/>
      </w:tblGrid>
      <w:tr w:rsidR="00900896" w14:paraId="5DBB71A6" w14:textId="77777777">
        <w:tblPrEx>
          <w:tblCellMar>
            <w:top w:w="0" w:type="dxa"/>
            <w:bottom w:w="0" w:type="dxa"/>
          </w:tblCellMar>
        </w:tblPrEx>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13EB3BA6" w14:textId="77777777" w:rsidR="00900896" w:rsidRDefault="00C24141">
            <w:pPr>
              <w:pStyle w:val="Standard"/>
              <w:snapToGrid w:val="0"/>
              <w:jc w:val="center"/>
              <w:rPr>
                <w:rFonts w:cs="Arial"/>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25BFB10" w14:textId="77777777" w:rsidR="00900896" w:rsidRDefault="00C24141">
            <w:pPr>
              <w:pStyle w:val="Standard"/>
              <w:snapToGrid w:val="0"/>
              <w:jc w:val="center"/>
              <w:rPr>
                <w:rFonts w:cs="Arial"/>
                <w:b/>
              </w:rPr>
            </w:pPr>
            <w:r>
              <w:rPr>
                <w:rFonts w:cs="Arial"/>
                <w:b/>
              </w:rPr>
              <w:t>Descripción</w:t>
            </w:r>
          </w:p>
        </w:tc>
      </w:tr>
      <w:tr>
        <w:tc>
          <w:tcPr>
            <w:tcW w:type="dxa" w:w="3127"/>
            <w:tcMar>
              <w:top w:w="80" w:type="dxa"/>
              <w:bottom w:w="80" w:type="dxa"/>
              <w:left w:w="120" w:type="dxa"/>
              <w:right w:w="120" w:type="dxa"/>
            </w:tcMar>
          </w:tcPr>
          <w:p>
            <w:r>
              <w:rPr>
                <w:rFonts w:ascii="NewsGotT" w:hAnsi="NewsGotT"/>
                <w:sz w:val="17"/>
              </w:rPr>
              <w:t>Candado Digital de Despacho</w:t>
            </w:r>
          </w:p>
        </w:tc>
        <w:tc>
          <w:tcPr>
            <w:tcW w:type="dxa" w:w="5924"/>
            <w:tcMar>
              <w:top w:w="80" w:type="dxa"/>
              <w:bottom w:w="80" w:type="dxa"/>
              <w:left w:w="120" w:type="dxa"/>
              <w:right w:w="120" w:type="dxa"/>
            </w:tcMar>
          </w:tcPr>
          <w:p>
            <w:r>
              <w:rPr>
                <w:rFonts w:ascii="NewsGotT" w:hAnsi="NewsGotT"/>
                <w:sz w:val="17"/>
              </w:rPr>
              <w:t>Regla de negocio implementada en backend y frontend que inhabilita el botón de entrega y bloquea la transición a estado ENTREGADO si la orden mantiene un saldo pendiente mayor a S/ 0.00.</w:t>
            </w:r>
          </w:p>
        </w:tc>
      </w:tr>
      <w:tr>
        <w:tc>
          <w:tcPr>
            <w:tcW w:type="dxa" w:w="3127"/>
            <w:tcMar>
              <w:top w:w="80" w:type="dxa"/>
              <w:bottom w:w="80" w:type="dxa"/>
              <w:left w:w="120" w:type="dxa"/>
              <w:right w:w="120" w:type="dxa"/>
            </w:tcMar>
          </w:tcPr>
          <w:p>
            <w:r>
              <w:rPr>
                <w:rFonts w:ascii="NewsGotT" w:hAnsi="NewsGotT"/>
                <w:sz w:val="17"/>
              </w:rPr>
              <w:t>Talonario Virtual</w:t>
            </w:r>
          </w:p>
        </w:tc>
        <w:tc>
          <w:tcPr>
            <w:tcW w:type="dxa" w:w="5924"/>
            <w:tcMar>
              <w:top w:w="80" w:type="dxa"/>
              <w:bottom w:w="80" w:type="dxa"/>
              <w:left w:w="120" w:type="dxa"/>
              <w:right w:w="120" w:type="dxa"/>
            </w:tcMar>
          </w:tcPr>
          <w:p>
            <w:r>
              <w:rPr>
                <w:rFonts w:ascii="NewsGotT" w:hAnsi="NewsGotT"/>
                <w:sz w:val="17"/>
              </w:rPr>
              <w:t>Interfaz de cotización y emisión de órdenes en Angular 21 que replica los campos y estructura del talonario físico tradicional de la imprenta, automatizando el cómputo de metraje y totales.</w:t>
            </w:r>
          </w:p>
        </w:tc>
      </w:tr>
      <w:tr>
        <w:tc>
          <w:tcPr>
            <w:tcW w:type="dxa" w:w="3127"/>
            <w:tcMar>
              <w:top w:w="80" w:type="dxa"/>
              <w:bottom w:w="80" w:type="dxa"/>
              <w:left w:w="120" w:type="dxa"/>
              <w:right w:w="120" w:type="dxa"/>
            </w:tcMar>
          </w:tcPr>
          <w:p>
            <w:r>
              <w:rPr>
                <w:rFonts w:ascii="NewsGotT" w:hAnsi="NewsGotT"/>
                <w:sz w:val="17"/>
              </w:rPr>
              <w:t>Arqueo Segregado</w:t>
            </w:r>
          </w:p>
        </w:tc>
        <w:tc>
          <w:tcPr>
            <w:tcW w:type="dxa" w:w="5924"/>
            <w:tcMar>
              <w:top w:w="80" w:type="dxa"/>
              <w:bottom w:w="80" w:type="dxa"/>
              <w:left w:w="120" w:type="dxa"/>
              <w:right w:w="120" w:type="dxa"/>
            </w:tcMar>
          </w:tcPr>
          <w:p>
            <w:r>
              <w:rPr>
                <w:rFonts w:ascii="NewsGotT" w:hAnsi="NewsGotT"/>
                <w:sz w:val="17"/>
              </w:rPr>
              <w:t>Consolidación contable diaria que clasifica los ingresos de caja separando el dinero de la línea de Imprenta Comercial del de Gigantografías, y diferenciando el efectivo físico de los pagos digitales (Yape, Plin, Transferencias).</w:t>
            </w:r>
          </w:p>
        </w:tc>
      </w:tr>
      <w:tr>
        <w:tc>
          <w:tcPr>
            <w:tcW w:type="dxa" w:w="3127"/>
            <w:tcMar>
              <w:top w:w="80" w:type="dxa"/>
              <w:bottom w:w="80" w:type="dxa"/>
              <w:left w:w="120" w:type="dxa"/>
              <w:right w:w="120" w:type="dxa"/>
            </w:tcMar>
          </w:tcPr>
          <w:p>
            <w:r>
              <w:rPr>
                <w:rFonts w:ascii="NewsGotT" w:hAnsi="NewsGotT"/>
                <w:sz w:val="17"/>
              </w:rPr>
              <w:t>Mínimo Operable</w:t>
            </w:r>
          </w:p>
        </w:tc>
        <w:tc>
          <w:tcPr>
            <w:tcW w:type="dxa" w:w="5924"/>
            <w:tcMar>
              <w:top w:w="80" w:type="dxa"/>
              <w:bottom w:w="80" w:type="dxa"/>
              <w:left w:w="120" w:type="dxa"/>
              <w:right w:w="120" w:type="dxa"/>
            </w:tcMar>
          </w:tcPr>
          <w:p>
            <w:r>
              <w:rPr>
                <w:rFonts w:ascii="NewsGotT" w:hAnsi="NewsGotT"/>
                <w:sz w:val="17"/>
              </w:rPr>
              <w:t>Conjunto mínimo de especificaciones técnicas de hardware y software requeridas para que el sistema opere con estabilidad y tiempo de respuesta inferior a 1 segundo.</w:t>
            </w:r>
          </w:p>
        </w:tc>
      </w:tr>
      <w:tr>
        <w:tc>
          <w:tcPr>
            <w:tcW w:type="dxa" w:w="3127"/>
            <w:tcMar>
              <w:top w:w="80" w:type="dxa"/>
              <w:bottom w:w="80" w:type="dxa"/>
              <w:left w:w="120" w:type="dxa"/>
              <w:right w:w="120" w:type="dxa"/>
            </w:tcMar>
          </w:tcPr>
          <w:p>
            <w:r>
              <w:rPr>
                <w:rFonts w:ascii="NewsGotT" w:hAnsi="NewsGotT"/>
                <w:sz w:val="17"/>
              </w:rPr>
              <w:t>Kárdex de Sustratos</w:t>
            </w:r>
          </w:p>
        </w:tc>
        <w:tc>
          <w:tcPr>
            <w:tcW w:type="dxa" w:w="5924"/>
            <w:tcMar>
              <w:top w:w="80" w:type="dxa"/>
              <w:bottom w:w="80" w:type="dxa"/>
              <w:left w:w="120" w:type="dxa"/>
              <w:right w:w="120" w:type="dxa"/>
            </w:tcMar>
          </w:tcPr>
          <w:p>
            <w:r>
              <w:rPr>
                <w:rFonts w:ascii="NewsGotT" w:hAnsi="NewsGotT"/>
                <w:sz w:val="17"/>
              </w:rPr>
              <w:t>Registro cronológico y valorizado de movimientos de entrada, reserva, consumo por producción y mermas técnicas de rollos de lona, vinil y papel en el taller.</w:t>
            </w:r>
          </w:p>
        </w:tc>
      </w:tr>
      <w:tr>
        <w:tc>
          <w:tcPr>
            <w:tcW w:type="dxa" w:w="3127"/>
            <w:tcMar>
              <w:top w:w="80" w:type="dxa"/>
              <w:bottom w:w="80" w:type="dxa"/>
              <w:left w:w="120" w:type="dxa"/>
              <w:right w:w="120" w:type="dxa"/>
            </w:tcMar>
          </w:tcPr>
          <w:p>
            <w:r>
              <w:rPr>
                <w:rFonts w:ascii="NewsGotT" w:hAnsi="NewsGotT"/>
                <w:sz w:val="17"/>
              </w:rPr>
              <w:t>JWT (JSON Web Token)</w:t>
            </w:r>
          </w:p>
        </w:tc>
        <w:tc>
          <w:tcPr>
            <w:tcW w:type="dxa" w:w="5924"/>
            <w:tcMar>
              <w:top w:w="80" w:type="dxa"/>
              <w:bottom w:w="80" w:type="dxa"/>
              <w:left w:w="120" w:type="dxa"/>
              <w:right w:w="120" w:type="dxa"/>
            </w:tcMar>
          </w:tcPr>
          <w:p>
            <w:r>
              <w:rPr>
                <w:rFonts w:ascii="NewsGotT" w:hAnsi="NewsGotT"/>
                <w:sz w:val="17"/>
              </w:rPr>
              <w:t>Estándar abierto (RFC 7519) utilizado para la autenticación segura y transmisión de información de perfil del usuario firmado criptográficamente con algoritmo HS256.</w:t>
            </w:r>
          </w:p>
        </w:tc>
      </w:tr>
    </w:tbl>
    <w:p w14:paraId="26103165" w14:textId="77777777" w:rsidR="00900896" w:rsidRDefault="00C24141">
      <w:pPr>
        <w:pStyle w:val="Ttulo1"/>
        <w:rPr>
          <w:rFonts w:hint="eastAsia"/>
        </w:rPr>
      </w:pPr>
      <w:bookmarkStart w:id="9" w:name="__RefHeading__3804_904956992"/>
      <w:bookmarkEnd w:id="9"/>
      <w:r>
        <w:lastRenderedPageBreak/>
        <w:t>BIBLIOGRAFÍA Y REFERENCIAS</w:t>
      </w:r>
    </w:p>
    <w:p w14:paraId="5643B12D" w14:textId="77777777" w:rsidR="00900896" w:rsidRDefault="00C24141">
      <w:pPr>
        <w:pStyle w:val="Standard"/>
        <w:jc w:val="both"/>
      </w:pPr>
      <w:r/>
    </w:p>
    <w:p w14:paraId="7DF1021B" w14:textId="77777777" w:rsidR="00900896" w:rsidRDefault="00C24141">
      <w:pPr>
        <w:pStyle w:val="Standard"/>
        <w:jc w:val="both"/>
      </w:pPr>
      <w:r>
        <w:rPr>
          <w:noProof/>
        </w:rPr>
        <mc:AlternateContent>
          <mc:Choice Requires="wps">
            <w:drawing>
              <wp:anchor distT="0" distB="0" distL="114300" distR="114300" simplePos="0" relativeHeight="251660288" behindDoc="0" locked="0" layoutInCell="1" allowOverlap="1" wp14:anchorId="71818494" wp14:editId="10C80F77">
                <wp:simplePos x="0" y="0"/>
                <wp:positionH relativeFrom="column">
                  <wp:posOffset>0</wp:posOffset>
                </wp:positionH>
                <wp:positionV relativeFrom="paragraph">
                  <wp:posOffset>151920</wp:posOffset>
                </wp:positionV>
                <wp:extent cx="5734800" cy="432359"/>
                <wp:effectExtent l="0" t="0" r="18300" b="24841"/>
                <wp:wrapSquare wrapText="bothSides"/>
                <wp:docPr id="890559841" name="Marco31"/>
                <wp:cNvGraphicFramePr/>
                <a:graphic xmlns:a="http://schemas.openxmlformats.org/drawingml/2006/main">
                  <a:graphicData uri="http://schemas.microsoft.com/office/word/2010/wordprocessingShape">
                    <wps:wsp>
                      <wps:cNvSpPr txBox="1"/>
                      <wps:spPr>
                        <a:xfrm>
                          <a:off x="0" y="0"/>
                          <a:ext cx="5734800" cy="432359"/>
                        </a:xfrm>
                        <a:prstGeom prst="rect">
                          <a:avLst/>
                        </a:prstGeom>
                        <a:ln w="6480">
                          <a:solidFill>
                            <a:srgbClr val="CCCCCC"/>
                          </a:solidFill>
                          <a:prstDash val="solid"/>
                        </a:ln>
                      </wps:spPr>
                      <wps:txbx>
                        <w:txbxContent>
                          <w:p w14:paraId="34A926B1" w14:textId="77777777" w:rsidR="00900896" w:rsidRDefault="00C24141">
                            <w:pPr>
                              <w:pStyle w:val="Standard"/>
                              <w:shd w:val="clear" w:color="auto" w:fill="FFFFFF"/>
                              <w:jc w:val="both"/>
                              <w:rPr>
                                <w:rFonts w:cs="Arial"/>
                              </w:rPr>
                            </w:pPr>
                            <w:r>
                              <w:rPr>
                                <w:rFonts w:cs="Arial"/>
                              </w:rPr>
                              <w:t>En este punto se incluirán las referencias y documentación utilizada para la elaboración de este documento, por ejemplo:</w:t>
                            </w:r>
                          </w:p>
                          <w:p w14:paraId="583E16FC" w14:textId="77777777" w:rsidR="00900896" w:rsidRDefault="00C24141">
                            <w:pPr>
                              <w:pStyle w:val="Standard"/>
                              <w:numPr>
                                <w:ilvl w:val="0"/>
                                <w:numId w:val="2"/>
                              </w:numPr>
                              <w:shd w:val="clear" w:color="auto" w:fill="FFFFFF"/>
                              <w:jc w:val="both"/>
                              <w:rPr>
                                <w:rFonts w:cs="Arial"/>
                              </w:rPr>
                            </w:pPr>
                            <w:r>
                              <w:rPr>
                                <w:rFonts w:cs="Arial"/>
                              </w:rPr>
                              <w:t>Plan de Pruebas del equipo de desarrollo</w:t>
                            </w:r>
                          </w:p>
                          <w:p w14:paraId="6104B4B6" w14:textId="77777777" w:rsidR="00900896" w:rsidRDefault="00C24141">
                            <w:pPr>
                              <w:pStyle w:val="Standard"/>
                              <w:numPr>
                                <w:ilvl w:val="0"/>
                                <w:numId w:val="2"/>
                              </w:numPr>
                              <w:shd w:val="clear" w:color="auto" w:fill="FFFFFF"/>
                              <w:jc w:val="both"/>
                              <w:rPr>
                                <w:rFonts w:cs="Arial"/>
                              </w:rPr>
                            </w:pPr>
                            <w:r>
                              <w:rPr>
                                <w:rFonts w:cs="Arial"/>
                              </w:rPr>
                              <w:t xml:space="preserve">Informe de Resultados de los servicios para los que se </w:t>
                            </w:r>
                            <w:r>
                              <w:rPr>
                                <w:rFonts w:cs="Arial"/>
                              </w:rPr>
                              <w:t>han generado los planes de prueba.</w:t>
                            </w:r>
                          </w:p>
                        </w:txbxContent>
                      </wps:txbx>
                      <wps:bodyPr vert="horz" lIns="88920" tIns="50760" rIns="88920" bIns="50760" compatLnSpc="0">
                        <a:spAutoFit/>
                      </wps:bodyPr>
                    </wps:wsp>
                  </a:graphicData>
                </a:graphic>
              </wp:anchor>
            </w:drawing>
          </mc:Choice>
          <mc:Fallback>
            <w:pict>
              <v:shape w14:anchorId="71818494" id="Marco31" o:spid="_x0000_s1032" type="#_x0000_t202" style="position:absolute;left:0;text-align:left;margin-left:0;margin-top:11.95pt;width:451.55pt;height:34.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" filled="f" strokecolor="#ccc" strokeweight=".18mm">
                <v:textbox style="mso-fit-shape-to-text:t" inset="2.47mm,1.41mm,2.47mm,1.41mm">
                  <w:txbxContent>
                    <w:p w14:paraId="34A926B1" w14:textId="77777777" w:rsidR="00900896" w:rsidRDefault="00C24141">
                      <w:pPr>
                        <w:pStyle w:val="Standard"/>
                        <w:shd w:val="clear" w:color="auto" w:fill="FFFFFF"/>
                        <w:jc w:val="both"/>
                        <w:rPr>
                          <w:rFonts w:cs="Arial"/>
                        </w:rPr>
                      </w:pPr>
                      <w:r>
                        <w:rPr>
                          <w:rFonts w:cs="Arial"/>
                        </w:rPr>
                        <w:t>En este punto se incluirán las referencias y documentación utilizada para la elaboración de este documento, por ejemplo:</w:t>
                      </w:r>
                    </w:p>
                    <w:p w14:paraId="583E16FC" w14:textId="77777777" w:rsidR="00900896" w:rsidRDefault="00C24141">
                      <w:pPr>
                        <w:pStyle w:val="Standard"/>
                        <w:numPr>
                          <w:ilvl w:val="0"/>
                          <w:numId w:val="2"/>
                        </w:numPr>
                        <w:shd w:val="clear" w:color="auto" w:fill="FFFFFF"/>
                        <w:jc w:val="both"/>
                        <w:rPr>
                          <w:rFonts w:cs="Arial"/>
                        </w:rPr>
                      </w:pPr>
                      <w:r>
                        <w:rPr>
                          <w:rFonts w:cs="Arial"/>
                        </w:rPr>
                        <w:t>Plan de Pruebas del equipo de desarrollo</w:t>
                      </w:r>
                    </w:p>
                    <w:p w14:paraId="6104B4B6" w14:textId="77777777" w:rsidR="00900896" w:rsidRDefault="00C24141">
                      <w:pPr>
                        <w:pStyle w:val="Standard"/>
                        <w:numPr>
                          <w:ilvl w:val="0"/>
                          <w:numId w:val="2"/>
                        </w:numPr>
                        <w:shd w:val="clear" w:color="auto" w:fill="FFFFFF"/>
                        <w:jc w:val="both"/>
                        <w:rPr>
                          <w:rFonts w:cs="Arial"/>
                        </w:rPr>
                      </w:pPr>
                      <w:r>
                        <w:rPr>
                          <w:rFonts w:cs="Arial"/>
                        </w:rPr>
                        <w:t xml:space="preserve">Informe de Resultados de los servicios para los que se </w:t>
                      </w:r>
                      <w:r>
                        <w:rPr>
                          <w:rFonts w:cs="Arial"/>
                        </w:rPr>
                        <w:t>han generado los planes de prueba.</w:t>
                      </w:r>
                    </w:p>
                  </w:txbxContent>
                </v:textbox>
                <w10:wrap type="square"/>
              </v:shape>
            </w:pict>
          </mc:Fallback>
        </mc:AlternateContent>
      </w:r>
    </w:p>
    <w:tbl>
      <w:tblPr>
        <w:tblW w:w="7235" w:type="dxa"/>
        <w:jc w:val="center"/>
        <w:tblLayout w:type="fixed"/>
        <w:tblCellMar>
          <w:left w:w="10" w:type="dxa"/>
          <w:right w:w="10" w:type="dxa"/>
        </w:tblCellMar>
        <w:tblLook w:val="04A0" w:firstRow="1" w:lastRow="0" w:firstColumn="1" w:lastColumn="0" w:noHBand="0" w:noVBand="1"/>
      </w:tblPr>
      <w:tblGrid>
        <w:gridCol w:w="1054"/>
        <w:gridCol w:w="6181"/>
      </w:tblGrid>
      <w:tr w:rsidR="00900896" w14:paraId="1E9023CF" w14:textId="77777777">
        <w:tblPrEx>
          <w:tblCellMar>
            <w:top w:w="0" w:type="dxa"/>
            <w:bottom w:w="0" w:type="dxa"/>
          </w:tblCellMar>
        </w:tblPrEx>
        <w:trPr>
          <w:jc w:val="center"/>
        </w:trPr>
        <w:tc>
          <w:tcPr>
            <w:tcW w:w="1054" w:type="dxa"/>
            <w:tcBorders>
              <w:top w:val="double" w:sz="2" w:space="0" w:color="C0C0C0"/>
              <w:left w:val="double" w:sz="2" w:space="0" w:color="C0C0C0"/>
              <w:bottom w:val="single" w:sz="4" w:space="0" w:color="C0C0C0"/>
            </w:tcBorders>
            <w:tcMar>
              <w:top w:w="0" w:type="dxa"/>
              <w:left w:w="70" w:type="dxa"/>
              <w:bottom w:w="0" w:type="dxa"/>
              <w:right w:w="70" w:type="dxa"/>
            </w:tcMar>
            <w:vAlign w:val="center"/>
          </w:tcPr>
          <w:p w14:paraId="21EAC231" w14:textId="77777777" w:rsidR="00900896" w:rsidRDefault="00C24141">
            <w:pPr>
              <w:pStyle w:val="Standard"/>
              <w:snapToGrid w:val="0"/>
              <w:spacing w:after="113"/>
              <w:jc w:val="both"/>
              <w:rPr>
                <w:rFonts w:cs="Arial"/>
                <w:b/>
              </w:rPr>
            </w:pPr>
            <w:r>
              <w:rPr>
                <w:rFonts w:cs="Arial"/>
                <w:b/>
              </w:rPr>
              <w:t>Referencia</w:t>
            </w:r>
          </w:p>
        </w:tc>
        <w:tc>
          <w:tcPr>
            <w:tcW w:w="6181" w:type="dxa"/>
            <w:tcBorders>
              <w:top w:val="double" w:sz="2" w:space="0" w:color="C0C0C0"/>
              <w:left w:val="single" w:sz="4" w:space="0" w:color="C0C0C0"/>
              <w:bottom w:val="single" w:sz="4" w:space="0" w:color="C0C0C0"/>
              <w:right w:val="double" w:sz="2" w:space="0" w:color="C0C0C0"/>
            </w:tcBorders>
            <w:tcMar>
              <w:top w:w="0" w:type="dxa"/>
              <w:left w:w="70" w:type="dxa"/>
              <w:bottom w:w="0" w:type="dxa"/>
              <w:right w:w="70" w:type="dxa"/>
            </w:tcMar>
            <w:vAlign w:val="center"/>
          </w:tcPr>
          <w:p w14:paraId="4628995B" w14:textId="77777777" w:rsidR="00900896" w:rsidRDefault="00C24141">
            <w:pPr>
              <w:pStyle w:val="Standard"/>
              <w:snapToGrid w:val="0"/>
              <w:spacing w:after="113"/>
              <w:jc w:val="both"/>
              <w:rPr>
                <w:rFonts w:cs="Arial"/>
                <w:b/>
              </w:rPr>
            </w:pPr>
            <w:r>
              <w:rPr>
                <w:rFonts w:cs="Arial"/>
                <w:b/>
              </w:rPr>
              <w:t>Título</w:t>
            </w:r>
          </w:p>
        </w:tc>
      </w:tr>
      <w:tr>
        <w:tc>
          <w:tcPr>
            <w:tcW w:type="dxa" w:w="1054"/>
            <w:tcMar>
              <w:top w:w="80" w:type="dxa"/>
              <w:bottom w:w="80" w:type="dxa"/>
              <w:left w:w="120" w:type="dxa"/>
              <w:right w:w="120" w:type="dxa"/>
            </w:tcMar>
          </w:tcPr>
          <w:p>
            <w:r>
              <w:rPr>
                <w:rFonts w:ascii="NewsGotT" w:hAnsi="NewsGotT"/>
                <w:sz w:val="17"/>
              </w:rPr>
              <w:t>Ref. 1</w:t>
            </w:r>
          </w:p>
        </w:tc>
        <w:tc>
          <w:tcPr>
            <w:tcW w:type="dxa" w:w="6181"/>
            <w:tcMar>
              <w:top w:w="80" w:type="dxa"/>
              <w:bottom w:w="80" w:type="dxa"/>
              <w:left w:w="120" w:type="dxa"/>
              <w:right w:w="120" w:type="dxa"/>
            </w:tcMar>
          </w:tcPr>
          <w:p>
            <w:r>
              <w:rPr>
                <w:rFonts w:ascii="NewsGotT" w:hAnsi="NewsGotT"/>
                <w:sz w:val="17"/>
              </w:rPr>
              <w:t>IEEE Std 829-2008: IEEE Standard for Software and System Test Documentation. Piscataway, NJ: IEEE Computer Society.</w:t>
            </w:r>
          </w:p>
        </w:tc>
      </w:tr>
      <w:tr>
        <w:tc>
          <w:tcPr>
            <w:tcW w:type="dxa" w:w="1054"/>
            <w:tcMar>
              <w:top w:w="80" w:type="dxa"/>
              <w:bottom w:w="80" w:type="dxa"/>
              <w:left w:w="120" w:type="dxa"/>
              <w:right w:w="120" w:type="dxa"/>
            </w:tcMar>
          </w:tcPr>
          <w:p>
            <w:r>
              <w:rPr>
                <w:rFonts w:ascii="NewsGotT" w:hAnsi="NewsGotT"/>
                <w:sz w:val="17"/>
              </w:rPr>
              <w:t>Ref. 2</w:t>
            </w:r>
          </w:p>
        </w:tc>
        <w:tc>
          <w:tcPr>
            <w:tcW w:type="dxa" w:w="6181"/>
            <w:tcMar>
              <w:top w:w="80" w:type="dxa"/>
              <w:bottom w:w="80" w:type="dxa"/>
              <w:left w:w="120" w:type="dxa"/>
              <w:right w:w="120" w:type="dxa"/>
            </w:tcMar>
          </w:tcPr>
          <w:p>
            <w:r>
              <w:rPr>
                <w:rFonts w:ascii="NewsGotT" w:hAnsi="NewsGotT"/>
                <w:sz w:val="17"/>
              </w:rPr>
              <w:t>ISO/IEC/IEEE 29119-3:2013: Software and systems engineering — Software testing — Part 3: Test documentation.</w:t>
            </w:r>
          </w:p>
        </w:tc>
      </w:tr>
      <w:tr>
        <w:tc>
          <w:tcPr>
            <w:tcW w:type="dxa" w:w="1054"/>
            <w:tcMar>
              <w:top w:w="80" w:type="dxa"/>
              <w:bottom w:w="80" w:type="dxa"/>
              <w:left w:w="120" w:type="dxa"/>
              <w:right w:w="120" w:type="dxa"/>
            </w:tcMar>
          </w:tcPr>
          <w:p>
            <w:r>
              <w:rPr>
                <w:rFonts w:ascii="NewsGotT" w:hAnsi="NewsGotT"/>
                <w:sz w:val="17"/>
              </w:rPr>
              <w:t>Ref. 3</w:t>
            </w:r>
          </w:p>
        </w:tc>
        <w:tc>
          <w:tcPr>
            <w:tcW w:type="dxa" w:w="6181"/>
            <w:tcMar>
              <w:top w:w="80" w:type="dxa"/>
              <w:bottom w:w="80" w:type="dxa"/>
              <w:left w:w="120" w:type="dxa"/>
              <w:right w:w="120" w:type="dxa"/>
            </w:tcMar>
          </w:tcPr>
          <w:p>
            <w:r>
              <w:rPr>
                <w:rFonts w:ascii="NewsGotT" w:hAnsi="NewsGotT"/>
                <w:sz w:val="17"/>
              </w:rPr>
              <w:t>Especificación de Requerimientos de Software (SRS IEEE 830): Sistema de Gestión Operativa y Financiera para Impresos Trujillo E.I.R.L. (Entregable SEM01, Ciclo 2026-II).</w:t>
            </w:r>
          </w:p>
        </w:tc>
      </w:tr>
      <w:tr>
        <w:tc>
          <w:tcPr>
            <w:tcW w:type="dxa" w:w="1054"/>
            <w:tcMar>
              <w:top w:w="80" w:type="dxa"/>
              <w:bottom w:w="80" w:type="dxa"/>
              <w:left w:w="120" w:type="dxa"/>
              <w:right w:w="120" w:type="dxa"/>
            </w:tcMar>
          </w:tcPr>
          <w:p>
            <w:r>
              <w:rPr>
                <w:rFonts w:ascii="NewsGotT" w:hAnsi="NewsGotT"/>
                <w:sz w:val="17"/>
              </w:rPr>
              <w:t>Ref. 4</w:t>
            </w:r>
          </w:p>
        </w:tc>
        <w:tc>
          <w:tcPr>
            <w:tcW w:type="dxa" w:w="6181"/>
            <w:tcMar>
              <w:top w:w="80" w:type="dxa"/>
              <w:bottom w:w="80" w:type="dxa"/>
              <w:left w:w="120" w:type="dxa"/>
              <w:right w:w="120" w:type="dxa"/>
            </w:tcMar>
          </w:tcPr>
          <w:p>
            <w:r>
              <w:rPr>
                <w:rFonts w:ascii="NewsGotT" w:hAnsi="NewsGotT"/>
                <w:sz w:val="17"/>
              </w:rPr>
              <w:t>Guía y Rúbrica de Evaluación de Proyectos de Fin de Carrera (Proyecto Capstone 2026-II). Facultad de Ingeniería, Universidad Privada del Norte.</w:t>
            </w:r>
          </w:p>
        </w:tc>
      </w:tr>
    </w:tbl>
    <w:p w14:paraId="21474B95" w14:textId="77777777" w:rsidR="00900896" w:rsidRDefault="00900896">
      <w:pPr>
        <w:pStyle w:val="Standard"/>
        <w:jc w:val="both"/>
        <w:rPr>
          <w:rFonts w:ascii="Verdana" w:hAnsi="Verdana"/>
          <w:szCs w:val="20"/>
        </w:rPr>
      </w:pPr>
    </w:p>
    <w:sectPr w:rsidR="00900896">
      <w:headerReference w:type="default" r:id="rId17"/>
      <w:footerReference w:type="default" r:id="rId18"/>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32C3" w14:textId="77777777" w:rsidR="00C24141" w:rsidRDefault="00C24141">
      <w:r>
        <w:separator/>
      </w:r>
    </w:p>
  </w:endnote>
  <w:endnote w:type="continuationSeparator" w:id="0">
    <w:p w14:paraId="16AB5C02" w14:textId="77777777" w:rsidR="00C24141" w:rsidRDefault="00C24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49EA" w14:textId="77777777" w:rsidR="00C24141" w:rsidRDefault="00C24141">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3</w:t>
    </w:r>
    <w:r>
      <w:fldChar w:fldCharType="end"/>
    </w:r>
    <w:r>
      <w:t xml:space="preserve"> de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7697" w14:textId="77777777" w:rsidR="00C24141" w:rsidRDefault="00C24141">
      <w:r>
        <w:rPr>
          <w:color w:val="000000"/>
        </w:rPr>
        <w:separator/>
      </w:r>
    </w:p>
  </w:footnote>
  <w:footnote w:type="continuationSeparator" w:id="0">
    <w:p w14:paraId="23FFD7B4" w14:textId="77777777" w:rsidR="00C24141" w:rsidRDefault="00C24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6C30" w14:textId="77777777" w:rsidR="00C24141" w:rsidRDefault="00C24141">
    <w:pPr>
      <w:pStyle w:val="Encabezado"/>
    </w:pPr>
    <w:r>
      <w:rPr>
        <w:noProof/>
      </w:rPr>
      <w:drawing>
        <wp:anchor distT="0" distB="0" distL="114300" distR="114300" simplePos="0" relativeHeight="251659264" behindDoc="0" locked="0" layoutInCell="1" allowOverlap="1" wp14:anchorId="16841CA6" wp14:editId="654BCD7E">
          <wp:simplePos x="0" y="0"/>
          <wp:positionH relativeFrom="column">
            <wp:posOffset>36360</wp:posOffset>
          </wp:positionH>
          <wp:positionV relativeFrom="paragraph">
            <wp:posOffset>176040</wp:posOffset>
          </wp:positionV>
          <wp:extent cx="856439" cy="601200"/>
          <wp:effectExtent l="0" t="0" r="811" b="8400"/>
          <wp:wrapTopAndBottom/>
          <wp:docPr id="124548322" name="gráfico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856439" cy="601200"/>
                  </a:xfrm>
                  <a:prstGeom prst="rect">
                    <a:avLst/>
                  </a:prstGeom>
                </pic:spPr>
              </pic:pic>
            </a:graphicData>
          </a:graphic>
        </wp:anchor>
      </w:drawing>
    </w:r>
  </w:p>
  <w:tbl>
    <w:tblPr>
      <w:tblW w:w="9008" w:type="dxa"/>
      <w:tblInd w:w="30" w:type="dxa"/>
      <w:tblLayout w:type="fixed"/>
      <w:tblCellMar>
        <w:left w:w="10" w:type="dxa"/>
        <w:right w:w="10" w:type="dxa"/>
      </w:tblCellMar>
      <w:tblLook w:val="04A0" w:firstRow="1" w:lastRow="0" w:firstColumn="1" w:lastColumn="0" w:noHBand="0" w:noVBand="1"/>
    </w:tblPr>
    <w:tblGrid>
      <w:gridCol w:w="1390"/>
      <w:gridCol w:w="4688"/>
      <w:gridCol w:w="2930"/>
    </w:tblGrid>
    <w:tr w:rsidR="00FD131E" w14:paraId="0D40CCFD" w14:textId="77777777">
      <w:tblPrEx>
        <w:tblCellMar>
          <w:top w:w="0" w:type="dxa"/>
          <w:bottom w:w="0" w:type="dxa"/>
        </w:tblCellMar>
      </w:tblPrEx>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68755224" w14:textId="77777777" w:rsidR="00C24141" w:rsidRDefault="00C24141">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77DD0DB6" w14:textId="77777777" w:rsidR="00C24141" w:rsidRDefault="00C24141">
          <w:pPr>
            <w:pStyle w:val="TableContents"/>
            <w:spacing w:after="113"/>
            <w:ind w:right="57"/>
            <w:jc w:val="center"/>
            <w:rPr>
              <w:rFonts w:ascii="Eras Bk BT" w:hAnsi="Eras Bk BT"/>
              <w:b/>
              <w:bCs/>
              <w:szCs w:val="20"/>
            </w:rPr>
          </w:pPr>
          <w:r>
            <w:rPr>
              <w:rFonts w:ascii="Eras Bk BT" w:hAnsi="Eras Bk BT"/>
              <w:b/>
              <w:bCs/>
              <w:szCs w:val="20"/>
            </w:rPr>
            <w:fldChar w:fldCharType="begin"/>
          </w:r>
          <w:r>
            <w:rPr>
              <w:rFonts w:ascii="Eras Bk BT" w:hAnsi="Eras Bk BT"/>
              <w:b/>
              <w:bCs/>
              <w:szCs w:val="20"/>
            </w:rPr>
            <w:instrText xml:space="preserve"> SUBJECT </w:instrText>
          </w:r>
          <w:r>
            <w:rPr>
              <w:rFonts w:ascii="Eras Bk BT" w:hAnsi="Eras Bk BT"/>
              <w:b/>
              <w:bCs/>
              <w:szCs w:val="20"/>
            </w:rPr>
            <w:fldChar w:fldCharType="separate"/>
          </w:r>
          <w:r>
            <w:rPr>
              <w:rFonts w:ascii="Eras Bk BT" w:hAnsi="Eras Bk BT"/>
              <w:b/>
              <w:bCs/>
              <w:szCs w:val="20"/>
            </w:rPr>
            <w:t>&lt;Nombre Proyecto&gt;</w:t>
          </w:r>
          <w:r>
            <w:rPr>
              <w:rFonts w:ascii="Eras Bk BT" w:hAnsi="Eras Bk BT"/>
              <w:b/>
              <w:bCs/>
              <w:szCs w:val="20"/>
            </w:rPr>
            <w:fldChar w:fldCharType="end"/>
          </w:r>
        </w:p>
        <w:p w14:paraId="7663E8C3" w14:textId="77777777" w:rsidR="00C24141" w:rsidRDefault="00C24141">
          <w:pPr>
            <w:pStyle w:val="TableContents"/>
            <w:ind w:right="57"/>
            <w:jc w:val="center"/>
            <w:rPr>
              <w:rFonts w:ascii="Eras Bk BT" w:hAnsi="Eras Bk BT"/>
              <w:b/>
              <w:bCs/>
              <w:szCs w:val="20"/>
            </w:rP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Planes de Pruebas Funcionales</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71E58589" w14:textId="77777777" w:rsidR="00C24141" w:rsidRDefault="00C24141">
          <w:pPr>
            <w:pStyle w:val="TableContents"/>
            <w:ind w:right="57"/>
            <w:jc w:val="center"/>
            <w:rPr>
              <w:rFonts w:ascii="Eras Bk BT" w:hAnsi="Eras Bk BT"/>
              <w:b/>
              <w:bCs/>
              <w:szCs w:val="20"/>
            </w:rPr>
          </w:pPr>
          <w:r>
            <w:rPr>
              <w:rFonts w:ascii="Eras Bk BT" w:hAnsi="Eras Bk BT"/>
              <w:b/>
              <w:bCs/>
              <w:szCs w:val="20"/>
            </w:rPr>
            <w:fldChar w:fldCharType="begin"/>
          </w:r>
          <w:r>
            <w:rPr>
              <w:rFonts w:ascii="Eras Bk BT" w:hAnsi="Eras Bk BT"/>
              <w:b/>
              <w:bCs/>
              <w:szCs w:val="20"/>
            </w:rPr>
            <w:instrText xml:space="preserve"> DOCPROPERTY "Departamento" </w:instrText>
          </w:r>
          <w:r>
            <w:rPr>
              <w:rFonts w:ascii="Eras Bk BT" w:hAnsi="Eras Bk BT"/>
              <w:b/>
              <w:bCs/>
              <w:szCs w:val="20"/>
            </w:rPr>
            <w:fldChar w:fldCharType="separate"/>
          </w:r>
          <w:r>
            <w:rPr>
              <w:rFonts w:ascii="Eras Bk BT" w:hAnsi="Eras Bk BT"/>
              <w:b/>
              <w:bCs/>
              <w:szCs w:val="20"/>
            </w:rPr>
            <w:t>&lt;Unidad Organizativa&gt;</w:t>
          </w:r>
          <w:r>
            <w:rPr>
              <w:rFonts w:ascii="Eras Bk BT" w:hAnsi="Eras Bk BT"/>
              <w:b/>
              <w:bCs/>
              <w:szCs w:val="20"/>
            </w:rPr>
            <w:fldChar w:fldCharType="end"/>
          </w:r>
        </w:p>
      </w:tc>
    </w:tr>
  </w:tbl>
  <w:p w14:paraId="0A04AEE6" w14:textId="77777777" w:rsidR="00C24141" w:rsidRDefault="00C24141">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0327F"/>
    <w:multiLevelType w:val="multilevel"/>
    <w:tmpl w:val="C314493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C0C2263"/>
    <w:multiLevelType w:val="multilevel"/>
    <w:tmpl w:val="BA6C5940"/>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593176024">
    <w:abstractNumId w:val="1"/>
  </w:num>
  <w:num w:numId="2" w16cid:durableId="54264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00896"/>
    <w:rsid w:val="00145647"/>
    <w:rsid w:val="00153BC7"/>
    <w:rsid w:val="00900896"/>
    <w:rsid w:val="00C241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85A3E"/>
  <w15:docId w15:val="{E07764FB-E659-4D7B-8288-EA18AF104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lang/>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__RefHeading__3782_904956992" TargetMode="External"/><Relationship Id="rId13" Type="http://schemas.openxmlformats.org/officeDocument/2006/relationships/hyperlink" Target="#__RefHeading__3798_904956992"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__RefHeading__3796_904956992"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__RefHeading__3804_90495699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_RefHeading__3794_904956992" TargetMode="External"/><Relationship Id="rId5" Type="http://schemas.openxmlformats.org/officeDocument/2006/relationships/footnotes" Target="footnotes.xml"/><Relationship Id="rId15" Type="http://schemas.openxmlformats.org/officeDocument/2006/relationships/hyperlink" Target="#__RefHeading__3802_904956992" TargetMode="External"/><Relationship Id="rId10" Type="http://schemas.openxmlformats.org/officeDocument/2006/relationships/hyperlink" Target="#__RefHeading__3786_90495699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__RefHeading__3784_904956992" TargetMode="External"/><Relationship Id="rId14" Type="http://schemas.openxmlformats.org/officeDocument/2006/relationships/hyperlink" Target="#__RefHeading__3800_90495699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510</Words>
  <Characters>2809</Characters>
  <Application>Microsoft Office Word</Application>
  <DocSecurity>0</DocSecurity>
  <Lines>23</Lines>
  <Paragraphs>6</Paragraphs>
  <ScaleCrop>false</ScaleCrop>
  <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Ventas1</cp:lastModifiedBy>
  <cp:revision>2</cp:revision>
  <cp:lastPrinted>2010-01-15T17:08:00Z</cp:lastPrinted>
  <dcterms:created xsi:type="dcterms:W3CDTF">2026-10-17T03:27:00Z</dcterms:created>
  <dcterms:modified xsi:type="dcterms:W3CDTF">2026-10-17T03:27:00Z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