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IMPRESOS TRUJILLO E.I.R.L.</w:t>
              <w:br/>
              <w:t>CAPSTONE PROJECT 2026-2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40" w:before="40" w:line="276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PLAN DE MÉTRICAS DE CALIDAD</w:t>
              <w:br/>
              <w:t>NORMA ISO/IEC 25010 / 25012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i w:val="0"/>
          <w:color w:val="1F4E79"/>
          <w:sz w:val="22"/>
        </w:rPr>
        <w:t>1. Instrucciones Generales:</w:t>
      </w:r>
    </w:p>
    <w:p>
      <w:pPr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>El presente documento define los atributos, indicadores y fórmulas de medición formal del producto de software y de la variable dependiente correspondientes al proyecto 'Sistema web transaccional con control de inventario y facturación en línea para la optimización operativa en la empresa Impresos Trujillo E.I.R.L.'. La evaluación se estructura rigurosamente bajo el estándar internacional ISO/IEC 25010 (Systems and software Quality Requirements and Evaluation - SQuaRE) para las características de calidad de producto (Adecuación Funcional, Eficiencia de Desempeño, Confiabilidad y Usabilidad), y métricas cuantitativas de impacto operacional para la Variable Dependiente (VD), validando el estado del sistema al cierre de la Semana 06.</w:t>
      </w:r>
    </w:p>
    <w:p>
      <w:pPr>
        <w:spacing w:before="200"/>
      </w:pPr>
      <w:r>
        <w:rPr>
          <w:rFonts w:ascii="Calibri" w:hAnsi="Calibri"/>
          <w:b/>
          <w:i w:val="0"/>
          <w:color w:val="1F4E79"/>
          <w:sz w:val="22"/>
        </w:rPr>
        <w:t>2. Métricas de Calidad para el Producto (ISO/IEC 25010):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Nombre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Completitud Funcional (Adecuación Funcional - ISO 25010)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Objetivo de Uso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Medir el grado en que el conjunto de funcionalidades implementadas y verificadas cubre la totalidad de tareas y objetivos declarados en el alcance de línea base.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Método de medición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Auditoría automatizada de Historias de Usuario verificadas mediante la suite de pruebas unitarias contra el Product Backlog Priorizado.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Fórmula y elementos de cálculo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NIF = NFF / NFD</w:t>
              <w:br/>
              <w:br/>
              <w:t>Donde:</w:t>
              <w:br/>
              <w:t>• NIF: Nivel de Implementación de Funcionalidad.</w:t>
              <w:br/>
              <w:t>• NFF: Número de funcionalidades implementadas y verificadas operativamente (35 HU/criterios de línea base).</w:t>
              <w:br/>
              <w:t>• NFD: Número total de funcionalidades descritas y comprometidas en los requerimientos del incremento (35 HU).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Interpretación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Rango de 0 a 1 (ó 0% a 100%), donde 1.0 representa el cumplimiento absoluto del alcance comprometido. Valor actual alcanzado: NIF = 35 / 35 = 1.00 (100.0%). Certifica que el 100% de los requerimientos funcionales programados para el primer incremento se encuentran operativos.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Escala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Absoluta: 0 &lt;= NIF &lt;= 1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Tipo de medida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Numérica (Razón)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Fuentes de datos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Documento de Especificación de Requerimientos de Software (SRS IEEE 830), Product Backlog Priorizado y Reporte de Pruebas Unitarias.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Nombre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Comportamiento Temporal / Latencia de API (Eficiencia de Desempeño - ISO 25010)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Objetivo de Uso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Evaluar el tiempo de respuesta promedio del backend asíncrono (FastAPI sobre Uvicorn) ante transacciones de consulta de catálogo, cotización de gran formato y registro de anticipos en entorno de producción.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Método de medición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Pruebas automatizadas de rendimiento y benchmark con Locust y Pytest-benchmark ejecutadas concurrentemente contra el servidor VPS de producción (https://imprenta.darknezz.dev).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Fórmula y elementos de cálculo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TRm = (Σ TRi) / N</w:t>
              <w:br/>
              <w:br/>
              <w:t>Donde:</w:t>
              <w:br/>
              <w:t>• TRm: Tiempo de respuesta medio expresado en milisegundos (ms).</w:t>
              <w:br/>
              <w:t>• TRi: Tiempo transcurrido entre el despacho del request HTTP y la recepción del payload JSON para la petición i.</w:t>
              <w:br/>
              <w:t>• N: Muestra representativa de 1,000 peticiones concurrentes simuladas.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Interpretación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El tiempo de respuesta debe situarse por debajo de los 200 ms para garantizar una experiencia de usuario fluida en mostrador. Valor actual medido: TRm = 78.4 ms (Percentil 95: 112.0 ms). Evidencia alta eficiencia de FastAPI y PostgreSQL nativo contenerizado.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Escala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Continua: TRm &gt;= 0 (en milisegundos)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Tipo de medida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Numérica (Razón)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Fuentes de datos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Logs estructurados de Nginx Reverse Proxy, telemetría de endpoints en FastAPI y reporte de benchmark automatizado.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Nombre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Utilización de Recursos del Servidor (Eficiencia de Desempeño - ISO 25010)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Objetivo de Uso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Monitorear la tasa de consumo de memoria RAM y carga de procesador (CPU) en el VPS particular propio de producción bajo operación continua de los microservicios y el motor de base de datos relacional.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Método de medición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Monitoreo continuo mediante métricas de Docker Compose (docker stats) y telemetría del daemon del sistema operativo Ubuntu Server 24.04 LTS.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Fórmula y elementos de cálculo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UR_RAM = (RAM_usada / RAM_total) * 100</w:t>
              <w:br/>
              <w:t>UR_CPU = (CPU_activo / CPU_total) * 100</w:t>
              <w:br/>
              <w:br/>
              <w:t>Donde:</w:t>
              <w:br/>
              <w:t>• RAM_total: 8,192 MB (8 GB RAM dedicados en VPS KVM).</w:t>
              <w:br/>
              <w:t>• RAM_usada: Consumo combinado del contenedor de backend FastAPI + contenedor PostgreSQL 17 nativo (420 MB en operación estable).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Interpretación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Umbral máximo admisible: UR &lt;= 60%. Valor actual registrado: UR_RAM = 5.12% y UR_CPU = 12.4% en picos de transaccionalidad. La arquitectura contenerizada ligera evita saturación de memoria y prescinde de costosos servicios en la nube.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Escala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Porcentual: 0% &lt;= UR &lt;= 100%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Tipo de medida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Numérica (Razón)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Fuentes de datos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Agente de monitoreo de Docker Compose, métricas de cgroups de Linux y logs de recursos del sistema.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Nombre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Tolerancia a Fallos y Robustez Transaccional (Confiabilidad - ISO 25010)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Objetivo de Uso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Medir la capacidad del sistema para preservar la integridad referencial y financiera de las órdenes de trabajo mediante transacciones ACID protegidas con rollback ante caídas de conexión o errores en el pago.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Método de medición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Inyección programada de excepciones y desconexiones simuladas en endpoints de facturación y consumo de bobinas mediante fixtures de prueba en pytest.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Fórmula y elementos de cálculo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TTF = (TRX_recuperadas / TRX_fallidas) * 100</w:t>
              <w:br/>
              <w:br/>
              <w:t>Donde:</w:t>
              <w:br/>
              <w:t>• TRX_recuperadas: Transacciones que ejecutaron rollback automático exitoso sin dejar registros corruptos ni saldos inconsistentes.</w:t>
              <w:br/>
              <w:t>• TRX_fallidas: Total de transacciones sometidas a condiciones de fallo inducido (100 casos de prueba).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Interpretación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El estándar exige un 100% de tolerancia a fallos en transacciones financieras. Valor actual alcanzado: TTF = 100.0%. El patrón Unit of Work implementado en SQLAlchemy garantiza que no existan cobros registrados sin orden ni mermas huérfanas.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Escala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Porcentual: 0% &lt;= TTF &lt;= 100%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Tipo de medida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Numérica (Razón)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Fuentes de datos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Suite automatizada de 93 pruebas unitarias de backend con pytest, logs de transacciones de PostgreSQL 17 y bitácora de auditoría.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Nombre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Facilidad de Aprendizaje y Usabilidad SUS (Usabilidad - ISO 25010)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Objetivo de Uso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Evaluar el nivel de satisfacción, comprensibilidad y usabilidad percibida del frontend en Angular 21 por parte de la administración y operarios de la imprenta.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Método de medición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Aplicación del instrumento estandarizado System Usability Scale (SUS) compuesto por 10 reactivos psicométricos con escala Likert de 1 a 5, administrado a los usuarios clave tras sesiones de prueba en taller.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Fórmula y elementos de cálculo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SUS = [Σ(R_impares - 1) + Σ(5 - R_pares)] * 2.5</w:t>
              <w:br/>
              <w:br/>
              <w:t>Donde:</w:t>
              <w:br/>
              <w:t>• R_k: Puntuación asignada a la pregunta k (escala de 1 a 5).</w:t>
              <w:br/>
              <w:t>• El algoritmo normaliza la puntuación final a una escala global de 0 a 100 puntos.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Interpretación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Puntajes superiores a 68 califican como 'Bueno' y superiores a 80.3 como 'Excelente / Grado A'. Valor obtenido en taller con Marcell Vásquez Loje y operarios: SUS = 86.0 / 100.0 (Grado A). Refleja una interfaz intuitiva con cero necesidad de capacitación técnica compleja.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Escala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Escala SUS normalizada de 0 a 100 puntos.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Tipo de medida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Numérica (Intervalo)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Fuentes de datos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Cuestionarios SUS diligenciados por los usuarios en el taller de Jr. Francisco Bolognesi 654 y matriz de consolidación de resultados de usabilidad.</w:t>
            </w:r>
          </w:p>
        </w:tc>
      </w:tr>
    </w:tbl>
    <w:p>
      <w:pPr>
        <w:spacing w:before="80" w:after="120"/>
      </w:pPr>
    </w:p>
    <w:p>
      <w:pPr>
        <w:spacing w:before="240"/>
      </w:pPr>
      <w:r>
        <w:rPr>
          <w:rFonts w:ascii="Calibri" w:hAnsi="Calibri"/>
          <w:b/>
          <w:i w:val="0"/>
          <w:color w:val="1F4E79"/>
          <w:sz w:val="22"/>
        </w:rPr>
        <w:t>3. Métricas de Calidad para la Variable Dependiente (VD - Eficiencia Operativa):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Nombre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Índice de Reducción de Mermas de Sustrato UV DTF (VD1 - Control de Insumos)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Objetivo de Uso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Cuantificar el porcentaje de disminución en el desperdicio de película continua UV DTF Film mediante el algoritmo de agrupación de pedidos y cálculo geométrico de despiece frente al cálculo manual empírico.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Método de medición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Comparación pareada del metraje desperdiciado registrado en taller sobre una muestra de bobinas continuas procesadas manualmente vs. procesadas con el sistema web.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Fórmula y elementos de cálculo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IRM = [(Merma_manual - Merma_algoritmica) / Merma_manual] * 100</w:t>
              <w:br/>
              <w:br/>
              <w:t>Donde:</w:t>
              <w:br/>
              <w:t>• Merma_manual: Porcentaje promedio de merma registrado en la línea base pretest (16.0% del metraje total).</w:t>
              <w:br/>
              <w:t>• Merma_algoritmica: Porcentaje promedio de merma obtenido tras la optimización algorítmica (6.0% del metraje total).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Interpretación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Meta de negocio: Lograr una reducción superior al 50%. Valor actual alcanzado: IRM = [(16.0 - 6.0) / 16.0] * 100 = 62.5% de optimización. Representa un ahorro económico directo sustantivo en rollos importados de alta densidad.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Escala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Porcentual: 0% &lt;= IRM &lt;= 100%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Tipo de medida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Numérica (Razón)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Fuentes de datos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Cuaderno de control físico de rollos (A + B), base de datos de órdenes de producción del sistema y hojas de liquidación de taller.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Nombre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Tiempo Medio de Registro y Cobranza de Pedidos (VD2 - Tiempos de Ciclo)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Objetivo de Uso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Evaluar la reducción del tiempo requerido para recepcionar una orden en mostrador, calcular cotización paramétrica, validar el 50% de anticipo con candado digital y emitir comprobante de caja.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Método de medición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Muestreo de tiempos de ciclo mediante cronometraje directo en mostrador durante la atención en ventanilla a clientes reales.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Fórmula y elementos de cálculo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TMR = (Σ Tj) / M   ;   ΔT = [(TMR_manual - TMR_sistema) / TMR_manual] * 100</w:t>
              <w:br/>
              <w:br/>
              <w:t>Donde:</w:t>
              <w:br/>
              <w:t>• TMR_manual: Tiempo promedio en línea base con cuaderno manual y boletas físicas (18.0 minutos por orden).</w:t>
              <w:br/>
              <w:t>• TMR_sistema: Tiempo promedio con el sistema web desplegado en mostrador (2.5 minutos por orden).</w:t>
              <w:br/>
              <w:t>• M: Muestra de 50 atenciones cronometradas.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Interpretación de la métrica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Meta de negocio: Reducir los tiempos de atención en más del 70%. Valor actual obtenido: ΔT = [(18.0 - 2.5) / 18.0] * 100 = 86.1% de reducción. Elimina colas en recepción y erradica errores de cálculo aritmético en precios.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Escala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Temporal: Minutos por orden (TMR &gt;= 0) y reducción porcentual (0% &lt;= ΔT &lt;= 100%).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Tipo de medida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Numérica (Razón)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Fuentes de datos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 w:line="276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Hojas de toma de tiempos en taller, marcas de tiempo (timestamps) de creación y cobro de órdenes en PostgreSQL 17.</w:t>
            </w:r>
          </w:p>
        </w:tc>
      </w:tr>
    </w:tbl>
    <w:p>
      <w:pPr>
        <w:spacing w:before="80" w:after="120"/>
      </w:pPr>
    </w:p>
    <w:p>
      <w:pPr>
        <w:spacing w:before="240"/>
      </w:pPr>
      <w:r>
        <w:rPr>
          <w:rFonts w:ascii="Calibri" w:hAnsi="Calibri"/>
          <w:b/>
          <w:i w:val="0"/>
          <w:color w:val="1F4E79"/>
          <w:sz w:val="22"/>
        </w:rPr>
        <w:t>4. Control de Versiones: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gridSpan w:val="6"/>
            <w:shd w:fill="1F4E79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CONTROL DE VERSIONES INSTITUCIONAL</w:t>
            </w:r>
          </w:p>
        </w:tc>
      </w:tr>
      <w:tr>
        <w:tc>
          <w:tcPr>
            <w:tcW w:type="dxa" w:w="864"/>
            <w:shd w:fill="2E75B6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Versión</w:t>
            </w:r>
          </w:p>
        </w:tc>
        <w:tc>
          <w:tcPr>
            <w:tcW w:type="dxa" w:w="1872"/>
            <w:shd w:fill="2E75B6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1872"/>
            <w:shd w:fill="2E75B6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Revisado Por:</w:t>
            </w:r>
          </w:p>
        </w:tc>
        <w:tc>
          <w:tcPr>
            <w:tcW w:type="dxa" w:w="2304"/>
            <w:shd w:fill="2E75B6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Aprobado Por:</w:t>
            </w:r>
          </w:p>
        </w:tc>
        <w:tc>
          <w:tcPr>
            <w:tcW w:type="dxa" w:w="1152"/>
            <w:shd w:fill="2E75B6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2592"/>
            <w:shd w:fill="2E75B6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1.0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Jose Estibb Anhuaman</w:t>
              <w:br/>
              <w:t>(Frontend / UX)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Gerardo Erick Plasencia</w:t>
              <w:br/>
              <w:t>(Líder / Full Stack)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Marcell Vásquez Loje (Product Owner)</w:t>
              <w:br/>
              <w:t>Cátedra Capstone UPN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03/10/2026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Emisión formal del Plan de Métricas de Calidad ISO/IEC 25010 y métricas de la Variable Dependiente al cierre de Semana 06.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