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1213B3" w14:textId="77777777" w:rsidR="004C1C32" w:rsidRDefault="004C1C32" w:rsidP="00A433C4">
      <w:pPr>
        <w:shd w:val="clear" w:color="auto" w:fill="F9F9F9"/>
        <w:tabs>
          <w:tab w:val="num" w:pos="720"/>
        </w:tabs>
        <w:spacing w:after="0"/>
        <w:ind w:left="720" w:hanging="360"/>
      </w:pPr>
    </w:p>
    <w:p w14:paraId="2AE78DE0" w14:textId="645F3864" w:rsidR="004C1C32" w:rsidRDefault="002A5976" w:rsidP="004C1C32">
      <w:pPr>
        <w:pStyle w:val="NormalWeb"/>
        <w:shd w:val="clear" w:color="auto" w:fill="F9F9F9"/>
        <w:spacing w:before="0" w:beforeAutospacing="0" w:after="0" w:afterAutospacing="0"/>
        <w:ind w:left="643"/>
        <w:rPr>
          <w:rStyle w:val="Strong"/>
          <w:rFonts w:ascii="Roboto" w:hAnsi="Roboto"/>
          <w:b w:val="0"/>
          <w:bCs w:val="0"/>
          <w:color w:val="111111"/>
        </w:rPr>
      </w:pPr>
      <w:r>
        <w:rPr>
          <w:rStyle w:val="Strong"/>
          <w:rFonts w:ascii="Roboto" w:hAnsi="Roboto"/>
          <w:b w:val="0"/>
          <w:bCs w:val="0"/>
          <w:color w:val="111111"/>
        </w:rPr>
        <w:t>Validation phase</w:t>
      </w:r>
    </w:p>
    <w:p w14:paraId="1DD123D4" w14:textId="77777777" w:rsidR="004C1C32" w:rsidRPr="004C1C32" w:rsidRDefault="004C1C32" w:rsidP="004C1C32">
      <w:pPr>
        <w:pStyle w:val="NormalWeb"/>
        <w:shd w:val="clear" w:color="auto" w:fill="F9F9F9"/>
        <w:spacing w:before="0" w:beforeAutospacing="0" w:after="0" w:afterAutospacing="0"/>
        <w:ind w:left="643"/>
        <w:rPr>
          <w:rStyle w:val="Strong"/>
          <w:rFonts w:ascii="Roboto" w:hAnsi="Roboto"/>
          <w:b w:val="0"/>
          <w:bCs w:val="0"/>
          <w:color w:val="111111"/>
        </w:rPr>
      </w:pPr>
    </w:p>
    <w:p w14:paraId="0DEC525B" w14:textId="3368F7DA" w:rsidR="00A433C4" w:rsidRDefault="00A433C4" w:rsidP="00A433C4">
      <w:pPr>
        <w:pStyle w:val="NormalWeb"/>
        <w:numPr>
          <w:ilvl w:val="0"/>
          <w:numId w:val="1"/>
        </w:numPr>
        <w:shd w:val="clear" w:color="auto" w:fill="F9F9F9"/>
        <w:spacing w:before="0" w:beforeAutospacing="0" w:after="0" w:afterAutospacing="0"/>
        <w:rPr>
          <w:rFonts w:ascii="Roboto" w:hAnsi="Roboto"/>
          <w:color w:val="111111"/>
        </w:rPr>
      </w:pPr>
      <w:r>
        <w:rPr>
          <w:rStyle w:val="Strong"/>
          <w:rFonts w:ascii="Roboto" w:eastAsiaTheme="majorEastAsia" w:hAnsi="Roboto"/>
          <w:color w:val="111111"/>
        </w:rPr>
        <w:t>Know Your Application</w:t>
      </w:r>
      <w:r>
        <w:rPr>
          <w:rFonts w:ascii="Roboto" w:hAnsi="Roboto"/>
          <w:color w:val="111111"/>
        </w:rPr>
        <w:t>: Understand the inner workings of your cloud-based application. Identify regulatory requirements based on the system’s intended use. Assess core functionality to determine features subject to regulatory requirements, such as electronic signatures. </w:t>
      </w:r>
      <w:hyperlink r:id="rId5" w:tgtFrame="_blank" w:history="1">
        <w:r>
          <w:rPr>
            <w:rStyle w:val="Hyperlink"/>
            <w:rFonts w:ascii="Roboto" w:eastAsiaTheme="majorEastAsia" w:hAnsi="Roboto"/>
          </w:rPr>
          <w:t>Evaluate the application early in the process to estimate time and resource requirements</w:t>
        </w:r>
      </w:hyperlink>
      <w:hyperlink r:id="rId6" w:tgtFrame="_blank" w:history="1">
        <w:r w:rsidR="001C3CC8">
          <w:rPr>
            <w:rStyle w:val="Hyperlink"/>
            <w:rFonts w:ascii="Roboto" w:eastAsiaTheme="majorEastAsia" w:hAnsi="Roboto"/>
            <w:vertAlign w:val="superscript"/>
          </w:rPr>
          <w:t>.</w:t>
        </w:r>
      </w:hyperlink>
    </w:p>
    <w:p w14:paraId="3E202FD2" w14:textId="18B60DF0" w:rsidR="00A433C4" w:rsidRDefault="00A433C4" w:rsidP="00A433C4">
      <w:pPr>
        <w:pStyle w:val="NormalWeb"/>
        <w:numPr>
          <w:ilvl w:val="0"/>
          <w:numId w:val="1"/>
        </w:numPr>
        <w:shd w:val="clear" w:color="auto" w:fill="F9F9F9"/>
        <w:spacing w:before="0" w:beforeAutospacing="0" w:after="0" w:afterAutospacing="0"/>
        <w:rPr>
          <w:rFonts w:ascii="Roboto" w:hAnsi="Roboto"/>
          <w:color w:val="111111"/>
        </w:rPr>
      </w:pPr>
      <w:r>
        <w:rPr>
          <w:rStyle w:val="Strong"/>
          <w:rFonts w:ascii="Roboto" w:eastAsiaTheme="majorEastAsia" w:hAnsi="Roboto"/>
          <w:color w:val="111111"/>
        </w:rPr>
        <w:t>Know Your Cloud Vendor</w:t>
      </w:r>
      <w:r>
        <w:rPr>
          <w:rFonts w:ascii="Roboto" w:hAnsi="Roboto"/>
          <w:color w:val="111111"/>
        </w:rPr>
        <w:t>: Get to know your cloud vendor. Depending on the cloud service model, the vendor may be responsible for some or all validation activities. Evaluate their system lifecycle documentation and quality practices. </w:t>
      </w:r>
      <w:hyperlink r:id="rId7" w:tgtFrame="_blank" w:history="1">
        <w:r>
          <w:rPr>
            <w:rStyle w:val="Hyperlink"/>
            <w:rFonts w:ascii="Roboto" w:eastAsiaTheme="majorEastAsia" w:hAnsi="Roboto"/>
          </w:rPr>
          <w:t>Consider any partnerships with cloud service providers (e.g</w:t>
        </w:r>
        <w:r w:rsidR="001C3CC8">
          <w:rPr>
            <w:rStyle w:val="Hyperlink"/>
            <w:rFonts w:ascii="Roboto" w:eastAsiaTheme="majorEastAsia" w:hAnsi="Roboto"/>
          </w:rPr>
          <w:t>.</w:t>
        </w:r>
        <w:r>
          <w:rPr>
            <w:rStyle w:val="Hyperlink"/>
            <w:rFonts w:ascii="Roboto" w:eastAsiaTheme="majorEastAsia" w:hAnsi="Roboto"/>
          </w:rPr>
          <w:t xml:space="preserve"> Microsoft Azure or Amazon Web Services) that oversee the platform or infrastructure hosting the solution</w:t>
        </w:r>
      </w:hyperlink>
      <w:hyperlink r:id="rId8" w:tgtFrame="_blank" w:history="1">
        <w:r w:rsidR="001C3CC8">
          <w:rPr>
            <w:rStyle w:val="Hyperlink"/>
            <w:rFonts w:ascii="Roboto" w:eastAsiaTheme="majorEastAsia" w:hAnsi="Roboto"/>
            <w:vertAlign w:val="superscript"/>
          </w:rPr>
          <w:t>.</w:t>
        </w:r>
      </w:hyperlink>
    </w:p>
    <w:p w14:paraId="73D75F0E" w14:textId="594CE0B3" w:rsidR="00A433C4" w:rsidRDefault="00A433C4" w:rsidP="00A433C4">
      <w:pPr>
        <w:pStyle w:val="NormalWeb"/>
        <w:numPr>
          <w:ilvl w:val="0"/>
          <w:numId w:val="1"/>
        </w:numPr>
        <w:shd w:val="clear" w:color="auto" w:fill="F9F9F9"/>
        <w:spacing w:before="0" w:beforeAutospacing="0" w:after="0" w:afterAutospacing="0"/>
        <w:rPr>
          <w:rFonts w:ascii="Roboto" w:hAnsi="Roboto"/>
          <w:color w:val="111111"/>
        </w:rPr>
      </w:pPr>
      <w:r>
        <w:rPr>
          <w:rStyle w:val="Strong"/>
          <w:rFonts w:ascii="Roboto" w:eastAsiaTheme="majorEastAsia" w:hAnsi="Roboto"/>
          <w:color w:val="111111"/>
        </w:rPr>
        <w:t>Know the Risks</w:t>
      </w:r>
      <w:r>
        <w:rPr>
          <w:rFonts w:ascii="Roboto" w:hAnsi="Roboto"/>
          <w:color w:val="111111"/>
        </w:rPr>
        <w:t>: Identify potential risks associated with the cloud-based application. Consider data security, availability, and compliance. </w:t>
      </w:r>
      <w:hyperlink r:id="rId9" w:tgtFrame="_blank" w:history="1">
        <w:r>
          <w:rPr>
            <w:rStyle w:val="Hyperlink"/>
            <w:rFonts w:ascii="Roboto" w:eastAsiaTheme="majorEastAsia" w:hAnsi="Roboto"/>
          </w:rPr>
          <w:t>Address these risks in your validation plan</w:t>
        </w:r>
      </w:hyperlink>
      <w:r w:rsidR="001C3CC8">
        <w:t>.</w:t>
      </w:r>
    </w:p>
    <w:p w14:paraId="28669F23" w14:textId="6F2609A1" w:rsidR="00A433C4" w:rsidRDefault="00A433C4" w:rsidP="00A433C4">
      <w:pPr>
        <w:pStyle w:val="NormalWeb"/>
        <w:numPr>
          <w:ilvl w:val="0"/>
          <w:numId w:val="1"/>
        </w:numPr>
        <w:shd w:val="clear" w:color="auto" w:fill="F9F9F9"/>
        <w:spacing w:before="0" w:beforeAutospacing="0" w:after="0" w:afterAutospacing="0"/>
        <w:rPr>
          <w:rFonts w:ascii="Roboto" w:hAnsi="Roboto"/>
          <w:color w:val="111111"/>
        </w:rPr>
      </w:pPr>
      <w:r>
        <w:rPr>
          <w:rStyle w:val="Strong"/>
          <w:rFonts w:ascii="Roboto" w:eastAsiaTheme="majorEastAsia" w:hAnsi="Roboto"/>
          <w:color w:val="111111"/>
        </w:rPr>
        <w:t>Know Your Needs</w:t>
      </w:r>
      <w:r>
        <w:rPr>
          <w:rFonts w:ascii="Roboto" w:hAnsi="Roboto"/>
          <w:color w:val="111111"/>
        </w:rPr>
        <w:t>: Define the scope and extent of testing based on the system’s Software Category (as per GAMP 5 methodology). </w:t>
      </w:r>
      <w:hyperlink r:id="rId10" w:tgtFrame="_blank" w:history="1">
        <w:r>
          <w:rPr>
            <w:rStyle w:val="Hyperlink"/>
            <w:rFonts w:ascii="Roboto" w:eastAsiaTheme="majorEastAsia" w:hAnsi="Roboto"/>
          </w:rPr>
          <w:t>Determine whether installation qualification (IQ), operational qualification (OQ), and performance qualification (PQ) are necessary</w:t>
        </w:r>
      </w:hyperlink>
      <w:r w:rsidR="001C3CC8">
        <w:t>.</w:t>
      </w:r>
    </w:p>
    <w:p w14:paraId="03F3CFB8" w14:textId="257D5A63" w:rsidR="00A433C4" w:rsidRDefault="00A433C4" w:rsidP="00A433C4">
      <w:pPr>
        <w:pStyle w:val="NormalWeb"/>
        <w:numPr>
          <w:ilvl w:val="0"/>
          <w:numId w:val="1"/>
        </w:numPr>
        <w:shd w:val="clear" w:color="auto" w:fill="F9F9F9"/>
        <w:spacing w:before="0" w:beforeAutospacing="0" w:after="0" w:afterAutospacing="0"/>
        <w:rPr>
          <w:rFonts w:ascii="Roboto" w:hAnsi="Roboto"/>
          <w:color w:val="111111"/>
        </w:rPr>
      </w:pPr>
      <w:proofErr w:type="gramStart"/>
      <w:r>
        <w:rPr>
          <w:rStyle w:val="Strong"/>
          <w:rFonts w:ascii="Roboto" w:eastAsiaTheme="majorEastAsia" w:hAnsi="Roboto"/>
          <w:color w:val="111111"/>
        </w:rPr>
        <w:t>Make a Plan</w:t>
      </w:r>
      <w:proofErr w:type="gramEnd"/>
      <w:r>
        <w:rPr>
          <w:rFonts w:ascii="Roboto" w:hAnsi="Roboto"/>
          <w:color w:val="111111"/>
        </w:rPr>
        <w:t>: Develop a validation project plan that outlines roles, responsibilities, and timelines. </w:t>
      </w:r>
      <w:hyperlink r:id="rId11" w:tgtFrame="_blank" w:history="1">
        <w:r>
          <w:rPr>
            <w:rStyle w:val="Hyperlink"/>
            <w:rFonts w:ascii="Roboto" w:eastAsiaTheme="majorEastAsia" w:hAnsi="Roboto"/>
          </w:rPr>
          <w:t>Include validation activities, testing protocols, and documentation requirements</w:t>
        </w:r>
      </w:hyperlink>
      <w:r w:rsidR="001C3CC8">
        <w:t>.</w:t>
      </w:r>
    </w:p>
    <w:p w14:paraId="25DEF66C" w14:textId="77777777" w:rsidR="00F6287A" w:rsidRDefault="00F6287A"/>
    <w:p w14:paraId="472C6313" w14:textId="20C22202" w:rsidR="00060A48" w:rsidRPr="006006B6" w:rsidRDefault="00F507B3">
      <w:pPr>
        <w:rPr>
          <w:rFonts w:ascii="Calibri" w:hAnsi="Calibri" w:cs="Calibri"/>
        </w:rPr>
      </w:pPr>
      <w:r w:rsidRPr="006006B6">
        <w:rPr>
          <w:rFonts w:ascii="Calibri" w:hAnsi="Calibri" w:cs="Calibri"/>
        </w:rPr>
        <w:t>Manage phase</w:t>
      </w:r>
    </w:p>
    <w:p w14:paraId="4A95BD8C" w14:textId="77777777" w:rsidR="00F507B3" w:rsidRPr="006006B6" w:rsidRDefault="00F507B3">
      <w:pPr>
        <w:rPr>
          <w:rFonts w:ascii="Calibri" w:hAnsi="Calibri" w:cs="Calibri"/>
        </w:rPr>
      </w:pPr>
    </w:p>
    <w:p w14:paraId="1C995B77" w14:textId="5830AD89" w:rsidR="00F507B3" w:rsidRPr="006006B6" w:rsidRDefault="00F507B3">
      <w:pPr>
        <w:rPr>
          <w:rFonts w:ascii="Calibri" w:hAnsi="Calibri" w:cs="Calibri"/>
        </w:rPr>
      </w:pPr>
      <w:r w:rsidRPr="006006B6">
        <w:rPr>
          <w:rFonts w:ascii="Calibri" w:hAnsi="Calibri" w:cs="Calibri"/>
          <w:color w:val="252525"/>
          <w:shd w:val="clear" w:color="auto" w:fill="FFFFFF"/>
        </w:rPr>
        <w:t>Prepare a Cloud Migration Strategy: Define your approach Set timelines and resource allocation. Select Resources and Set Up Infrastructure: Choose the right cloud resources (virtual machines, storage, network). Replicate or migrate data to the cloud. Introduce DevOps and Cloud Governance: Implement best practices for managing cloud resources. Ensure security, compliance, and efficient operations. Initiate the Migration: Deploy and configure applications in the new cloud environment. Test thoroughly to validate functionality. Monitor, Test, and Optimize: Continuously monitor performance, security, and costs. Optimize for efficiency and scalability.</w:t>
      </w:r>
    </w:p>
    <w:sectPr w:rsidR="00F507B3" w:rsidRPr="00600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E76952"/>
    <w:multiLevelType w:val="multilevel"/>
    <w:tmpl w:val="8A4CFD60"/>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num w:numId="1" w16cid:durableId="5219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C4"/>
    <w:rsid w:val="00060A48"/>
    <w:rsid w:val="000D7B1F"/>
    <w:rsid w:val="001C3CC8"/>
    <w:rsid w:val="002A5976"/>
    <w:rsid w:val="004C1C32"/>
    <w:rsid w:val="006006B6"/>
    <w:rsid w:val="006E6A54"/>
    <w:rsid w:val="009A3291"/>
    <w:rsid w:val="009D602C"/>
    <w:rsid w:val="00A433C4"/>
    <w:rsid w:val="00DC193A"/>
    <w:rsid w:val="00F507B3"/>
    <w:rsid w:val="00F628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AF43"/>
  <w15:chartTrackingRefBased/>
  <w15:docId w15:val="{19DF4377-20C8-400E-B411-35F6627B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3C4"/>
    <w:rPr>
      <w:rFonts w:eastAsiaTheme="majorEastAsia" w:cstheme="majorBidi"/>
      <w:color w:val="272727" w:themeColor="text1" w:themeTint="D8"/>
    </w:rPr>
  </w:style>
  <w:style w:type="paragraph" w:styleId="Title">
    <w:name w:val="Title"/>
    <w:basedOn w:val="Normal"/>
    <w:next w:val="Normal"/>
    <w:link w:val="TitleChar"/>
    <w:uiPriority w:val="10"/>
    <w:qFormat/>
    <w:rsid w:val="00A43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3C4"/>
    <w:pPr>
      <w:spacing w:before="160"/>
      <w:jc w:val="center"/>
    </w:pPr>
    <w:rPr>
      <w:i/>
      <w:iCs/>
      <w:color w:val="404040" w:themeColor="text1" w:themeTint="BF"/>
    </w:rPr>
  </w:style>
  <w:style w:type="character" w:customStyle="1" w:styleId="QuoteChar">
    <w:name w:val="Quote Char"/>
    <w:basedOn w:val="DefaultParagraphFont"/>
    <w:link w:val="Quote"/>
    <w:uiPriority w:val="29"/>
    <w:rsid w:val="00A433C4"/>
    <w:rPr>
      <w:i/>
      <w:iCs/>
      <w:color w:val="404040" w:themeColor="text1" w:themeTint="BF"/>
    </w:rPr>
  </w:style>
  <w:style w:type="paragraph" w:styleId="ListParagraph">
    <w:name w:val="List Paragraph"/>
    <w:basedOn w:val="Normal"/>
    <w:uiPriority w:val="34"/>
    <w:qFormat/>
    <w:rsid w:val="00A433C4"/>
    <w:pPr>
      <w:ind w:left="720"/>
      <w:contextualSpacing/>
    </w:pPr>
  </w:style>
  <w:style w:type="character" w:styleId="IntenseEmphasis">
    <w:name w:val="Intense Emphasis"/>
    <w:basedOn w:val="DefaultParagraphFont"/>
    <w:uiPriority w:val="21"/>
    <w:qFormat/>
    <w:rsid w:val="00A433C4"/>
    <w:rPr>
      <w:i/>
      <w:iCs/>
      <w:color w:val="0F4761" w:themeColor="accent1" w:themeShade="BF"/>
    </w:rPr>
  </w:style>
  <w:style w:type="paragraph" w:styleId="IntenseQuote">
    <w:name w:val="Intense Quote"/>
    <w:basedOn w:val="Normal"/>
    <w:next w:val="Normal"/>
    <w:link w:val="IntenseQuoteChar"/>
    <w:uiPriority w:val="30"/>
    <w:qFormat/>
    <w:rsid w:val="00A43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3C4"/>
    <w:rPr>
      <w:i/>
      <w:iCs/>
      <w:color w:val="0F4761" w:themeColor="accent1" w:themeShade="BF"/>
    </w:rPr>
  </w:style>
  <w:style w:type="character" w:styleId="IntenseReference">
    <w:name w:val="Intense Reference"/>
    <w:basedOn w:val="DefaultParagraphFont"/>
    <w:uiPriority w:val="32"/>
    <w:qFormat/>
    <w:rsid w:val="00A433C4"/>
    <w:rPr>
      <w:b/>
      <w:bCs/>
      <w:smallCaps/>
      <w:color w:val="0F4761" w:themeColor="accent1" w:themeShade="BF"/>
      <w:spacing w:val="5"/>
    </w:rPr>
  </w:style>
  <w:style w:type="paragraph" w:styleId="NormalWeb">
    <w:name w:val="Normal (Web)"/>
    <w:basedOn w:val="Normal"/>
    <w:uiPriority w:val="99"/>
    <w:semiHidden/>
    <w:unhideWhenUsed/>
    <w:rsid w:val="00A433C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A433C4"/>
    <w:rPr>
      <w:b/>
      <w:bCs/>
    </w:rPr>
  </w:style>
  <w:style w:type="character" w:styleId="Hyperlink">
    <w:name w:val="Hyperlink"/>
    <w:basedOn w:val="DefaultParagraphFont"/>
    <w:uiPriority w:val="99"/>
    <w:semiHidden/>
    <w:unhideWhenUsed/>
    <w:rsid w:val="00A433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733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montrium.com/experts/how-to-prepare-for-application-validation-in-the-cloud-step-by-step-gui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montrium.com/experts/how-to-prepare-for-application-validation-in-the-cloud-step-by-step-gui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montrium.com/experts/how-to-prepare-for-application-validation-in-the-cloud-step-by-step-guide" TargetMode="External"/><Relationship Id="rId11" Type="http://schemas.openxmlformats.org/officeDocument/2006/relationships/hyperlink" Target="https://blog.montrium.com/experts/how-to-prepare-for-application-validation-in-the-cloud-step-by-step-guide" TargetMode="External"/><Relationship Id="rId5" Type="http://schemas.openxmlformats.org/officeDocument/2006/relationships/hyperlink" Target="https://blog.montrium.com/experts/how-to-prepare-for-application-validation-in-the-cloud-step-by-step-guide" TargetMode="External"/><Relationship Id="rId10" Type="http://schemas.openxmlformats.org/officeDocument/2006/relationships/hyperlink" Target="https://www.arenasolutions.com/resources/articles/validation-for-cloud-software/" TargetMode="External"/><Relationship Id="rId4" Type="http://schemas.openxmlformats.org/officeDocument/2006/relationships/webSettings" Target="webSettings.xml"/><Relationship Id="rId9" Type="http://schemas.openxmlformats.org/officeDocument/2006/relationships/hyperlink" Target="https://blog.montrium.com/experts/how-to-prepare-for-application-validation-in-the-cloud-step-by-step-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Yamika Govender</dc:creator>
  <cp:keywords/>
  <dc:description/>
  <cp:lastModifiedBy>Yamika Govender</cp:lastModifiedBy>
  <cp:revision>8</cp:revision>
  <dcterms:created xsi:type="dcterms:W3CDTF">2024-06-10T15:23:00Z</dcterms:created>
  <dcterms:modified xsi:type="dcterms:W3CDTF">2024-06-10T18:45:00Z</dcterms:modified>
</cp:coreProperties>
</file>