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687AE" w14:textId="77777777" w:rsidR="00F869BD" w:rsidRDefault="00000000">
      <w:pPr>
        <w:pStyle w:val="Title"/>
      </w:pPr>
      <w:r>
        <w:t>Cybersecurity Compliance Gap Assessment &amp; Remediation Plan</w:t>
      </w:r>
    </w:p>
    <w:p w14:paraId="1A4021A3" w14:textId="77777777" w:rsidR="00F869BD" w:rsidRDefault="00000000">
      <w:r>
        <w:t>Date: June 13, 2025</w:t>
      </w:r>
    </w:p>
    <w:p w14:paraId="295734C5" w14:textId="77777777" w:rsidR="00F869BD" w:rsidRDefault="00000000">
      <w:pPr>
        <w:pStyle w:val="Heading1"/>
      </w:pPr>
      <w:r>
        <w:t>Executive Summary</w:t>
      </w:r>
    </w:p>
    <w:p w14:paraId="11903925" w14:textId="77777777" w:rsidR="00F869BD" w:rsidRDefault="00000000">
      <w:r>
        <w:t>This document provides an evaluation of current cybersecurity and compliance controls based on NIST Cybersecurity Framework (NIST CSF), PCI DSS, and GDPR. Key deficiencies have been identified, prioritized by risk level, and addressed with recommended timelines and estimated cost implications of non-remediation.</w:t>
      </w:r>
    </w:p>
    <w:p w14:paraId="64ECF02B" w14:textId="77777777" w:rsidR="00F869BD" w:rsidRDefault="00000000">
      <w:pPr>
        <w:pStyle w:val="Heading1"/>
      </w:pPr>
      <w:r>
        <w:t>High Priority Remediations (0–3 Months)</w:t>
      </w:r>
    </w:p>
    <w:tbl>
      <w:tblPr>
        <w:tblW w:w="0" w:type="auto"/>
        <w:tblLook w:val="04A0" w:firstRow="1" w:lastRow="0" w:firstColumn="1" w:lastColumn="0" w:noHBand="0" w:noVBand="1"/>
      </w:tblPr>
      <w:tblGrid>
        <w:gridCol w:w="2160"/>
        <w:gridCol w:w="2160"/>
        <w:gridCol w:w="2160"/>
        <w:gridCol w:w="2160"/>
      </w:tblGrid>
      <w:tr w:rsidR="00F869BD" w14:paraId="0EE1B223" w14:textId="77777777">
        <w:tc>
          <w:tcPr>
            <w:tcW w:w="2160" w:type="dxa"/>
          </w:tcPr>
          <w:p w14:paraId="70C69682" w14:textId="77777777" w:rsidR="00F869BD" w:rsidRDefault="00000000">
            <w:r>
              <w:t>Control</w:t>
            </w:r>
          </w:p>
        </w:tc>
        <w:tc>
          <w:tcPr>
            <w:tcW w:w="2160" w:type="dxa"/>
          </w:tcPr>
          <w:p w14:paraId="0D88E0DB" w14:textId="77777777" w:rsidR="00F869BD" w:rsidRDefault="00000000">
            <w:r>
              <w:t>Risk / Why Fix</w:t>
            </w:r>
          </w:p>
        </w:tc>
        <w:tc>
          <w:tcPr>
            <w:tcW w:w="2160" w:type="dxa"/>
          </w:tcPr>
          <w:p w14:paraId="5726ED20" w14:textId="77777777" w:rsidR="00F869BD" w:rsidRDefault="00000000">
            <w:r>
              <w:t>Timeline</w:t>
            </w:r>
          </w:p>
        </w:tc>
        <w:tc>
          <w:tcPr>
            <w:tcW w:w="2160" w:type="dxa"/>
          </w:tcPr>
          <w:p w14:paraId="0B63CDFA" w14:textId="77777777" w:rsidR="00F869BD" w:rsidRDefault="00000000">
            <w:r>
              <w:t>Cost of Not Fixing</w:t>
            </w:r>
          </w:p>
        </w:tc>
      </w:tr>
      <w:tr w:rsidR="00F869BD" w14:paraId="20EBB1D7" w14:textId="77777777">
        <w:tc>
          <w:tcPr>
            <w:tcW w:w="2160" w:type="dxa"/>
          </w:tcPr>
          <w:p w14:paraId="037B92AE" w14:textId="77777777" w:rsidR="00F869BD" w:rsidRDefault="00000000">
            <w:r>
              <w:t>Least Privilege</w:t>
            </w:r>
          </w:p>
        </w:tc>
        <w:tc>
          <w:tcPr>
            <w:tcW w:w="2160" w:type="dxa"/>
          </w:tcPr>
          <w:p w14:paraId="36B6C5E6" w14:textId="77777777" w:rsidR="00F869BD" w:rsidRDefault="00000000">
            <w:r>
              <w:t>Violates NIST ID.AM-3, increases attack surface</w:t>
            </w:r>
          </w:p>
        </w:tc>
        <w:tc>
          <w:tcPr>
            <w:tcW w:w="2160" w:type="dxa"/>
          </w:tcPr>
          <w:p w14:paraId="1CD2D43C" w14:textId="77777777" w:rsidR="00F869BD" w:rsidRDefault="00000000">
            <w:r>
              <w:t>1 month</w:t>
            </w:r>
          </w:p>
        </w:tc>
        <w:tc>
          <w:tcPr>
            <w:tcW w:w="2160" w:type="dxa"/>
          </w:tcPr>
          <w:p w14:paraId="5F24C6CE" w14:textId="77777777" w:rsidR="00F869BD" w:rsidRDefault="00000000">
            <w:r>
              <w:t>$4.45M+ (data breach risk)</w:t>
            </w:r>
          </w:p>
        </w:tc>
      </w:tr>
      <w:tr w:rsidR="00F869BD" w14:paraId="4007403A" w14:textId="77777777">
        <w:tc>
          <w:tcPr>
            <w:tcW w:w="2160" w:type="dxa"/>
          </w:tcPr>
          <w:p w14:paraId="0D125941" w14:textId="77777777" w:rsidR="00F869BD" w:rsidRDefault="00000000">
            <w:r>
              <w:t>Password Policy</w:t>
            </w:r>
          </w:p>
        </w:tc>
        <w:tc>
          <w:tcPr>
            <w:tcW w:w="2160" w:type="dxa"/>
          </w:tcPr>
          <w:p w14:paraId="13F6C56B" w14:textId="77777777" w:rsidR="00F869BD" w:rsidRDefault="00000000">
            <w:r>
              <w:t>Violates NIST PR.AC-1, PCI DSS 8</w:t>
            </w:r>
          </w:p>
        </w:tc>
        <w:tc>
          <w:tcPr>
            <w:tcW w:w="2160" w:type="dxa"/>
          </w:tcPr>
          <w:p w14:paraId="7D005330" w14:textId="77777777" w:rsidR="00F869BD" w:rsidRDefault="00000000">
            <w:r>
              <w:t>1 month</w:t>
            </w:r>
          </w:p>
        </w:tc>
        <w:tc>
          <w:tcPr>
            <w:tcW w:w="2160" w:type="dxa"/>
          </w:tcPr>
          <w:p w14:paraId="108456EB" w14:textId="77777777" w:rsidR="00F869BD" w:rsidRDefault="00000000">
            <w:r>
              <w:t>Credential theft, compliance fines</w:t>
            </w:r>
          </w:p>
        </w:tc>
      </w:tr>
      <w:tr w:rsidR="00F869BD" w14:paraId="6D622219" w14:textId="77777777">
        <w:tc>
          <w:tcPr>
            <w:tcW w:w="2160" w:type="dxa"/>
          </w:tcPr>
          <w:p w14:paraId="7137B627" w14:textId="77777777" w:rsidR="00F869BD" w:rsidRDefault="00000000">
            <w:r>
              <w:t>Password Management System</w:t>
            </w:r>
          </w:p>
        </w:tc>
        <w:tc>
          <w:tcPr>
            <w:tcW w:w="2160" w:type="dxa"/>
          </w:tcPr>
          <w:p w14:paraId="0153E225" w14:textId="77777777" w:rsidR="00F869BD" w:rsidRDefault="00000000">
            <w:r>
              <w:t>No centralized control, poor hygiene</w:t>
            </w:r>
          </w:p>
        </w:tc>
        <w:tc>
          <w:tcPr>
            <w:tcW w:w="2160" w:type="dxa"/>
          </w:tcPr>
          <w:p w14:paraId="0A174F2E" w14:textId="77777777" w:rsidR="00F869BD" w:rsidRDefault="00000000">
            <w:r>
              <w:t>2 months</w:t>
            </w:r>
          </w:p>
        </w:tc>
        <w:tc>
          <w:tcPr>
            <w:tcW w:w="2160" w:type="dxa"/>
          </w:tcPr>
          <w:p w14:paraId="3B4551DB" w14:textId="77777777" w:rsidR="00F869BD" w:rsidRDefault="00000000">
            <w:r>
              <w:t>Shadow IT exposure</w:t>
            </w:r>
          </w:p>
        </w:tc>
      </w:tr>
      <w:tr w:rsidR="00F869BD" w14:paraId="500F57E8" w14:textId="77777777">
        <w:tc>
          <w:tcPr>
            <w:tcW w:w="2160" w:type="dxa"/>
          </w:tcPr>
          <w:p w14:paraId="68C31204" w14:textId="77777777" w:rsidR="00F869BD" w:rsidRDefault="00000000">
            <w:r>
              <w:t>Disaster Recovery Plan</w:t>
            </w:r>
          </w:p>
        </w:tc>
        <w:tc>
          <w:tcPr>
            <w:tcW w:w="2160" w:type="dxa"/>
          </w:tcPr>
          <w:p w14:paraId="1E9703E3" w14:textId="77777777" w:rsidR="00F869BD" w:rsidRDefault="00000000">
            <w:r>
              <w:t>Violates NIST PR.IP-9, PCI 12.10</w:t>
            </w:r>
          </w:p>
        </w:tc>
        <w:tc>
          <w:tcPr>
            <w:tcW w:w="2160" w:type="dxa"/>
          </w:tcPr>
          <w:p w14:paraId="227CEC8A" w14:textId="77777777" w:rsidR="00F869BD" w:rsidRDefault="00000000">
            <w:r>
              <w:t>2 months</w:t>
            </w:r>
          </w:p>
        </w:tc>
        <w:tc>
          <w:tcPr>
            <w:tcW w:w="2160" w:type="dxa"/>
          </w:tcPr>
          <w:p w14:paraId="2D8B3224" w14:textId="77777777" w:rsidR="00F869BD" w:rsidRDefault="00000000">
            <w:r>
              <w:t>$5,600/min downtime</w:t>
            </w:r>
          </w:p>
        </w:tc>
      </w:tr>
      <w:tr w:rsidR="00F869BD" w14:paraId="71462A95" w14:textId="77777777">
        <w:tc>
          <w:tcPr>
            <w:tcW w:w="2160" w:type="dxa"/>
          </w:tcPr>
          <w:p w14:paraId="77AC4E66" w14:textId="77777777" w:rsidR="00F869BD" w:rsidRDefault="00000000">
            <w:r>
              <w:t>Encryption</w:t>
            </w:r>
          </w:p>
        </w:tc>
        <w:tc>
          <w:tcPr>
            <w:tcW w:w="2160" w:type="dxa"/>
          </w:tcPr>
          <w:p w14:paraId="28488735" w14:textId="77777777" w:rsidR="00F869BD" w:rsidRDefault="00000000">
            <w:r>
              <w:t>PCI DSS 3, GDPR Article 32</w:t>
            </w:r>
          </w:p>
        </w:tc>
        <w:tc>
          <w:tcPr>
            <w:tcW w:w="2160" w:type="dxa"/>
          </w:tcPr>
          <w:p w14:paraId="0177C251" w14:textId="77777777" w:rsidR="00F869BD" w:rsidRDefault="00000000">
            <w:r>
              <w:t>2 months</w:t>
            </w:r>
          </w:p>
        </w:tc>
        <w:tc>
          <w:tcPr>
            <w:tcW w:w="2160" w:type="dxa"/>
          </w:tcPr>
          <w:p w14:paraId="6A664A88" w14:textId="77777777" w:rsidR="00F869BD" w:rsidRDefault="00000000">
            <w:r>
              <w:t>Data theft, €20M fines</w:t>
            </w:r>
          </w:p>
        </w:tc>
      </w:tr>
      <w:tr w:rsidR="00F869BD" w14:paraId="6918D955" w14:textId="77777777">
        <w:tc>
          <w:tcPr>
            <w:tcW w:w="2160" w:type="dxa"/>
          </w:tcPr>
          <w:p w14:paraId="2BDC8001" w14:textId="77777777" w:rsidR="00F869BD" w:rsidRDefault="00000000">
            <w:r>
              <w:t>Intrusion Detection System</w:t>
            </w:r>
          </w:p>
        </w:tc>
        <w:tc>
          <w:tcPr>
            <w:tcW w:w="2160" w:type="dxa"/>
          </w:tcPr>
          <w:p w14:paraId="4527732A" w14:textId="77777777" w:rsidR="00F869BD" w:rsidRDefault="00000000">
            <w:r>
              <w:t>NIST DE.CM-1, PCI DSS 11.4</w:t>
            </w:r>
          </w:p>
        </w:tc>
        <w:tc>
          <w:tcPr>
            <w:tcW w:w="2160" w:type="dxa"/>
          </w:tcPr>
          <w:p w14:paraId="1579F311" w14:textId="77777777" w:rsidR="00F869BD" w:rsidRDefault="00000000">
            <w:r>
              <w:t>3 months</w:t>
            </w:r>
          </w:p>
        </w:tc>
        <w:tc>
          <w:tcPr>
            <w:tcW w:w="2160" w:type="dxa"/>
          </w:tcPr>
          <w:p w14:paraId="026EA0BB" w14:textId="77777777" w:rsidR="00F869BD" w:rsidRDefault="00000000">
            <w:r>
              <w:t>Unknown breaches</w:t>
            </w:r>
          </w:p>
        </w:tc>
      </w:tr>
      <w:tr w:rsidR="00F869BD" w14:paraId="71C8AC98" w14:textId="77777777">
        <w:tc>
          <w:tcPr>
            <w:tcW w:w="2160" w:type="dxa"/>
          </w:tcPr>
          <w:p w14:paraId="795682F2" w14:textId="77777777" w:rsidR="00F869BD" w:rsidRDefault="00000000">
            <w:r>
              <w:t>Backups</w:t>
            </w:r>
          </w:p>
        </w:tc>
        <w:tc>
          <w:tcPr>
            <w:tcW w:w="2160" w:type="dxa"/>
          </w:tcPr>
          <w:p w14:paraId="06EA726E" w14:textId="77777777" w:rsidR="00F869BD" w:rsidRDefault="00000000">
            <w:r>
              <w:t>NIST PR.IP-4, PCI DSS 9.5</w:t>
            </w:r>
          </w:p>
        </w:tc>
        <w:tc>
          <w:tcPr>
            <w:tcW w:w="2160" w:type="dxa"/>
          </w:tcPr>
          <w:p w14:paraId="6B34AAD1" w14:textId="77777777" w:rsidR="00F869BD" w:rsidRDefault="00000000">
            <w:r>
              <w:t>2 months</w:t>
            </w:r>
          </w:p>
        </w:tc>
        <w:tc>
          <w:tcPr>
            <w:tcW w:w="2160" w:type="dxa"/>
          </w:tcPr>
          <w:p w14:paraId="5E8A115B" w14:textId="77777777" w:rsidR="00F869BD" w:rsidRDefault="00000000">
            <w:r>
              <w:t>Data unrecoverable after ransomware</w:t>
            </w:r>
          </w:p>
        </w:tc>
      </w:tr>
      <w:tr w:rsidR="00F869BD" w14:paraId="26342FF9" w14:textId="77777777">
        <w:tc>
          <w:tcPr>
            <w:tcW w:w="2160" w:type="dxa"/>
          </w:tcPr>
          <w:p w14:paraId="3A922992" w14:textId="77777777" w:rsidR="00F869BD" w:rsidRDefault="00000000">
            <w:r>
              <w:t>Firewall</w:t>
            </w:r>
          </w:p>
        </w:tc>
        <w:tc>
          <w:tcPr>
            <w:tcW w:w="2160" w:type="dxa"/>
          </w:tcPr>
          <w:p w14:paraId="1451A4AD" w14:textId="77777777" w:rsidR="00F869BD" w:rsidRDefault="00000000">
            <w:r>
              <w:t>PCI DSS 1, NIST PR.AC-5</w:t>
            </w:r>
          </w:p>
        </w:tc>
        <w:tc>
          <w:tcPr>
            <w:tcW w:w="2160" w:type="dxa"/>
          </w:tcPr>
          <w:p w14:paraId="1B274423" w14:textId="77777777" w:rsidR="00F869BD" w:rsidRDefault="00000000">
            <w:r>
              <w:t>1 month</w:t>
            </w:r>
          </w:p>
        </w:tc>
        <w:tc>
          <w:tcPr>
            <w:tcW w:w="2160" w:type="dxa"/>
          </w:tcPr>
          <w:p w14:paraId="4C6DAA89" w14:textId="77777777" w:rsidR="00F869BD" w:rsidRDefault="00000000">
            <w:r>
              <w:t>External attack entry point</w:t>
            </w:r>
          </w:p>
        </w:tc>
      </w:tr>
      <w:tr w:rsidR="00F869BD" w14:paraId="7FB89BFC" w14:textId="77777777">
        <w:tc>
          <w:tcPr>
            <w:tcW w:w="2160" w:type="dxa"/>
          </w:tcPr>
          <w:p w14:paraId="3B213401" w14:textId="77777777" w:rsidR="00F869BD" w:rsidRDefault="00000000">
            <w:r>
              <w:t xml:space="preserve">Access Control for </w:t>
            </w:r>
            <w:r>
              <w:lastRenderedPageBreak/>
              <w:t>Credit Card Data</w:t>
            </w:r>
          </w:p>
        </w:tc>
        <w:tc>
          <w:tcPr>
            <w:tcW w:w="2160" w:type="dxa"/>
          </w:tcPr>
          <w:p w14:paraId="03D4EE52" w14:textId="77777777" w:rsidR="00F869BD" w:rsidRDefault="00000000">
            <w:r>
              <w:lastRenderedPageBreak/>
              <w:t>PCI DSS 7</w:t>
            </w:r>
          </w:p>
        </w:tc>
        <w:tc>
          <w:tcPr>
            <w:tcW w:w="2160" w:type="dxa"/>
          </w:tcPr>
          <w:p w14:paraId="1AC77F1B" w14:textId="77777777" w:rsidR="00F869BD" w:rsidRDefault="00000000">
            <w:r>
              <w:t>1 month</w:t>
            </w:r>
          </w:p>
        </w:tc>
        <w:tc>
          <w:tcPr>
            <w:tcW w:w="2160" w:type="dxa"/>
          </w:tcPr>
          <w:p w14:paraId="7263F4F0" w14:textId="77777777" w:rsidR="00F869BD" w:rsidRDefault="00000000">
            <w:r>
              <w:t>Legal penalties</w:t>
            </w:r>
          </w:p>
        </w:tc>
      </w:tr>
      <w:tr w:rsidR="00F869BD" w14:paraId="7C787F67" w14:textId="77777777">
        <w:tc>
          <w:tcPr>
            <w:tcW w:w="2160" w:type="dxa"/>
          </w:tcPr>
          <w:p w14:paraId="68451C0A" w14:textId="77777777" w:rsidR="00F869BD" w:rsidRDefault="00000000">
            <w:r>
              <w:t>Credit Card Data Storage</w:t>
            </w:r>
          </w:p>
        </w:tc>
        <w:tc>
          <w:tcPr>
            <w:tcW w:w="2160" w:type="dxa"/>
          </w:tcPr>
          <w:p w14:paraId="3E519176" w14:textId="77777777" w:rsidR="00F869BD" w:rsidRDefault="00000000">
            <w:r>
              <w:t>PCI DSS 3–4</w:t>
            </w:r>
          </w:p>
        </w:tc>
        <w:tc>
          <w:tcPr>
            <w:tcW w:w="2160" w:type="dxa"/>
          </w:tcPr>
          <w:p w14:paraId="5A462FEF" w14:textId="77777777" w:rsidR="00F869BD" w:rsidRDefault="00000000">
            <w:r>
              <w:t>1 month</w:t>
            </w:r>
          </w:p>
        </w:tc>
        <w:tc>
          <w:tcPr>
            <w:tcW w:w="2160" w:type="dxa"/>
          </w:tcPr>
          <w:p w14:paraId="51A9DC62" w14:textId="77777777" w:rsidR="00F869BD" w:rsidRDefault="00000000">
            <w:r>
              <w:t>Breach liabilities</w:t>
            </w:r>
          </w:p>
        </w:tc>
      </w:tr>
      <w:tr w:rsidR="00F869BD" w14:paraId="335ABD61" w14:textId="77777777">
        <w:tc>
          <w:tcPr>
            <w:tcW w:w="2160" w:type="dxa"/>
          </w:tcPr>
          <w:p w14:paraId="35BC9086" w14:textId="77777777" w:rsidR="00F869BD" w:rsidRDefault="00000000">
            <w:r>
              <w:t>EU Breach Notification Plan</w:t>
            </w:r>
          </w:p>
        </w:tc>
        <w:tc>
          <w:tcPr>
            <w:tcW w:w="2160" w:type="dxa"/>
          </w:tcPr>
          <w:p w14:paraId="1E013322" w14:textId="77777777" w:rsidR="00F869BD" w:rsidRDefault="00000000">
            <w:r>
              <w:t>GDPR Article 33</w:t>
            </w:r>
          </w:p>
        </w:tc>
        <w:tc>
          <w:tcPr>
            <w:tcW w:w="2160" w:type="dxa"/>
          </w:tcPr>
          <w:p w14:paraId="2F1359A6" w14:textId="77777777" w:rsidR="00F869BD" w:rsidRDefault="00000000">
            <w:r>
              <w:t>3 months</w:t>
            </w:r>
          </w:p>
        </w:tc>
        <w:tc>
          <w:tcPr>
            <w:tcW w:w="2160" w:type="dxa"/>
          </w:tcPr>
          <w:p w14:paraId="1462F4EC" w14:textId="77777777" w:rsidR="00F869BD" w:rsidRDefault="00000000">
            <w:r>
              <w:t>€10–20M GDPR fine</w:t>
            </w:r>
          </w:p>
        </w:tc>
      </w:tr>
    </w:tbl>
    <w:p w14:paraId="3B1FFC31" w14:textId="77777777" w:rsidR="00F869BD" w:rsidRDefault="00000000">
      <w:pPr>
        <w:pStyle w:val="Heading1"/>
      </w:pPr>
      <w:r>
        <w:t>Medium Priority Remediations (3–6 Months)</w:t>
      </w:r>
    </w:p>
    <w:p w14:paraId="551AC85B" w14:textId="77777777" w:rsidR="00F869BD" w:rsidRDefault="00000000">
      <w:r>
        <w:t>Controls that impact governance, data quality, and access management but have less immediate exposure.</w:t>
      </w:r>
    </w:p>
    <w:p w14:paraId="7F851BC1" w14:textId="77777777" w:rsidR="00F869BD" w:rsidRDefault="00000000">
      <w:pPr>
        <w:pStyle w:val="Heading1"/>
      </w:pPr>
      <w:r>
        <w:t>Low Priority Remediations (6–12 Months)</w:t>
      </w:r>
    </w:p>
    <w:p w14:paraId="3086AD01" w14:textId="77777777" w:rsidR="00F869BD" w:rsidRDefault="00000000">
      <w:r>
        <w:t>Long-term improvements focused on physical security, environmental safety, and secondary availability controls.</w:t>
      </w:r>
    </w:p>
    <w:p w14:paraId="39A7DCCD" w14:textId="77777777" w:rsidR="00F869BD" w:rsidRDefault="00000000">
      <w:pPr>
        <w:pStyle w:val="Heading1"/>
      </w:pPr>
      <w:r>
        <w:t>Cumulative Cost of Inaction</w:t>
      </w:r>
    </w:p>
    <w:p w14:paraId="77CE6B5A" w14:textId="77777777" w:rsidR="00F869BD" w:rsidRDefault="00000000">
      <w:r>
        <w:t>- Regulatory fines (PCI + GDPR): $11M–$25M</w:t>
      </w:r>
      <w:r>
        <w:br/>
        <w:t>- Operational downtime: $50K–$1M</w:t>
      </w:r>
      <w:r>
        <w:br/>
        <w:t>- Breach recovery costs: $4.45M average</w:t>
      </w:r>
      <w:r>
        <w:br/>
        <w:t>- Reputational damage: Intangible but long-lasting</w:t>
      </w:r>
    </w:p>
    <w:p w14:paraId="44F95574" w14:textId="77777777" w:rsidR="00F869BD" w:rsidRDefault="00000000">
      <w:pPr>
        <w:pStyle w:val="Heading1"/>
      </w:pPr>
      <w:r>
        <w:t>Conclusion</w:t>
      </w:r>
    </w:p>
    <w:p w14:paraId="2C50236D" w14:textId="77777777" w:rsidR="00F869BD" w:rsidRDefault="00000000">
      <w:r>
        <w:t>The organization must immediately address high-risk security gaps to meet baseline compliance standards and prevent financial, legal, and operational losses. Implementation of the outlined plan should begin within the next 30 days.</w:t>
      </w:r>
    </w:p>
    <w:sectPr w:rsidR="00F869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5766288">
    <w:abstractNumId w:val="8"/>
  </w:num>
  <w:num w:numId="2" w16cid:durableId="1654482761">
    <w:abstractNumId w:val="6"/>
  </w:num>
  <w:num w:numId="3" w16cid:durableId="422922009">
    <w:abstractNumId w:val="5"/>
  </w:num>
  <w:num w:numId="4" w16cid:durableId="1587105982">
    <w:abstractNumId w:val="4"/>
  </w:num>
  <w:num w:numId="5" w16cid:durableId="1454783165">
    <w:abstractNumId w:val="7"/>
  </w:num>
  <w:num w:numId="6" w16cid:durableId="2052415217">
    <w:abstractNumId w:val="3"/>
  </w:num>
  <w:num w:numId="7" w16cid:durableId="694698528">
    <w:abstractNumId w:val="2"/>
  </w:num>
  <w:num w:numId="8" w16cid:durableId="772674649">
    <w:abstractNumId w:val="1"/>
  </w:num>
  <w:num w:numId="9" w16cid:durableId="172545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093"/>
    <w:rsid w:val="00AA1D8D"/>
    <w:rsid w:val="00AF7FC9"/>
    <w:rsid w:val="00B47730"/>
    <w:rsid w:val="00CB0664"/>
    <w:rsid w:val="00F869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D4E59"/>
  <w14:defaultImageDpi w14:val="300"/>
  <w15:docId w15:val="{829E8A53-E557-4C37-B6A7-198E9219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Yamil Santana</cp:lastModifiedBy>
  <cp:revision>2</cp:revision>
  <dcterms:created xsi:type="dcterms:W3CDTF">2025-06-13T17:14:00Z</dcterms:created>
  <dcterms:modified xsi:type="dcterms:W3CDTF">2025-06-13T17:14:00Z</dcterms:modified>
  <cp:category/>
</cp:coreProperties>
</file>