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F3AC89" w14:textId="64503602" w:rsidR="00F97A0D" w:rsidRPr="00F97A0D" w:rsidRDefault="00F97A0D" w:rsidP="00F97A0D">
      <w:pPr>
        <w:widowControl w:val="0"/>
        <w:pBdr>
          <w:top w:val="nil"/>
          <w:left w:val="nil"/>
          <w:bottom w:val="nil"/>
          <w:right w:val="nil"/>
          <w:between w:val="nil"/>
        </w:pBdr>
        <w:spacing w:line="243" w:lineRule="auto"/>
        <w:ind w:left="1333" w:right="895"/>
        <w:jc w:val="center"/>
        <w:rPr>
          <w:rFonts w:ascii="Calibri" w:eastAsia="Calibri" w:hAnsi="Calibri" w:cs="Calibri"/>
          <w:b/>
          <w:color w:val="000000"/>
          <w:sz w:val="24"/>
          <w:szCs w:val="24"/>
        </w:rPr>
      </w:pPr>
      <w:r w:rsidRPr="00F97A0D">
        <w:rPr>
          <w:rFonts w:ascii="Calibri" w:eastAsia="Calibri" w:hAnsi="Calibri" w:cs="Calibri"/>
          <w:b/>
          <w:color w:val="000000"/>
          <w:sz w:val="24"/>
          <w:szCs w:val="24"/>
        </w:rPr>
        <w:t>RECYCLING RUSH: ROBOT ACUÁTICO PARA LA RECOLECCIÓN AUTOMATIZADA DE LA LENTEJA DE AGUA</w:t>
      </w:r>
    </w:p>
    <w:p w14:paraId="6D83251A" w14:textId="1E17C839" w:rsidR="00F97A0D" w:rsidRDefault="00F97A0D">
      <w:pPr>
        <w:widowControl w:val="0"/>
        <w:pBdr>
          <w:top w:val="nil"/>
          <w:left w:val="nil"/>
          <w:bottom w:val="nil"/>
          <w:right w:val="nil"/>
          <w:between w:val="nil"/>
        </w:pBdr>
        <w:spacing w:before="11" w:line="243" w:lineRule="auto"/>
        <w:ind w:left="996" w:right="567"/>
        <w:jc w:val="center"/>
        <w:rPr>
          <w:rFonts w:ascii="Calibri" w:eastAsia="Calibri" w:hAnsi="Calibri" w:cs="Calibri"/>
          <w:color w:val="000000"/>
          <w:sz w:val="23"/>
          <w:szCs w:val="23"/>
          <w:vertAlign w:val="superscript"/>
        </w:rPr>
      </w:pPr>
      <w:r w:rsidRPr="00F97A0D">
        <w:rPr>
          <w:rFonts w:ascii="Calibri" w:eastAsia="Calibri" w:hAnsi="Calibri" w:cs="Calibri"/>
          <w:b/>
          <w:color w:val="000000"/>
        </w:rPr>
        <w:t>Mariel Fernandez Baldivieso</w:t>
      </w:r>
      <w:r>
        <w:rPr>
          <w:rFonts w:ascii="Calibri" w:eastAsia="Calibri" w:hAnsi="Calibri" w:cs="Calibri"/>
          <w:color w:val="000000"/>
          <w:sz w:val="23"/>
          <w:szCs w:val="23"/>
          <w:vertAlign w:val="superscript"/>
        </w:rPr>
        <w:t>1</w:t>
      </w:r>
      <w:r w:rsidRPr="00F97A0D">
        <w:rPr>
          <w:rFonts w:ascii="Calibri" w:eastAsia="Calibri" w:hAnsi="Calibri" w:cs="Calibri"/>
          <w:b/>
          <w:color w:val="000000"/>
        </w:rPr>
        <w:t>, Ing. Misael Mamani Quiroga</w:t>
      </w:r>
      <w:r>
        <w:rPr>
          <w:rFonts w:ascii="Calibri" w:eastAsia="Calibri" w:hAnsi="Calibri" w:cs="Calibri"/>
          <w:color w:val="000000"/>
          <w:sz w:val="23"/>
          <w:szCs w:val="23"/>
          <w:vertAlign w:val="superscript"/>
        </w:rPr>
        <w:t xml:space="preserve">2 </w:t>
      </w:r>
      <w:r w:rsidR="00882F0A">
        <w:rPr>
          <w:rFonts w:ascii="Calibri" w:eastAsia="Calibri" w:hAnsi="Calibri" w:cs="Calibri"/>
          <w:b/>
          <w:color w:val="000000"/>
        </w:rPr>
        <w:t xml:space="preserve">, </w:t>
      </w:r>
      <w:r w:rsidR="00882F0A" w:rsidRPr="00F97A0D">
        <w:rPr>
          <w:rFonts w:ascii="Calibri" w:eastAsia="Calibri" w:hAnsi="Calibri" w:cs="Calibri"/>
          <w:b/>
          <w:color w:val="000000"/>
        </w:rPr>
        <w:t xml:space="preserve">Yamil Ronald Uchani </w:t>
      </w:r>
      <w:r w:rsidR="00882F0A" w:rsidRPr="00882F0A">
        <w:rPr>
          <w:rFonts w:ascii="Calibri" w:eastAsia="Calibri" w:hAnsi="Calibri" w:cs="Calibri"/>
          <w:b/>
          <w:color w:val="000000"/>
        </w:rPr>
        <w:t>Guachalla</w:t>
      </w:r>
      <w:r w:rsidR="00882F0A" w:rsidRPr="00882F0A">
        <w:rPr>
          <w:rFonts w:ascii="Calibri" w:eastAsia="Calibri" w:hAnsi="Calibri" w:cs="Calibri"/>
          <w:color w:val="000000"/>
          <w:sz w:val="23"/>
          <w:szCs w:val="23"/>
          <w:vertAlign w:val="superscript"/>
        </w:rPr>
        <w:t>4</w:t>
      </w:r>
      <w:r w:rsidR="00882F0A">
        <w:rPr>
          <w:rFonts w:ascii="Calibri" w:eastAsia="Calibri" w:hAnsi="Calibri" w:cs="Calibri"/>
          <w:b/>
          <w:color w:val="000000"/>
        </w:rPr>
        <w:t xml:space="preserve">, </w:t>
      </w:r>
      <w:r w:rsidR="00882F0A" w:rsidRPr="00F97A0D">
        <w:rPr>
          <w:rFonts w:ascii="Calibri" w:eastAsia="Calibri" w:hAnsi="Calibri" w:cs="Calibri"/>
          <w:b/>
          <w:color w:val="000000"/>
        </w:rPr>
        <w:t xml:space="preserve"> </w:t>
      </w:r>
      <w:r w:rsidRPr="00F97A0D">
        <w:rPr>
          <w:rFonts w:ascii="Calibri" w:eastAsia="Calibri" w:hAnsi="Calibri" w:cs="Calibri"/>
          <w:b/>
          <w:color w:val="000000"/>
        </w:rPr>
        <w:t>Msc. Edwin Salcedo</w:t>
      </w:r>
      <w:r>
        <w:rPr>
          <w:rFonts w:ascii="Calibri" w:eastAsia="Calibri" w:hAnsi="Calibri" w:cs="Calibri"/>
          <w:color w:val="000000"/>
          <w:sz w:val="23"/>
          <w:szCs w:val="23"/>
          <w:vertAlign w:val="superscript"/>
        </w:rPr>
        <w:t xml:space="preserve">3 </w:t>
      </w:r>
      <w:r w:rsidRPr="00F97A0D">
        <w:rPr>
          <w:rFonts w:ascii="Calibri" w:eastAsia="Calibri" w:hAnsi="Calibri" w:cs="Calibri"/>
          <w:b/>
          <w:color w:val="000000"/>
        </w:rPr>
        <w:t xml:space="preserve"> </w:t>
      </w:r>
    </w:p>
    <w:p w14:paraId="0213D693" w14:textId="0938D039" w:rsidR="00882F0A" w:rsidRDefault="00672303" w:rsidP="00882F0A">
      <w:pPr>
        <w:widowControl w:val="0"/>
        <w:pBdr>
          <w:top w:val="nil"/>
          <w:left w:val="nil"/>
          <w:bottom w:val="nil"/>
          <w:right w:val="nil"/>
          <w:between w:val="nil"/>
        </w:pBdr>
        <w:spacing w:before="11" w:line="243" w:lineRule="auto"/>
        <w:ind w:left="996" w:right="567"/>
        <w:jc w:val="center"/>
        <w:rPr>
          <w:rFonts w:ascii="Calibri" w:eastAsia="Calibri" w:hAnsi="Calibri" w:cs="Calibri"/>
          <w:color w:val="000000"/>
        </w:rPr>
      </w:pPr>
      <w:r>
        <w:rPr>
          <w:rFonts w:ascii="Calibri" w:eastAsia="Calibri" w:hAnsi="Calibri" w:cs="Calibri"/>
          <w:color w:val="000000"/>
          <w:sz w:val="23"/>
          <w:szCs w:val="23"/>
          <w:vertAlign w:val="superscript"/>
        </w:rPr>
        <w:t xml:space="preserve"> </w:t>
      </w:r>
      <w:r>
        <w:rPr>
          <w:rFonts w:ascii="Calibri" w:eastAsia="Calibri" w:hAnsi="Calibri" w:cs="Calibri"/>
          <w:color w:val="000000"/>
        </w:rPr>
        <w:t xml:space="preserve">Sociedad Científica de Ingeniería </w:t>
      </w:r>
      <w:r w:rsidR="00F97A0D">
        <w:rPr>
          <w:rFonts w:ascii="Calibri" w:eastAsia="Calibri" w:hAnsi="Calibri" w:cs="Calibri"/>
          <w:color w:val="000000"/>
        </w:rPr>
        <w:t>Mecatrónica</w:t>
      </w:r>
    </w:p>
    <w:p w14:paraId="28CE55D5" w14:textId="77777777" w:rsidR="00551A0F" w:rsidRDefault="00672303" w:rsidP="006E1B2E">
      <w:pPr>
        <w:widowControl w:val="0"/>
        <w:pBdr>
          <w:top w:val="nil"/>
          <w:left w:val="nil"/>
          <w:bottom w:val="nil"/>
          <w:right w:val="nil"/>
          <w:between w:val="nil"/>
        </w:pBdr>
        <w:spacing w:before="256" w:line="240" w:lineRule="auto"/>
        <w:ind w:right="3941"/>
        <w:jc w:val="right"/>
        <w:rPr>
          <w:rFonts w:ascii="Calibri" w:eastAsia="Calibri" w:hAnsi="Calibri" w:cs="Calibri"/>
          <w:b/>
          <w:color w:val="000000"/>
        </w:rPr>
      </w:pPr>
      <w:r>
        <w:rPr>
          <w:rFonts w:ascii="Calibri" w:eastAsia="Calibri" w:hAnsi="Calibri" w:cs="Calibri"/>
          <w:b/>
          <w:color w:val="000000"/>
        </w:rPr>
        <w:t xml:space="preserve">RESUMEN </w:t>
      </w:r>
    </w:p>
    <w:p w14:paraId="5FE8CFAE" w14:textId="01742A3F" w:rsidR="009D5587" w:rsidRDefault="009D5587" w:rsidP="00882F0A">
      <w:pPr>
        <w:widowControl w:val="0"/>
        <w:pBdr>
          <w:top w:val="nil"/>
          <w:left w:val="nil"/>
          <w:bottom w:val="nil"/>
          <w:right w:val="nil"/>
          <w:between w:val="nil"/>
        </w:pBdr>
        <w:spacing w:before="256" w:line="240" w:lineRule="auto"/>
        <w:ind w:left="15"/>
        <w:jc w:val="both"/>
        <w:rPr>
          <w:rFonts w:ascii="Calibri" w:eastAsia="Calibri" w:hAnsi="Calibri" w:cs="Calibri"/>
          <w:color w:val="000000"/>
        </w:rPr>
      </w:pPr>
      <w:r w:rsidRPr="009D5587">
        <w:rPr>
          <w:rFonts w:ascii="Calibri" w:eastAsia="Calibri" w:hAnsi="Calibri" w:cs="Calibri"/>
          <w:color w:val="000000"/>
        </w:rPr>
        <w:t xml:space="preserve">El proyecto "Recycling Rush" se enfoca en desarrollar un vehículo autónomo para la recolección eficiente de la lenteja de agua en el Lago Titicaca. Utiliza técnicas de visión por computadora para la detección y el seguimiento de esta planta invasiva. El vehículo está diseñado con materiales livianos para minimizar el impacto ambiental y se evalúa su efectividad en la recolección de la lenteja de agua en el lago. El objetivo principal es construir un robot acuático autónomo efectivo en el entorno del Lago Titicaca, generando un conjunto de datos para entrenar modelos de visión por computadora, utilizando técnicas de visión por computadora para identificar y seguir la lenteja de agua, y evaluando la eficacia del robot en la recolección de lenteja de agua en situaciones reales. La metodología incluye la impresión 3D, el desarrollo de un modelo YOLOv5 para la detección de la lenteja de agua, el uso de Unity para crear un entorno simulado, pruebas en un entorno controlado y el diseño de un control remoto para operar el robot. Los posibles resultados podrían incluir un robot altamente eficiente en la recolección de lenteja de agua en el Lago Titicaca, con un impacto positivo en la preservación del ecosistema y la calidad del agua. En conclusión, el proyecto "Recycling Rush" busca abordar la proliferación de lentejas de agua en el Lago Titicaca mediante la implementación de tecnología avanzada, con el potencial de mejorar la gestión ambiental y respaldar las economías locales afectadas por esta planta invasiva. </w:t>
      </w:r>
    </w:p>
    <w:p w14:paraId="7A0F1F82" w14:textId="6398C75D" w:rsidR="006E1B2E" w:rsidRDefault="009D5587" w:rsidP="006E1B2E">
      <w:pPr>
        <w:widowControl w:val="0"/>
        <w:pBdr>
          <w:top w:val="nil"/>
          <w:left w:val="nil"/>
          <w:bottom w:val="nil"/>
          <w:right w:val="nil"/>
          <w:between w:val="nil"/>
        </w:pBdr>
        <w:spacing w:before="256" w:line="240" w:lineRule="auto"/>
        <w:ind w:left="15"/>
        <w:rPr>
          <w:rFonts w:ascii="Calibri" w:eastAsia="Calibri" w:hAnsi="Calibri" w:cs="Calibri"/>
          <w:color w:val="000000"/>
        </w:rPr>
      </w:pPr>
      <w:r w:rsidRPr="009D5587">
        <w:rPr>
          <w:rFonts w:ascii="Calibri" w:eastAsia="Calibri" w:hAnsi="Calibri" w:cs="Calibri"/>
          <w:b/>
          <w:bCs/>
          <w:color w:val="000000"/>
        </w:rPr>
        <w:t>Palabras</w:t>
      </w:r>
      <w:r w:rsidR="006E1B2E" w:rsidRPr="009D5587">
        <w:rPr>
          <w:rFonts w:ascii="Calibri" w:eastAsia="Calibri" w:hAnsi="Calibri" w:cs="Calibri"/>
          <w:b/>
          <w:bCs/>
          <w:color w:val="000000"/>
        </w:rPr>
        <w:t xml:space="preserve"> Clave:</w:t>
      </w:r>
      <w:r w:rsidR="006E1B2E" w:rsidRPr="009D5587">
        <w:rPr>
          <w:rFonts w:ascii="Calibri" w:eastAsia="Calibri" w:hAnsi="Calibri" w:cs="Calibri"/>
          <w:color w:val="000000"/>
        </w:rPr>
        <w:t xml:space="preserve"> Lenteja de agua, Robot acuático, Visión por computadora, Aprendizaje automático.</w:t>
      </w:r>
    </w:p>
    <w:p w14:paraId="77251E83" w14:textId="7F486C02" w:rsidR="00882F0A" w:rsidRPr="009D5587" w:rsidRDefault="00882F0A" w:rsidP="006E1B2E">
      <w:pPr>
        <w:widowControl w:val="0"/>
        <w:pBdr>
          <w:top w:val="nil"/>
          <w:left w:val="nil"/>
          <w:bottom w:val="nil"/>
          <w:right w:val="nil"/>
          <w:between w:val="nil"/>
        </w:pBdr>
        <w:spacing w:before="256" w:line="240" w:lineRule="auto"/>
        <w:ind w:left="15"/>
        <w:rPr>
          <w:rFonts w:ascii="Calibri" w:eastAsia="Calibri" w:hAnsi="Calibri" w:cs="Calibri"/>
          <w:color w:val="000000"/>
        </w:rPr>
      </w:pPr>
      <w:r w:rsidRPr="00882F0A">
        <w:rPr>
          <w:rFonts w:ascii="Calibri" w:eastAsia="Calibri" w:hAnsi="Calibri" w:cs="Calibri"/>
          <w:b/>
          <w:color w:val="000000"/>
        </w:rPr>
        <w:t>Correo electronico de contacto:</w:t>
      </w:r>
      <w:r>
        <w:rPr>
          <w:rFonts w:ascii="Calibri" w:eastAsia="Calibri" w:hAnsi="Calibri" w:cs="Calibri"/>
          <w:color w:val="000000"/>
        </w:rPr>
        <w:t xml:space="preserve"> </w:t>
      </w:r>
      <w:r w:rsidRPr="00882F0A">
        <w:rPr>
          <w:rFonts w:ascii="Calibri" w:eastAsia="Calibri" w:hAnsi="Calibri" w:cs="Calibri"/>
          <w:color w:val="000000"/>
        </w:rPr>
        <w:t>correo-e: yamil.uchani@ucb.edu.bo</w:t>
      </w:r>
    </w:p>
    <w:p w14:paraId="6552FF3F" w14:textId="77777777" w:rsidR="00882F0A" w:rsidRDefault="00882F0A" w:rsidP="006E1B2E">
      <w:pPr>
        <w:widowControl w:val="0"/>
        <w:pBdr>
          <w:top w:val="nil"/>
          <w:left w:val="nil"/>
          <w:bottom w:val="nil"/>
          <w:right w:val="nil"/>
          <w:between w:val="nil"/>
        </w:pBdr>
        <w:spacing w:before="256" w:line="240" w:lineRule="auto"/>
        <w:ind w:left="15"/>
        <w:rPr>
          <w:rFonts w:ascii="Calibri" w:eastAsia="Calibri" w:hAnsi="Calibri" w:cs="Calibri"/>
          <w:b/>
          <w:color w:val="000000"/>
        </w:rPr>
      </w:pPr>
    </w:p>
    <w:p w14:paraId="048959B0" w14:textId="18649273" w:rsidR="00551A0F" w:rsidRPr="00882F0A" w:rsidRDefault="00672303" w:rsidP="006E1B2E">
      <w:pPr>
        <w:widowControl w:val="0"/>
        <w:pBdr>
          <w:top w:val="nil"/>
          <w:left w:val="nil"/>
          <w:bottom w:val="nil"/>
          <w:right w:val="nil"/>
          <w:between w:val="nil"/>
        </w:pBdr>
        <w:spacing w:before="256" w:line="240" w:lineRule="auto"/>
        <w:ind w:left="15"/>
        <w:rPr>
          <w:rFonts w:ascii="Calibri" w:eastAsia="Calibri" w:hAnsi="Calibri" w:cs="Calibri"/>
          <w:b/>
          <w:color w:val="000000"/>
          <w:lang w:val="es-ES"/>
        </w:rPr>
      </w:pPr>
      <w:bookmarkStart w:id="0" w:name="_GoBack"/>
      <w:bookmarkEnd w:id="0"/>
      <w:r w:rsidRPr="00882F0A">
        <w:rPr>
          <w:rFonts w:ascii="Calibri" w:eastAsia="Calibri" w:hAnsi="Calibri" w:cs="Calibri"/>
          <w:b/>
          <w:color w:val="000000"/>
          <w:lang w:val="es-ES"/>
        </w:rPr>
        <w:t xml:space="preserve">REFERENCIAS  </w:t>
      </w:r>
    </w:p>
    <w:p w14:paraId="06D8E572" w14:textId="77777777" w:rsidR="006E1B2E" w:rsidRPr="006E1B2E" w:rsidRDefault="006E1B2E" w:rsidP="006E1B2E">
      <w:pPr>
        <w:widowControl w:val="0"/>
        <w:pBdr>
          <w:top w:val="nil"/>
          <w:left w:val="nil"/>
          <w:bottom w:val="nil"/>
          <w:right w:val="nil"/>
          <w:between w:val="nil"/>
        </w:pBdr>
        <w:spacing w:before="256" w:line="240" w:lineRule="auto"/>
        <w:ind w:left="12" w:right="344" w:firstLine="6"/>
        <w:rPr>
          <w:rFonts w:ascii="Calibri" w:eastAsia="Calibri" w:hAnsi="Calibri" w:cs="Calibri"/>
          <w:color w:val="000000"/>
          <w:lang w:val="en-US"/>
        </w:rPr>
      </w:pPr>
      <w:proofErr w:type="spellStart"/>
      <w:r w:rsidRPr="006E1B2E">
        <w:rPr>
          <w:rFonts w:ascii="Calibri" w:eastAsia="Calibri" w:hAnsi="Calibri" w:cs="Calibri"/>
          <w:color w:val="000000"/>
          <w:lang w:val="en-US"/>
        </w:rPr>
        <w:t>AquaPlant</w:t>
      </w:r>
      <w:proofErr w:type="spellEnd"/>
      <w:r w:rsidRPr="006E1B2E">
        <w:rPr>
          <w:rFonts w:ascii="Calibri" w:eastAsia="Calibri" w:hAnsi="Calibri" w:cs="Calibri"/>
          <w:color w:val="000000"/>
          <w:lang w:val="en-US"/>
        </w:rPr>
        <w:t>, ‘‘Common duckweed,’’ Jun. 2010, accessed: Jul. 9, 2023. [Online]. Available: https://aquaplant.tamu.edu/plant-identification/alphabetical-index/duckweed/common-duckweed/</w:t>
      </w:r>
    </w:p>
    <w:p w14:paraId="49E707FA" w14:textId="77777777" w:rsidR="006E1B2E" w:rsidRPr="006E1B2E" w:rsidRDefault="006E1B2E" w:rsidP="006E1B2E">
      <w:pPr>
        <w:widowControl w:val="0"/>
        <w:pBdr>
          <w:top w:val="nil"/>
          <w:left w:val="nil"/>
          <w:bottom w:val="nil"/>
          <w:right w:val="nil"/>
          <w:between w:val="nil"/>
        </w:pBdr>
        <w:spacing w:before="256" w:line="240" w:lineRule="auto"/>
        <w:ind w:left="12" w:right="344" w:firstLine="6"/>
        <w:rPr>
          <w:rFonts w:ascii="Calibri" w:eastAsia="Calibri" w:hAnsi="Calibri" w:cs="Calibri"/>
          <w:color w:val="000000"/>
        </w:rPr>
      </w:pPr>
      <w:r w:rsidRPr="006E1B2E">
        <w:rPr>
          <w:rFonts w:ascii="Calibri" w:eastAsia="Calibri" w:hAnsi="Calibri" w:cs="Calibri"/>
          <w:color w:val="000000"/>
        </w:rPr>
        <w:t>M. P. Arroyave, ‘‘La lenteja de agua (lemna minor l.): una planta acuática promisoria,’’ Revista EIA, no. 1, pp. 33–38, Feb. 2004.</w:t>
      </w:r>
    </w:p>
    <w:p w14:paraId="3F29D930" w14:textId="77777777" w:rsidR="006E1B2E" w:rsidRPr="006E1B2E" w:rsidRDefault="006E1B2E" w:rsidP="006E1B2E">
      <w:pPr>
        <w:widowControl w:val="0"/>
        <w:pBdr>
          <w:top w:val="nil"/>
          <w:left w:val="nil"/>
          <w:bottom w:val="nil"/>
          <w:right w:val="nil"/>
          <w:between w:val="nil"/>
        </w:pBdr>
        <w:spacing w:before="256" w:line="240" w:lineRule="auto"/>
        <w:ind w:left="12" w:right="344" w:firstLine="6"/>
        <w:rPr>
          <w:rFonts w:ascii="Calibri" w:eastAsia="Calibri" w:hAnsi="Calibri" w:cs="Calibri"/>
          <w:color w:val="000000"/>
        </w:rPr>
      </w:pPr>
      <w:r w:rsidRPr="006E1B2E">
        <w:rPr>
          <w:rFonts w:ascii="Calibri" w:eastAsia="Calibri" w:hAnsi="Calibri" w:cs="Calibri"/>
          <w:color w:val="000000"/>
          <w:lang w:val="en-US"/>
        </w:rPr>
        <w:t xml:space="preserve">Z. Ali, H. </w:t>
      </w:r>
      <w:proofErr w:type="spellStart"/>
      <w:r w:rsidRPr="006E1B2E">
        <w:rPr>
          <w:rFonts w:ascii="Calibri" w:eastAsia="Calibri" w:hAnsi="Calibri" w:cs="Calibri"/>
          <w:color w:val="000000"/>
          <w:lang w:val="en-US"/>
        </w:rPr>
        <w:t>Waheed</w:t>
      </w:r>
      <w:proofErr w:type="spellEnd"/>
      <w:r w:rsidRPr="006E1B2E">
        <w:rPr>
          <w:rFonts w:ascii="Calibri" w:eastAsia="Calibri" w:hAnsi="Calibri" w:cs="Calibri"/>
          <w:color w:val="000000"/>
          <w:lang w:val="en-US"/>
        </w:rPr>
        <w:t xml:space="preserve">, A. G. </w:t>
      </w:r>
      <w:proofErr w:type="spellStart"/>
      <w:r w:rsidRPr="006E1B2E">
        <w:rPr>
          <w:rFonts w:ascii="Calibri" w:eastAsia="Calibri" w:hAnsi="Calibri" w:cs="Calibri"/>
          <w:color w:val="000000"/>
          <w:lang w:val="en-US"/>
        </w:rPr>
        <w:t>Kazi</w:t>
      </w:r>
      <w:proofErr w:type="spellEnd"/>
      <w:r w:rsidRPr="006E1B2E">
        <w:rPr>
          <w:rFonts w:ascii="Calibri" w:eastAsia="Calibri" w:hAnsi="Calibri" w:cs="Calibri"/>
          <w:color w:val="000000"/>
          <w:lang w:val="en-US"/>
        </w:rPr>
        <w:t xml:space="preserve">, A. Hayat, and M. Ahmad, ‘‘Duckweed,’’ in Plant Metal Interaction, P. Ahmad, Ed. </w:t>
      </w:r>
      <w:r w:rsidRPr="006E1B2E">
        <w:rPr>
          <w:rFonts w:ascii="Calibri" w:eastAsia="Calibri" w:hAnsi="Calibri" w:cs="Calibri"/>
          <w:color w:val="000000"/>
        </w:rPr>
        <w:t>Elsevier, 2016, pp. 411–429.</w:t>
      </w:r>
    </w:p>
    <w:p w14:paraId="437DD856" w14:textId="77777777" w:rsidR="006E1B2E" w:rsidRPr="006E1B2E" w:rsidRDefault="006E1B2E" w:rsidP="006E1B2E">
      <w:pPr>
        <w:widowControl w:val="0"/>
        <w:pBdr>
          <w:top w:val="nil"/>
          <w:left w:val="nil"/>
          <w:bottom w:val="nil"/>
          <w:right w:val="nil"/>
          <w:between w:val="nil"/>
        </w:pBdr>
        <w:spacing w:before="256" w:line="240" w:lineRule="auto"/>
        <w:ind w:left="12" w:right="344" w:firstLine="6"/>
        <w:rPr>
          <w:rFonts w:ascii="Calibri" w:eastAsia="Calibri" w:hAnsi="Calibri" w:cs="Calibri"/>
          <w:color w:val="000000"/>
        </w:rPr>
      </w:pPr>
      <w:r w:rsidRPr="006E1B2E">
        <w:rPr>
          <w:rFonts w:ascii="Calibri" w:eastAsia="Calibri" w:hAnsi="Calibri" w:cs="Calibri"/>
          <w:color w:val="000000"/>
        </w:rPr>
        <w:t>A. Canales-Gutiérrez, ‘‘Evaluación de la biomasa y manejo de lemna gibba (lenteja de agua) en la bahía interior del lago titicaca, puno,’’ Ecol. Apl., vol. 9, no. 1-2, pp. 91–96, Jan./Dec. 2010.</w:t>
      </w:r>
    </w:p>
    <w:p w14:paraId="22F738D2" w14:textId="4DE1232C" w:rsidR="00551A0F" w:rsidRDefault="006E1B2E" w:rsidP="006E1B2E">
      <w:pPr>
        <w:widowControl w:val="0"/>
        <w:pBdr>
          <w:top w:val="nil"/>
          <w:left w:val="nil"/>
          <w:bottom w:val="nil"/>
          <w:right w:val="nil"/>
          <w:between w:val="nil"/>
        </w:pBdr>
        <w:spacing w:before="256" w:line="240" w:lineRule="auto"/>
        <w:ind w:left="12" w:right="344" w:firstLine="6"/>
        <w:rPr>
          <w:rFonts w:ascii="Calibri" w:eastAsia="Calibri" w:hAnsi="Calibri" w:cs="Calibri"/>
          <w:color w:val="0070C0"/>
          <w:highlight w:val="white"/>
          <w:u w:val="single"/>
        </w:rPr>
      </w:pPr>
      <w:r w:rsidRPr="006E1B2E">
        <w:rPr>
          <w:rFonts w:ascii="Calibri" w:eastAsia="Calibri" w:hAnsi="Calibri" w:cs="Calibri"/>
          <w:color w:val="000000"/>
        </w:rPr>
        <w:t>H. Salhuana and M. M. Luz, ‘‘Contaminantes del ecosistema del lago titicaca de la región puno y la gestión ambiental del turismo,’’ Lima, Peru,2019.</w:t>
      </w:r>
    </w:p>
    <w:sectPr w:rsidR="00551A0F" w:rsidSect="006E1B2E">
      <w:pgSz w:w="11906" w:h="16838" w:code="9"/>
      <w:pgMar w:top="1843" w:right="1356" w:bottom="1700" w:left="1700"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7977BD"/>
    <w:multiLevelType w:val="hybridMultilevel"/>
    <w:tmpl w:val="9C8C56BA"/>
    <w:lvl w:ilvl="0" w:tplc="F73EA9E8">
      <w:start w:val="5"/>
      <w:numFmt w:val="bullet"/>
      <w:lvlText w:val="-"/>
      <w:lvlJc w:val="left"/>
      <w:pPr>
        <w:ind w:left="1098" w:hanging="360"/>
      </w:pPr>
      <w:rPr>
        <w:rFonts w:ascii="Calibri" w:eastAsia="Calibri" w:hAnsi="Calibri" w:cs="Calibri" w:hint="default"/>
      </w:rPr>
    </w:lvl>
    <w:lvl w:ilvl="1" w:tplc="400A0003" w:tentative="1">
      <w:start w:val="1"/>
      <w:numFmt w:val="bullet"/>
      <w:lvlText w:val="o"/>
      <w:lvlJc w:val="left"/>
      <w:pPr>
        <w:ind w:left="1818" w:hanging="360"/>
      </w:pPr>
      <w:rPr>
        <w:rFonts w:ascii="Courier New" w:hAnsi="Courier New" w:cs="Courier New" w:hint="default"/>
      </w:rPr>
    </w:lvl>
    <w:lvl w:ilvl="2" w:tplc="400A0005" w:tentative="1">
      <w:start w:val="1"/>
      <w:numFmt w:val="bullet"/>
      <w:lvlText w:val=""/>
      <w:lvlJc w:val="left"/>
      <w:pPr>
        <w:ind w:left="2538" w:hanging="360"/>
      </w:pPr>
      <w:rPr>
        <w:rFonts w:ascii="Wingdings" w:hAnsi="Wingdings" w:hint="default"/>
      </w:rPr>
    </w:lvl>
    <w:lvl w:ilvl="3" w:tplc="400A0001" w:tentative="1">
      <w:start w:val="1"/>
      <w:numFmt w:val="bullet"/>
      <w:lvlText w:val=""/>
      <w:lvlJc w:val="left"/>
      <w:pPr>
        <w:ind w:left="3258" w:hanging="360"/>
      </w:pPr>
      <w:rPr>
        <w:rFonts w:ascii="Symbol" w:hAnsi="Symbol" w:hint="default"/>
      </w:rPr>
    </w:lvl>
    <w:lvl w:ilvl="4" w:tplc="400A0003" w:tentative="1">
      <w:start w:val="1"/>
      <w:numFmt w:val="bullet"/>
      <w:lvlText w:val="o"/>
      <w:lvlJc w:val="left"/>
      <w:pPr>
        <w:ind w:left="3978" w:hanging="360"/>
      </w:pPr>
      <w:rPr>
        <w:rFonts w:ascii="Courier New" w:hAnsi="Courier New" w:cs="Courier New" w:hint="default"/>
      </w:rPr>
    </w:lvl>
    <w:lvl w:ilvl="5" w:tplc="400A0005" w:tentative="1">
      <w:start w:val="1"/>
      <w:numFmt w:val="bullet"/>
      <w:lvlText w:val=""/>
      <w:lvlJc w:val="left"/>
      <w:pPr>
        <w:ind w:left="4698" w:hanging="360"/>
      </w:pPr>
      <w:rPr>
        <w:rFonts w:ascii="Wingdings" w:hAnsi="Wingdings" w:hint="default"/>
      </w:rPr>
    </w:lvl>
    <w:lvl w:ilvl="6" w:tplc="400A0001" w:tentative="1">
      <w:start w:val="1"/>
      <w:numFmt w:val="bullet"/>
      <w:lvlText w:val=""/>
      <w:lvlJc w:val="left"/>
      <w:pPr>
        <w:ind w:left="5418" w:hanging="360"/>
      </w:pPr>
      <w:rPr>
        <w:rFonts w:ascii="Symbol" w:hAnsi="Symbol" w:hint="default"/>
      </w:rPr>
    </w:lvl>
    <w:lvl w:ilvl="7" w:tplc="400A0003" w:tentative="1">
      <w:start w:val="1"/>
      <w:numFmt w:val="bullet"/>
      <w:lvlText w:val="o"/>
      <w:lvlJc w:val="left"/>
      <w:pPr>
        <w:ind w:left="6138" w:hanging="360"/>
      </w:pPr>
      <w:rPr>
        <w:rFonts w:ascii="Courier New" w:hAnsi="Courier New" w:cs="Courier New" w:hint="default"/>
      </w:rPr>
    </w:lvl>
    <w:lvl w:ilvl="8" w:tplc="400A0005" w:tentative="1">
      <w:start w:val="1"/>
      <w:numFmt w:val="bullet"/>
      <w:lvlText w:val=""/>
      <w:lvlJc w:val="left"/>
      <w:pPr>
        <w:ind w:left="685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A0F"/>
    <w:rsid w:val="00121F54"/>
    <w:rsid w:val="00134398"/>
    <w:rsid w:val="002803B5"/>
    <w:rsid w:val="00404C0E"/>
    <w:rsid w:val="00551A0F"/>
    <w:rsid w:val="00596139"/>
    <w:rsid w:val="00672303"/>
    <w:rsid w:val="006D57F5"/>
    <w:rsid w:val="006E1B2E"/>
    <w:rsid w:val="00882F0A"/>
    <w:rsid w:val="009D5587"/>
    <w:rsid w:val="00B42A2E"/>
    <w:rsid w:val="00F97A0D"/>
    <w:rsid w:val="00FD6F11"/>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A3AF1"/>
  <w15:docId w15:val="{C65B56A6-3EB4-4B89-9557-FD1EECA81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BO" w:eastAsia="es-BO"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723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4092630">
      <w:bodyDiv w:val="1"/>
      <w:marLeft w:val="0"/>
      <w:marRight w:val="0"/>
      <w:marTop w:val="0"/>
      <w:marBottom w:val="0"/>
      <w:divBdr>
        <w:top w:val="none" w:sz="0" w:space="0" w:color="auto"/>
        <w:left w:val="none" w:sz="0" w:space="0" w:color="auto"/>
        <w:bottom w:val="none" w:sz="0" w:space="0" w:color="auto"/>
        <w:right w:val="none" w:sz="0" w:space="0" w:color="auto"/>
      </w:divBdr>
    </w:div>
    <w:div w:id="752049712">
      <w:bodyDiv w:val="1"/>
      <w:marLeft w:val="0"/>
      <w:marRight w:val="0"/>
      <w:marTop w:val="0"/>
      <w:marBottom w:val="0"/>
      <w:divBdr>
        <w:top w:val="none" w:sz="0" w:space="0" w:color="auto"/>
        <w:left w:val="none" w:sz="0" w:space="0" w:color="auto"/>
        <w:bottom w:val="none" w:sz="0" w:space="0" w:color="auto"/>
        <w:right w:val="none" w:sz="0" w:space="0" w:color="auto"/>
      </w:divBdr>
    </w:div>
    <w:div w:id="12134972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412</Words>
  <Characters>2350</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Georgina Chávez</dc:creator>
  <cp:lastModifiedBy/>
  <cp:revision>4</cp:revision>
  <dcterms:created xsi:type="dcterms:W3CDTF">2023-10-10T02:56:00Z</dcterms:created>
  <dcterms:modified xsi:type="dcterms:W3CDTF">2023-10-10T19:35:00Z</dcterms:modified>
</cp:coreProperties>
</file>