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T14 Proposal Presentation Script</w:t>
      </w:r>
    </w:p>
    <w:p>
      <w:r>
        <w:rPr>
          <w:b/>
          <w:color w:val="526777"/>
        </w:rPr>
        <w:t>Team 7  |  8-minute talk  |  12 slides</w:t>
      </w:r>
    </w:p>
    <w:p>
      <w:pPr>
        <w:spacing w:after="200"/>
      </w:pPr>
      <w:r>
        <w:t>Use this as a spoken guide, not a word-for-word requirement. The timestamps are pacing targets; pause briefly between slides. The talk ends with Q&amp;A, which is separate from the 8-minute presentation if your course gives it an additional two minutes.</w:t>
      </w:r>
    </w:p>
    <w:p>
      <w:pPr>
        <w:pStyle w:val="Heading1"/>
        <w:keepNext/>
      </w:pPr>
      <w:r>
        <w:t>Slide 1 — Opening</w:t>
      </w:r>
      <w:r>
        <w:rPr>
          <w:b w:val="0"/>
          <w:color w:val="526777"/>
          <w:sz w:val="20"/>
        </w:rPr>
        <w:t xml:space="preserve">   0:00–0:20</w:t>
      </w:r>
    </w:p>
    <w:p>
      <w:pPr>
        <w:keepLines/>
        <w:spacing w:after="60" w:line="240" w:lineRule="auto"/>
      </w:pPr>
      <w:r>
        <w:t>Good morning, everyone. We are Team 7. Today we will walk through what we tested, what the results tell us, and the next experiment we propose. Our main question is whether the wording of an action query changes OpenAD’s 3D point predictions.</w:t>
      </w:r>
    </w:p>
    <w:p>
      <w:pPr>
        <w:pStyle w:val="Heading1"/>
        <w:keepNext/>
      </w:pPr>
      <w:r>
        <w:t>Slide 2 — The task</w:t>
      </w:r>
      <w:r>
        <w:rPr>
          <w:b w:val="0"/>
          <w:color w:val="526777"/>
          <w:sz w:val="20"/>
        </w:rPr>
        <w:t xml:space="preserve">   0:20–0:55</w:t>
      </w:r>
    </w:p>
    <w:p>
      <w:pPr>
        <w:keepLines/>
        <w:spacing w:after="60" w:line="240" w:lineRule="auto"/>
      </w:pPr>
      <w:r>
        <w:t>In 3D affordance prediction, the model receives an object point cloud and an action, such as “grasp,” and scores each point according to whether it belongs to the useful part. The same object can support several actions on different parts. This is especially challenging with a partial view: the relevant part may be hidden, so the model has less geometry to work with.</w:t>
      </w:r>
    </w:p>
    <w:p>
      <w:pPr>
        <w:pStyle w:val="Heading1"/>
        <w:keepNext/>
      </w:pPr>
      <w:r>
        <w:t>Slide 3 — Baseline and setup</w:t>
      </w:r>
      <w:r>
        <w:rPr>
          <w:b w:val="0"/>
          <w:color w:val="526777"/>
          <w:sz w:val="20"/>
        </w:rPr>
        <w:t xml:space="preserve">   0:55–1:40</w:t>
      </w:r>
    </w:p>
    <w:p>
      <w:pPr>
        <w:keepLines/>
        <w:spacing w:after="60" w:line="240" w:lineRule="auto"/>
      </w:pPr>
      <w:r>
        <w:t>We began with the released OpenAD PointNet++ model and kept its weights frozen. We did not train a new model. In our adapted E01 evaluation, mean IoU was 12.50 percent on partial views and 14.41 percent on full shapes. We later ran E05 over all 9,140 partial views from 2,285 objects and measured 12.54 percent. That run used different batch and sampling settings, so we keep it separate. These are adapted evaluations, not an untouched official reproduction. We also checked that CPU and Mac MPS headline scores closely matched.</w:t>
      </w:r>
    </w:p>
    <w:p>
      <w:pPr>
        <w:pStyle w:val="Heading1"/>
        <w:keepNext/>
      </w:pPr>
      <w:r>
        <w:t>Slide 4 — Query vocabulary</w:t>
      </w:r>
      <w:r>
        <w:rPr>
          <w:b w:val="0"/>
          <w:color w:val="526777"/>
          <w:sz w:val="20"/>
        </w:rPr>
        <w:t xml:space="preserve">   1:40–2:35</w:t>
      </w:r>
    </w:p>
    <w:p>
      <w:pPr>
        <w:keepLines/>
        <w:spacing w:after="60" w:line="240" w:lineRule="auto"/>
      </w:pPr>
      <w:r>
        <w:t>Once we had the baseline, we asked whether the query name itself mattered. We kept the model and point clouds fixed and changed only the vocabulary. On partial views, mean point-wise IoU went from 40.39 percent with training-name queries to 10.77 percent with held-out query names. On full shapes, it went from 35.18 to 7.87 percent. So wording makes a large difference in this evaluation. We should be careful, though: held-out names do not necessarily mean entirely new concepts.</w:t>
      </w:r>
    </w:p>
    <w:p>
      <w:pPr>
        <w:pStyle w:val="Heading1"/>
        <w:keepNext/>
      </w:pPr>
      <w:r>
        <w:t>Slide 5 — Failure example</w:t>
      </w:r>
      <w:r>
        <w:rPr>
          <w:b w:val="0"/>
          <w:color w:val="526777"/>
          <w:sz w:val="20"/>
        </w:rPr>
        <w:t xml:space="preserve">   2:35–3:05</w:t>
      </w:r>
    </w:p>
    <w:p>
      <w:pPr>
        <w:keepLines/>
        <w:spacing w:after="60" w:line="240" w:lineRule="auto"/>
      </w:pPr>
      <w:r>
        <w:t>We then looked closely at a failure to understand what a low score can mean. This is one partial vase with the query “pour.” The model correctly selected none of the 563 labeled target points. On those points, its average score for “none” was 0.644, compared with 0.058 for “pour.” This single example cannot tell us the overall failure rate, but it makes the challenge concrete: even a reasonable action query can miss its target on a partial shape.</w:t>
      </w:r>
    </w:p>
    <w:p>
      <w:pPr>
        <w:pStyle w:val="Heading1"/>
        <w:keepNext/>
      </w:pPr>
      <w:r>
        <w:t>Slide 6 — OpenAD prompt-transfer pilot</w:t>
      </w:r>
      <w:r>
        <w:rPr>
          <w:b w:val="0"/>
          <w:color w:val="526777"/>
          <w:sz w:val="20"/>
        </w:rPr>
        <w:t xml:space="preserve">   3:05–3:55</w:t>
      </w:r>
    </w:p>
    <w:p>
      <w:pPr>
        <w:keepLines/>
        <w:spacing w:after="60" w:line="240" w:lineRule="auto"/>
      </w:pPr>
      <w:r>
        <w:t>That led us to test whether rephrasing could help. In E18, we transferred five prompts to OpenAD and evaluated 1,941 objects, or 7,764 partial views. For “unlock,” the original sentence scored 0.09 percent IoU, the canonical word scored 3.69, and one preselected paraphrase scored 12.36. That is a promising result for this one action. But the rate of negative objects with any false alarm also rose from 0.34 to 1.61 percent, and the other four prompts had no similar gain. We treat this as exploratory validation evidence, not proof that paraphrases generally work.</w:t>
      </w:r>
    </w:p>
    <w:p>
      <w:pPr>
        <w:pStyle w:val="Heading1"/>
        <w:keepNext/>
      </w:pPr>
      <w:r>
        <w:t>Slide 7 — Related experiments and scope</w:t>
      </w:r>
      <w:r>
        <w:rPr>
          <w:b w:val="0"/>
          <w:color w:val="526777"/>
          <w:sz w:val="20"/>
        </w:rPr>
        <w:t xml:space="preserve">   3:55–4:35</w:t>
      </w:r>
    </w:p>
    <w:p>
      <w:pPr>
        <w:keepLines/>
        <w:spacing w:after="60" w:line="240" w:lineRule="auto"/>
      </w:pPr>
      <w:r>
        <w:t>In parallel, our teammate explored an unofficial Espresso-3D reimplementation using Affogato-pretrained weights. Across E08 to E16, the prompt effects were mixed: averaging often lowered scores, while the E13 grab result improved by 5.85 points on positive objects only, with a 95 percent confidence interval from 1.59 to 11.00. Threshold experiments also revealed false-alarm trade-offs. These are not official Affogato benchmark results. We have not run Affostruction, so we discuss it as related work rather than as one of our experiments.</w:t>
      </w:r>
    </w:p>
    <w:p>
      <w:pPr>
        <w:pStyle w:val="Heading1"/>
        <w:keepNext/>
      </w:pPr>
      <w:r>
        <w:t>Slide 8 — Research question and hypothesis</w:t>
      </w:r>
      <w:r>
        <w:rPr>
          <w:b w:val="0"/>
          <w:color w:val="526777"/>
          <w:sz w:val="20"/>
        </w:rPr>
        <w:t xml:space="preserve">   4:35–5:20</w:t>
      </w:r>
    </w:p>
    <w:p>
      <w:pPr>
        <w:keepLines/>
        <w:spacing w:after="60" w:line="240" w:lineRule="auto"/>
      </w:pPr>
      <w:r>
        <w:t>Taken together, our experiments point to a focused next question: across 18 actions on partial point clouds, how do one paraphrase and an average of three prompts change OpenAD IoU and false alarms compared with canonical action words? Because our earlier results were inconsistent, our hypothesis is cautious. We expect effects to vary by action; averaging may not improve mean IoU and could trade better localization for more false alarms. That is a prediction we still need to test.</w:t>
      </w:r>
    </w:p>
    <w:p>
      <w:pPr>
        <w:pStyle w:val="Heading1"/>
        <w:keepNext/>
      </w:pPr>
      <w:r>
        <w:t>Slide 9 — Fair comparison and measures</w:t>
      </w:r>
      <w:r>
        <w:rPr>
          <w:b w:val="0"/>
          <w:color w:val="526777"/>
          <w:sz w:val="20"/>
        </w:rPr>
        <w:t xml:space="preserve">   5:20–6:15</w:t>
      </w:r>
    </w:p>
    <w:p>
      <w:pPr>
        <w:keepLines/>
        <w:spacing w:after="60" w:line="240" w:lineRule="auto"/>
      </w:pPr>
      <w:r>
        <w:t>To test it fairly, we will compare three conditions: the canonical word, one fixed paraphrase, and the average of three fixed paraphrase score maps. Everything else stays the same: the checkpoint, objects, views, point samples, labels, and prediction rule. Partial views are our main setting, and full shapes are a control. Our primary result will be mean IoU over 18 actions for the three-prompt average versus the canonical word. We will also report action-level IoU, the one-paraphrase comparison, IoU including “none,” AUC, and false alarms on negative objects. We will estimate uncertainty by resampling paired objects.</w:t>
      </w:r>
    </w:p>
    <w:p>
      <w:pPr>
        <w:pStyle w:val="Heading1"/>
        <w:keepNext/>
      </w:pPr>
      <w:r>
        <w:t>Slide 10 — Experiment steps</w:t>
      </w:r>
      <w:r>
        <w:rPr>
          <w:b w:val="0"/>
          <w:color w:val="526777"/>
          <w:sz w:val="20"/>
        </w:rPr>
        <w:t xml:space="preserve">   6:15–7:00</w:t>
      </w:r>
    </w:p>
    <w:p>
      <w:pPr>
        <w:keepLines/>
        <w:spacing w:after="60" w:line="240" w:lineRule="auto"/>
      </w:pPr>
      <w:r>
        <w:t>The first step is to write three meaning-equivalent prompts for each action and freeze them before looking at evaluation results. Then we will run all three conditions on identical inputs. We will compare the main IoU result, check false alarms, and examine which actions improve or get worse. We will repeat the analysis on full shapes. A fresh object-disjoint test set is best; if we have to reuse validation data, we will clearly call the result exploratory and will not tune prompts on those scores.</w:t>
      </w:r>
    </w:p>
    <w:p>
      <w:pPr>
        <w:pStyle w:val="Heading1"/>
        <w:keepNext/>
      </w:pPr>
      <w:r>
        <w:t>Slide 11 — Week 9 to 15</w:t>
      </w:r>
      <w:r>
        <w:rPr>
          <w:b w:val="0"/>
          <w:color w:val="526777"/>
          <w:sz w:val="20"/>
        </w:rPr>
        <w:t xml:space="preserve">   7:00–7:45</w:t>
      </w:r>
    </w:p>
    <w:p>
      <w:pPr>
        <w:keepLines/>
        <w:spacing w:after="60" w:line="240" w:lineRule="auto"/>
      </w:pPr>
      <w:r>
        <w:t>Our schedule takes us from design to evaluation. In Week 9, we lock the question, comparison, and data split. In Week 10, we finalize the prompts. In Week 11, we check the scoring code on a small sample. Week 12 is the partial-view experiment; Week 13 is the full-shape control and action-level analysis. In Week 14, we calculate paired confidence intervals and review failure cases. In Week 15, we prepare the results and explain the limitations. This order helps keep prompt selection independent from the final evaluation.</w:t>
      </w:r>
    </w:p>
    <w:p>
      <w:pPr>
        <w:pStyle w:val="Heading1"/>
        <w:keepNext/>
      </w:pPr>
      <w:r>
        <w:t>Slide 12 — Q&amp;A</w:t>
      </w:r>
      <w:r>
        <w:rPr>
          <w:b w:val="0"/>
          <w:color w:val="526777"/>
          <w:sz w:val="20"/>
        </w:rPr>
        <w:t xml:space="preserve">   7:45–8:00</w:t>
      </w:r>
    </w:p>
    <w:p>
      <w:pPr>
        <w:keepLines/>
        <w:spacing w:after="60" w:line="240" w:lineRule="auto"/>
      </w:pPr>
      <w:r>
        <w:t>So our work has moved from checking the OpenAD baseline, to measuring its sensitivity to query wording, to designing a controlled prompt comparison. Thank you for listening. We welcome your questions.</w:t>
      </w:r>
    </w:p>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88791"/>
        <w:sz w:val="18"/>
      </w:rPr>
      <w:t>Team 7 · T14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ptos" w:hAnsi="Aptos"/>
      <w:b/>
      <w:bCs/>
      <w:color w:val="167DA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