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612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snomed_code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description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usage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percent_usage</w:t>
            </w:r>
          </w:p>
        </w:tc>
      </w:tr>
      <w:tr>
        <w:trPr>
          <w:trHeight w:val="61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390790000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Asylum seeker (person)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342,490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64.75</w:t>
            </w:r>
          </w:p>
        </w:tc>
      </w:tr>
      <w:tr>
        <w:trPr>
          <w:trHeight w:val="61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446654005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Refugee (person)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107,200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20.27</w:t>
            </w:r>
          </w:p>
        </w:tc>
      </w:tr>
      <w:tr>
        <w:trPr>
          <w:trHeight w:val="617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728611000000100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Asylum seeker awaiting decision on refugee status (person)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30,470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5.76</w:t>
            </w:r>
          </w:p>
        </w:tc>
      </w:tr>
      <w:tr>
        <w:trPr>
          <w:trHeight w:val="617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171420007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Examination of refugee (procedure)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5.51</w:t>
            </w:r>
          </w:p>
        </w:tc>
      </w:tr>
      <w:tr>
        <w:trPr>
          <w:trHeight w:val="617" w:hRule="auto"/>
        </w:trPr>
        body5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748241000000103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Unaccompanied child asylum seeker (person)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9,020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1.71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2025-03-21T11:35:22Z</dcterms:modified>
  <cp:category/>
</cp:coreProperties>
</file>