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35F6" w14:textId="13FC0878" w:rsidR="00B05289" w:rsidRPr="00341E20" w:rsidRDefault="00B05289" w:rsidP="00B05289">
      <w:pPr>
        <w:spacing w:after="360"/>
        <w:jc w:val="center"/>
        <w:rPr>
          <w:rFonts w:ascii="Aptos" w:eastAsia="Times New Roman" w:hAnsi="Aptos" w:cs="Times New Roman"/>
          <w:b/>
          <w:bCs/>
          <w:sz w:val="56"/>
          <w:szCs w:val="56"/>
        </w:rPr>
      </w:pPr>
      <w:r w:rsidRPr="00B05289">
        <w:rPr>
          <w:rFonts w:ascii="Aptos" w:hAnsi="Aptos" w:cs="Times New Roman"/>
          <w:b/>
          <w:color w:val="1A5276"/>
          <w:sz w:val="56"/>
          <w:szCs w:val="56"/>
        </w:rPr>
        <w:t>Dashboard</w:t>
      </w:r>
      <w:r w:rsidR="000D738F">
        <w:rPr>
          <w:rFonts w:ascii="Aptos" w:hAnsi="Aptos" w:cs="Times New Roman"/>
          <w:b/>
          <w:color w:val="1A5276"/>
          <w:sz w:val="56"/>
          <w:szCs w:val="56"/>
        </w:rPr>
        <w:t xml:space="preserve"> Analysis</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063"/>
      </w:tblGrid>
      <w:tr w:rsidR="00B05289" w:rsidRPr="00341E20" w14:paraId="060E0A7B" w14:textId="77777777" w:rsidTr="005005B1">
        <w:trPr>
          <w:trHeight w:val="278"/>
          <w:tblHeader/>
        </w:trPr>
        <w:tc>
          <w:tcPr>
            <w:tcW w:w="2967" w:type="dxa"/>
            <w:shd w:val="clear" w:color="auto" w:fill="1F3864" w:themeFill="accent1" w:themeFillShade="80"/>
            <w:tcMar>
              <w:top w:w="100" w:type="dxa"/>
              <w:left w:w="100" w:type="dxa"/>
              <w:bottom w:w="100" w:type="dxa"/>
              <w:right w:w="100" w:type="dxa"/>
            </w:tcMar>
          </w:tcPr>
          <w:p w14:paraId="32C41581" w14:textId="46DD9F63" w:rsidR="00B05289" w:rsidRPr="00614452" w:rsidRDefault="00B05289" w:rsidP="000D738F">
            <w:pPr>
              <w:widowControl w:val="0"/>
              <w:pBdr>
                <w:top w:val="nil"/>
                <w:left w:val="nil"/>
                <w:bottom w:val="nil"/>
                <w:right w:val="nil"/>
                <w:between w:val="nil"/>
              </w:pBdr>
              <w:tabs>
                <w:tab w:val="right" w:pos="2767"/>
              </w:tabs>
              <w:spacing w:line="240" w:lineRule="auto"/>
              <w:ind w:left="114"/>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Team ID </w:t>
            </w:r>
            <w:r w:rsidR="000D738F">
              <w:rPr>
                <w:rFonts w:ascii="Aptos" w:eastAsia="Times New Roman" w:hAnsi="Aptos" w:cs="Times New Roman"/>
                <w:b/>
                <w:bCs/>
                <w:color w:val="FFFFFF" w:themeColor="background1"/>
                <w:sz w:val="24"/>
                <w:szCs w:val="24"/>
              </w:rPr>
              <w:tab/>
            </w:r>
          </w:p>
        </w:tc>
        <w:tc>
          <w:tcPr>
            <w:tcW w:w="6063" w:type="dxa"/>
            <w:tcMar>
              <w:top w:w="100" w:type="dxa"/>
              <w:left w:w="100" w:type="dxa"/>
              <w:bottom w:w="100" w:type="dxa"/>
              <w:right w:w="100" w:type="dxa"/>
            </w:tcMar>
          </w:tcPr>
          <w:p w14:paraId="2779C883" w14:textId="77777777" w:rsidR="00B05289" w:rsidRPr="00341E20" w:rsidRDefault="00B05289" w:rsidP="005005B1">
            <w:pPr>
              <w:widowControl w:val="0"/>
              <w:pBdr>
                <w:top w:val="nil"/>
                <w:left w:val="nil"/>
                <w:bottom w:val="nil"/>
                <w:right w:val="nil"/>
                <w:between w:val="nil"/>
              </w:pBdr>
              <w:spacing w:line="240" w:lineRule="auto"/>
              <w:ind w:left="131"/>
              <w:rPr>
                <w:rFonts w:ascii="Aptos" w:eastAsia="Times New Roman" w:hAnsi="Aptos" w:cs="Times New Roman"/>
                <w:color w:val="000000"/>
                <w:sz w:val="24"/>
                <w:szCs w:val="24"/>
              </w:rPr>
            </w:pPr>
            <w:r w:rsidRPr="00341E20">
              <w:rPr>
                <w:rFonts w:ascii="Aptos" w:eastAsia="Times New Roman" w:hAnsi="Aptos" w:cs="Times New Roman"/>
                <w:sz w:val="24"/>
                <w:szCs w:val="24"/>
              </w:rPr>
              <w:t>MCA</w:t>
            </w:r>
          </w:p>
        </w:tc>
      </w:tr>
      <w:tr w:rsidR="00B05289" w:rsidRPr="00341E20" w14:paraId="1187893B" w14:textId="77777777" w:rsidTr="005005B1">
        <w:trPr>
          <w:trHeight w:val="278"/>
          <w:tblHeader/>
        </w:trPr>
        <w:tc>
          <w:tcPr>
            <w:tcW w:w="2967" w:type="dxa"/>
            <w:shd w:val="clear" w:color="auto" w:fill="1F3864" w:themeFill="accent1" w:themeFillShade="80"/>
            <w:tcMar>
              <w:top w:w="100" w:type="dxa"/>
              <w:left w:w="100" w:type="dxa"/>
              <w:bottom w:w="100" w:type="dxa"/>
              <w:right w:w="100" w:type="dxa"/>
            </w:tcMar>
          </w:tcPr>
          <w:p w14:paraId="63B4CFB2" w14:textId="77777777" w:rsidR="00B05289" w:rsidRPr="00614452" w:rsidRDefault="00B05289" w:rsidP="005005B1">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Project Name </w:t>
            </w:r>
          </w:p>
        </w:tc>
        <w:tc>
          <w:tcPr>
            <w:tcW w:w="6063" w:type="dxa"/>
            <w:tcMar>
              <w:top w:w="100" w:type="dxa"/>
              <w:left w:w="100" w:type="dxa"/>
              <w:bottom w:w="100" w:type="dxa"/>
              <w:right w:w="100" w:type="dxa"/>
            </w:tcMar>
          </w:tcPr>
          <w:p w14:paraId="2A90D6A7" w14:textId="77777777" w:rsidR="00B05289" w:rsidRPr="00341E20" w:rsidRDefault="00B05289" w:rsidP="005005B1">
            <w:pPr>
              <w:widowControl w:val="0"/>
              <w:pBdr>
                <w:top w:val="nil"/>
                <w:left w:val="nil"/>
                <w:bottom w:val="nil"/>
                <w:right w:val="nil"/>
                <w:between w:val="nil"/>
              </w:pBdr>
              <w:spacing w:line="240" w:lineRule="auto"/>
              <w:ind w:left="131"/>
              <w:rPr>
                <w:rFonts w:ascii="Aptos" w:hAnsi="Aptos" w:cs="Times New Roman"/>
                <w:sz w:val="24"/>
                <w:szCs w:val="24"/>
              </w:rPr>
            </w:pPr>
            <w:r w:rsidRPr="00341E20">
              <w:rPr>
                <w:rFonts w:ascii="Aptos" w:hAnsi="Aptos" w:cs="Times New Roman"/>
                <w:sz w:val="24"/>
                <w:szCs w:val="24"/>
              </w:rPr>
              <w:t>Smartphone Usage, Digital Addiction &amp; Well-Being Analytics</w:t>
            </w:r>
          </w:p>
        </w:tc>
      </w:tr>
      <w:tr w:rsidR="00B05289" w:rsidRPr="00341E20" w14:paraId="3625EA8E" w14:textId="77777777" w:rsidTr="005005B1">
        <w:trPr>
          <w:trHeight w:val="278"/>
          <w:tblHeader/>
        </w:trPr>
        <w:tc>
          <w:tcPr>
            <w:tcW w:w="2967" w:type="dxa"/>
            <w:shd w:val="clear" w:color="auto" w:fill="1F3864" w:themeFill="accent1" w:themeFillShade="80"/>
            <w:tcMar>
              <w:top w:w="100" w:type="dxa"/>
              <w:left w:w="100" w:type="dxa"/>
              <w:bottom w:w="100" w:type="dxa"/>
              <w:right w:w="100" w:type="dxa"/>
            </w:tcMar>
          </w:tcPr>
          <w:p w14:paraId="17A857A1" w14:textId="77777777" w:rsidR="00B05289" w:rsidRPr="00614452" w:rsidRDefault="00B05289" w:rsidP="005005B1">
            <w:pPr>
              <w:widowControl w:val="0"/>
              <w:pBdr>
                <w:top w:val="nil"/>
                <w:left w:val="nil"/>
                <w:bottom w:val="nil"/>
                <w:right w:val="nil"/>
                <w:between w:val="nil"/>
              </w:pBdr>
              <w:spacing w:line="240" w:lineRule="auto"/>
              <w:ind w:left="131"/>
              <w:rPr>
                <w:rFonts w:ascii="Aptos" w:eastAsia="Times New Roman" w:hAnsi="Aptos" w:cs="Times New Roman"/>
                <w:b/>
                <w:bCs/>
                <w:color w:val="FFFFFF" w:themeColor="background1"/>
                <w:sz w:val="24"/>
                <w:szCs w:val="24"/>
              </w:rPr>
            </w:pPr>
            <w:r w:rsidRPr="00614452">
              <w:rPr>
                <w:rFonts w:ascii="Aptos" w:eastAsia="Times New Roman" w:hAnsi="Aptos" w:cs="Times New Roman"/>
                <w:b/>
                <w:bCs/>
                <w:color w:val="FFFFFF" w:themeColor="background1"/>
                <w:sz w:val="24"/>
                <w:szCs w:val="24"/>
              </w:rPr>
              <w:t xml:space="preserve">Maximum Marks </w:t>
            </w:r>
          </w:p>
        </w:tc>
        <w:tc>
          <w:tcPr>
            <w:tcW w:w="6063" w:type="dxa"/>
            <w:tcMar>
              <w:top w:w="100" w:type="dxa"/>
              <w:left w:w="100" w:type="dxa"/>
              <w:bottom w:w="100" w:type="dxa"/>
              <w:right w:w="100" w:type="dxa"/>
            </w:tcMar>
          </w:tcPr>
          <w:p w14:paraId="303681FF" w14:textId="2E3667D7" w:rsidR="00B05289" w:rsidRPr="00341E20" w:rsidRDefault="00B05289" w:rsidP="005005B1">
            <w:pPr>
              <w:widowControl w:val="0"/>
              <w:pBdr>
                <w:top w:val="nil"/>
                <w:left w:val="nil"/>
                <w:bottom w:val="nil"/>
                <w:right w:val="nil"/>
                <w:between w:val="nil"/>
              </w:pBdr>
              <w:spacing w:line="240" w:lineRule="auto"/>
              <w:ind w:left="125"/>
              <w:rPr>
                <w:rFonts w:ascii="Aptos" w:eastAsia="Times New Roman" w:hAnsi="Aptos" w:cs="Times New Roman"/>
                <w:color w:val="000000"/>
                <w:sz w:val="24"/>
                <w:szCs w:val="24"/>
              </w:rPr>
            </w:pPr>
            <w:r>
              <w:rPr>
                <w:rFonts w:ascii="Aptos" w:eastAsia="Times New Roman" w:hAnsi="Aptos" w:cs="Times New Roman"/>
                <w:sz w:val="24"/>
                <w:szCs w:val="24"/>
              </w:rPr>
              <w:t>5</w:t>
            </w:r>
            <w:r w:rsidRPr="00341E20">
              <w:rPr>
                <w:rFonts w:ascii="Aptos" w:eastAsia="Times New Roman" w:hAnsi="Aptos" w:cs="Times New Roman"/>
                <w:color w:val="000000"/>
                <w:sz w:val="24"/>
                <w:szCs w:val="24"/>
              </w:rPr>
              <w:t xml:space="preserve"> Marks</w:t>
            </w:r>
          </w:p>
        </w:tc>
      </w:tr>
    </w:tbl>
    <w:p w14:paraId="2D6DC372" w14:textId="77777777" w:rsidR="000D738F" w:rsidRDefault="000D738F" w:rsidP="000D738F">
      <w:pPr>
        <w:rPr>
          <w:rFonts w:ascii="Aptos" w:hAnsi="Aptos" w:cs="Times New Roman"/>
          <w:b/>
          <w:bCs/>
          <w:color w:val="1A5276"/>
          <w:sz w:val="40"/>
          <w:szCs w:val="40"/>
        </w:rPr>
      </w:pPr>
    </w:p>
    <w:p w14:paraId="5E59E384" w14:textId="7741ABEE" w:rsidR="000D738F" w:rsidRPr="000D738F" w:rsidRDefault="000D738F" w:rsidP="000D738F">
      <w:pPr>
        <w:rPr>
          <w:rFonts w:ascii="Aptos" w:hAnsi="Aptos" w:cs="Times New Roman"/>
          <w:b/>
          <w:bCs/>
          <w:color w:val="1A5276"/>
          <w:sz w:val="40"/>
          <w:szCs w:val="40"/>
        </w:rPr>
      </w:pPr>
      <w:r w:rsidRPr="000D738F">
        <w:rPr>
          <w:rFonts w:ascii="Aptos" w:hAnsi="Aptos" w:cs="Times New Roman"/>
          <w:b/>
          <w:bCs/>
          <w:color w:val="1A5276"/>
          <w:sz w:val="40"/>
          <w:szCs w:val="40"/>
        </w:rPr>
        <w:t>Dashboard Overview and Design Approach</w:t>
      </w:r>
    </w:p>
    <w:p w14:paraId="397A1C8A" w14:textId="77777777" w:rsidR="000D738F" w:rsidRPr="000D738F" w:rsidRDefault="000D738F" w:rsidP="000D738F">
      <w:pPr>
        <w:jc w:val="both"/>
        <w:rPr>
          <w:rFonts w:ascii="Aptos" w:hAnsi="Aptos"/>
          <w:sz w:val="24"/>
          <w:szCs w:val="24"/>
        </w:rPr>
      </w:pPr>
      <w:r w:rsidRPr="000D738F">
        <w:rPr>
          <w:rFonts w:ascii="Aptos" w:hAnsi="Aptos"/>
          <w:sz w:val="24"/>
          <w:szCs w:val="24"/>
        </w:rPr>
        <w:t>The main objective of this dashboard is to study daily digital habits, screen exposure, and lifestyle health across different user segments. By combining clean chart designs with straightforward filters, the interface allows evaluators and observers to quickly understand the connection between high screen time and personal well-being.</w:t>
      </w:r>
    </w:p>
    <w:p w14:paraId="1CA5AEF4" w14:textId="77777777" w:rsidR="000D738F" w:rsidRPr="000D738F" w:rsidRDefault="000D738F" w:rsidP="000D738F">
      <w:pPr>
        <w:jc w:val="both"/>
        <w:rPr>
          <w:rFonts w:ascii="Aptos" w:hAnsi="Aptos"/>
          <w:color w:val="002060"/>
          <w:sz w:val="28"/>
          <w:szCs w:val="28"/>
        </w:rPr>
      </w:pPr>
      <w:r w:rsidRPr="000D738F">
        <w:rPr>
          <w:rFonts w:ascii="Aptos" w:hAnsi="Aptos"/>
          <w:b/>
          <w:bCs/>
          <w:color w:val="002060"/>
          <w:sz w:val="28"/>
          <w:szCs w:val="28"/>
        </w:rPr>
        <w:t>Key Design Focus Areas:</w:t>
      </w:r>
    </w:p>
    <w:p w14:paraId="1B3591CC" w14:textId="77777777" w:rsidR="000D738F" w:rsidRPr="000D738F" w:rsidRDefault="000D738F" w:rsidP="000D738F">
      <w:pPr>
        <w:numPr>
          <w:ilvl w:val="0"/>
          <w:numId w:val="3"/>
        </w:numPr>
        <w:tabs>
          <w:tab w:val="clear" w:pos="720"/>
          <w:tab w:val="num" w:pos="567"/>
        </w:tabs>
        <w:ind w:left="426"/>
        <w:jc w:val="both"/>
        <w:rPr>
          <w:rFonts w:ascii="Aptos" w:hAnsi="Aptos"/>
          <w:sz w:val="24"/>
          <w:szCs w:val="24"/>
        </w:rPr>
      </w:pPr>
      <w:r w:rsidRPr="000D738F">
        <w:rPr>
          <w:rFonts w:ascii="Aptos" w:hAnsi="Aptos"/>
          <w:b/>
          <w:bCs/>
          <w:color w:val="0070C0"/>
          <w:sz w:val="24"/>
          <w:szCs w:val="24"/>
        </w:rPr>
        <w:t>Simple Layout Flow:</w:t>
      </w:r>
      <w:r w:rsidRPr="000D738F">
        <w:rPr>
          <w:rFonts w:ascii="Aptos" w:hAnsi="Aptos"/>
          <w:color w:val="0070C0"/>
          <w:sz w:val="24"/>
          <w:szCs w:val="24"/>
        </w:rPr>
        <w:t xml:space="preserve"> </w:t>
      </w:r>
      <w:r w:rsidRPr="000D738F">
        <w:rPr>
          <w:rFonts w:ascii="Aptos" w:hAnsi="Aptos"/>
          <w:sz w:val="24"/>
          <w:szCs w:val="24"/>
        </w:rPr>
        <w:t>Organized cards at the top for primary metrics and structured charts below for demographic comparisons.</w:t>
      </w:r>
    </w:p>
    <w:p w14:paraId="7126F9B3" w14:textId="77777777" w:rsidR="000D738F" w:rsidRPr="000D738F" w:rsidRDefault="000D738F" w:rsidP="000D738F">
      <w:pPr>
        <w:numPr>
          <w:ilvl w:val="0"/>
          <w:numId w:val="3"/>
        </w:numPr>
        <w:tabs>
          <w:tab w:val="clear" w:pos="720"/>
          <w:tab w:val="num" w:pos="567"/>
        </w:tabs>
        <w:ind w:left="426"/>
        <w:jc w:val="both"/>
        <w:rPr>
          <w:rFonts w:ascii="Aptos" w:hAnsi="Aptos"/>
          <w:sz w:val="24"/>
          <w:szCs w:val="24"/>
        </w:rPr>
      </w:pPr>
      <w:r w:rsidRPr="000D738F">
        <w:rPr>
          <w:rFonts w:ascii="Aptos" w:hAnsi="Aptos"/>
          <w:b/>
          <w:bCs/>
          <w:color w:val="0070C0"/>
          <w:sz w:val="24"/>
          <w:szCs w:val="24"/>
        </w:rPr>
        <w:t>Balanced Visual Formats</w:t>
      </w:r>
      <w:r w:rsidRPr="000D738F">
        <w:rPr>
          <w:rFonts w:ascii="Aptos" w:hAnsi="Aptos"/>
          <w:b/>
          <w:bCs/>
          <w:sz w:val="24"/>
          <w:szCs w:val="24"/>
        </w:rPr>
        <w:t>:</w:t>
      </w:r>
      <w:r w:rsidRPr="000D738F">
        <w:rPr>
          <w:rFonts w:ascii="Aptos" w:hAnsi="Aptos"/>
          <w:sz w:val="24"/>
          <w:szCs w:val="24"/>
        </w:rPr>
        <w:t xml:space="preserve"> Horizontal bar charts for category comparisons and pie charts for distribution breakdowns.</w:t>
      </w:r>
    </w:p>
    <w:p w14:paraId="7F4649E0" w14:textId="3D2DB469" w:rsidR="000D738F" w:rsidRPr="000D738F" w:rsidRDefault="000D738F" w:rsidP="000D738F">
      <w:pPr>
        <w:numPr>
          <w:ilvl w:val="0"/>
          <w:numId w:val="3"/>
        </w:numPr>
        <w:tabs>
          <w:tab w:val="clear" w:pos="720"/>
          <w:tab w:val="num" w:pos="567"/>
        </w:tabs>
        <w:ind w:left="426"/>
        <w:jc w:val="both"/>
        <w:rPr>
          <w:rFonts w:ascii="Aptos" w:hAnsi="Aptos"/>
          <w:sz w:val="24"/>
          <w:szCs w:val="24"/>
        </w:rPr>
      </w:pPr>
      <w:r w:rsidRPr="000D738F">
        <w:rPr>
          <w:rFonts w:ascii="Aptos" w:hAnsi="Aptos"/>
          <w:b/>
          <w:bCs/>
          <w:color w:val="0070C0"/>
          <w:sz w:val="24"/>
          <w:szCs w:val="24"/>
        </w:rPr>
        <w:t>Colour</w:t>
      </w:r>
      <w:r w:rsidRPr="000D738F">
        <w:rPr>
          <w:rFonts w:ascii="Aptos" w:hAnsi="Aptos"/>
          <w:b/>
          <w:bCs/>
          <w:color w:val="0070C0"/>
          <w:sz w:val="24"/>
          <w:szCs w:val="24"/>
        </w:rPr>
        <w:t xml:space="preserve"> Discipline:</w:t>
      </w:r>
      <w:r w:rsidRPr="000D738F">
        <w:rPr>
          <w:rFonts w:ascii="Aptos" w:hAnsi="Aptos"/>
          <w:color w:val="0070C0"/>
          <w:sz w:val="24"/>
          <w:szCs w:val="24"/>
        </w:rPr>
        <w:t xml:space="preserve"> </w:t>
      </w:r>
      <w:r w:rsidRPr="000D738F">
        <w:rPr>
          <w:rFonts w:ascii="Aptos" w:hAnsi="Aptos"/>
          <w:sz w:val="24"/>
          <w:szCs w:val="24"/>
        </w:rPr>
        <w:t>Distinct, clean tones to clearly mark severity and categories without cluttering the view.</w:t>
      </w:r>
    </w:p>
    <w:p w14:paraId="70F52D98" w14:textId="5E9E4CF0" w:rsidR="000D738F" w:rsidRDefault="000D738F" w:rsidP="000D738F">
      <w:pPr>
        <w:numPr>
          <w:ilvl w:val="0"/>
          <w:numId w:val="3"/>
        </w:numPr>
        <w:tabs>
          <w:tab w:val="clear" w:pos="720"/>
          <w:tab w:val="num" w:pos="567"/>
        </w:tabs>
        <w:ind w:left="426"/>
        <w:jc w:val="both"/>
        <w:rPr>
          <w:rFonts w:ascii="Aptos" w:hAnsi="Aptos"/>
          <w:sz w:val="24"/>
          <w:szCs w:val="24"/>
        </w:rPr>
      </w:pPr>
      <w:r w:rsidRPr="000D738F">
        <w:rPr>
          <w:rFonts w:ascii="Aptos" w:hAnsi="Aptos"/>
          <w:b/>
          <w:bCs/>
          <w:color w:val="0070C0"/>
          <w:sz w:val="24"/>
          <w:szCs w:val="24"/>
        </w:rPr>
        <w:t>Quick Slicing:</w:t>
      </w:r>
      <w:r w:rsidRPr="000D738F">
        <w:rPr>
          <w:rFonts w:ascii="Aptos" w:hAnsi="Aptos"/>
          <w:color w:val="0070C0"/>
          <w:sz w:val="24"/>
          <w:szCs w:val="24"/>
        </w:rPr>
        <w:t xml:space="preserve"> </w:t>
      </w:r>
      <w:r w:rsidRPr="000D738F">
        <w:rPr>
          <w:rFonts w:ascii="Aptos" w:hAnsi="Aptos"/>
          <w:sz w:val="24"/>
          <w:szCs w:val="24"/>
        </w:rPr>
        <w:t>Dedicated filters to check metrics by specific addiction ranges or user demographics.</w:t>
      </w:r>
    </w:p>
    <w:p w14:paraId="16ED9A73" w14:textId="77777777" w:rsidR="000D738F" w:rsidRPr="000D738F" w:rsidRDefault="000D738F" w:rsidP="000D738F">
      <w:pPr>
        <w:tabs>
          <w:tab w:val="num" w:pos="567"/>
        </w:tabs>
        <w:jc w:val="both"/>
        <w:rPr>
          <w:rFonts w:ascii="Aptos" w:hAnsi="Aptos"/>
          <w:sz w:val="24"/>
          <w:szCs w:val="24"/>
        </w:rPr>
      </w:pPr>
    </w:p>
    <w:p w14:paraId="67AC4E30" w14:textId="6B6F69E5" w:rsidR="000D738F" w:rsidRPr="000D738F" w:rsidRDefault="000D738F" w:rsidP="000D738F">
      <w:pPr>
        <w:rPr>
          <w:rFonts w:ascii="Aptos" w:hAnsi="Aptos" w:cs="Times New Roman"/>
          <w:b/>
          <w:bCs/>
          <w:color w:val="1A5276"/>
          <w:sz w:val="40"/>
          <w:szCs w:val="40"/>
        </w:rPr>
      </w:pPr>
      <w:r>
        <w:rPr>
          <w:rFonts w:ascii="Aptos" w:hAnsi="Aptos" w:cs="Times New Roman"/>
          <w:b/>
          <w:bCs/>
          <w:color w:val="1A5276"/>
          <w:sz w:val="40"/>
          <w:szCs w:val="40"/>
        </w:rPr>
        <w:t xml:space="preserve">Digital Well-Being &amp; Addiction Insights </w:t>
      </w:r>
      <w:r w:rsidRPr="000D738F">
        <w:rPr>
          <w:rFonts w:ascii="Aptos" w:hAnsi="Aptos" w:cs="Times New Roman"/>
          <w:b/>
          <w:bCs/>
          <w:color w:val="1A5276"/>
          <w:sz w:val="40"/>
          <w:szCs w:val="40"/>
        </w:rPr>
        <w:t>Dashboard</w:t>
      </w:r>
    </w:p>
    <w:p w14:paraId="584062EC" w14:textId="081C0743" w:rsidR="000D738F" w:rsidRPr="000D738F" w:rsidRDefault="000D738F" w:rsidP="000D738F">
      <w:pPr>
        <w:jc w:val="both"/>
        <w:rPr>
          <w:rFonts w:ascii="Aptos" w:hAnsi="Aptos"/>
          <w:sz w:val="24"/>
          <w:szCs w:val="24"/>
        </w:rPr>
      </w:pPr>
      <w:r w:rsidRPr="000D738F">
        <w:rPr>
          <w:rFonts w:ascii="Aptos" w:hAnsi="Aptos"/>
          <w:sz w:val="24"/>
          <w:szCs w:val="24"/>
        </w:rPr>
        <w:t xml:space="preserve">The main use of this dashboard is to easily track how excessive phone usage affects daily routine, sleep patterns, and stress levels among users. It helps to quickly spot high-risk groups—especially college students and young working people—who spend too much time on mobile screens during weekends. Faculty members, </w:t>
      </w:r>
      <w:r w:rsidRPr="000D738F">
        <w:rPr>
          <w:rFonts w:ascii="Aptos" w:hAnsi="Aptos"/>
          <w:sz w:val="24"/>
          <w:szCs w:val="24"/>
        </w:rPr>
        <w:t>counsellors</w:t>
      </w:r>
      <w:r w:rsidRPr="000D738F">
        <w:rPr>
          <w:rFonts w:ascii="Aptos" w:hAnsi="Aptos"/>
          <w:sz w:val="24"/>
          <w:szCs w:val="24"/>
        </w:rPr>
        <w:t>, and health advisors can use these visual insights to organize digital detox awareness sessions, guide students on healthy phone habits, and plan timely lifestyle guidance.</w:t>
      </w:r>
    </w:p>
    <w:p w14:paraId="272FE26B" w14:textId="730DE794" w:rsidR="00B05289" w:rsidRPr="00B05289" w:rsidRDefault="00B05289" w:rsidP="00B05289">
      <w:pPr>
        <w:rPr>
          <w:rFonts w:ascii="Aptos" w:hAnsi="Aptos"/>
          <w:sz w:val="24"/>
          <w:szCs w:val="24"/>
        </w:rPr>
      </w:pPr>
      <w:r w:rsidRPr="00B05289">
        <w:rPr>
          <w:noProof/>
        </w:rPr>
        <w:lastRenderedPageBreak/>
        <w:drawing>
          <wp:inline distT="0" distB="0" distL="0" distR="0" wp14:anchorId="777A0842" wp14:editId="4BF2EF9C">
            <wp:extent cx="5731510" cy="3239135"/>
            <wp:effectExtent l="0" t="0" r="0" b="0"/>
            <wp:docPr id="85776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67611" name=""/>
                    <pic:cNvPicPr/>
                  </pic:nvPicPr>
                  <pic:blipFill>
                    <a:blip r:embed="rId5"/>
                    <a:stretch>
                      <a:fillRect/>
                    </a:stretch>
                  </pic:blipFill>
                  <pic:spPr>
                    <a:xfrm>
                      <a:off x="0" y="0"/>
                      <a:ext cx="5731510" cy="3239135"/>
                    </a:xfrm>
                    <a:prstGeom prst="rect">
                      <a:avLst/>
                    </a:prstGeom>
                  </pic:spPr>
                </pic:pic>
              </a:graphicData>
            </a:graphic>
          </wp:inline>
        </w:drawing>
      </w:r>
    </w:p>
    <w:p w14:paraId="32843289" w14:textId="77777777" w:rsidR="00B05289" w:rsidRPr="00B05289" w:rsidRDefault="00B05289" w:rsidP="00B05289">
      <w:pPr>
        <w:rPr>
          <w:rFonts w:ascii="Aptos" w:hAnsi="Aptos"/>
          <w:sz w:val="24"/>
          <w:szCs w:val="24"/>
        </w:rPr>
      </w:pPr>
      <w:r w:rsidRPr="00B05289">
        <w:rPr>
          <w:rFonts w:ascii="Aptos" w:hAnsi="Aptos"/>
          <w:sz w:val="24"/>
          <w:szCs w:val="24"/>
        </w:rPr>
        <w:t xml:space="preserve">Here are eight potential outcomes from the dashboard image provided: </w:t>
      </w:r>
    </w:p>
    <w:p w14:paraId="726C3AC7" w14:textId="766A33B3" w:rsidR="000D738F" w:rsidRDefault="000D738F" w:rsidP="005E045C">
      <w:pPr>
        <w:numPr>
          <w:ilvl w:val="0"/>
          <w:numId w:val="2"/>
        </w:numPr>
        <w:jc w:val="both"/>
        <w:rPr>
          <w:rFonts w:ascii="Aptos" w:hAnsi="Aptos"/>
          <w:sz w:val="24"/>
          <w:szCs w:val="24"/>
        </w:rPr>
      </w:pPr>
      <w:r w:rsidRPr="000D738F">
        <w:rPr>
          <w:rFonts w:ascii="Aptos" w:hAnsi="Aptos"/>
          <w:b/>
          <w:bCs/>
          <w:color w:val="2E74B5" w:themeColor="accent5" w:themeShade="BF"/>
          <w:sz w:val="24"/>
          <w:szCs w:val="24"/>
        </w:rPr>
        <w:t>Total User Base</w:t>
      </w:r>
      <w:r w:rsidRPr="000D738F">
        <w:rPr>
          <w:rFonts w:ascii="Aptos" w:hAnsi="Aptos"/>
          <w:b/>
          <w:bCs/>
          <w:color w:val="0070C0"/>
          <w:sz w:val="24"/>
          <w:szCs w:val="24"/>
        </w:rPr>
        <w:t>:</w:t>
      </w:r>
      <w:r w:rsidRPr="000D738F">
        <w:rPr>
          <w:rFonts w:ascii="Aptos" w:hAnsi="Aptos"/>
          <w:sz w:val="24"/>
          <w:szCs w:val="24"/>
        </w:rPr>
        <w:t xml:space="preserve"> A total of 7,500 individuals were assessed across all age groups and usage categories.</w:t>
      </w:r>
    </w:p>
    <w:p w14:paraId="66D62E0F" w14:textId="51CD6F87"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Prevalence of Addiction:</w:t>
      </w:r>
      <w:r w:rsidRPr="000D738F">
        <w:rPr>
          <w:rFonts w:ascii="Aptos" w:hAnsi="Aptos"/>
          <w:color w:val="0070C0"/>
          <w:sz w:val="24"/>
          <w:szCs w:val="24"/>
        </w:rPr>
        <w:t xml:space="preserve"> </w:t>
      </w:r>
      <w:r w:rsidRPr="000D738F">
        <w:rPr>
          <w:rFonts w:ascii="Aptos" w:hAnsi="Aptos"/>
          <w:sz w:val="24"/>
          <w:szCs w:val="24"/>
        </w:rPr>
        <w:t>Out of the entire cohort, 5,308 users demonstrate clear patterns of smartphone dependency.</w:t>
      </w:r>
    </w:p>
    <w:p w14:paraId="4AE989A4" w14:textId="76262171"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Weekend Device Engagement</w:t>
      </w:r>
      <w:r w:rsidRPr="000D738F">
        <w:rPr>
          <w:rFonts w:ascii="Aptos" w:hAnsi="Aptos"/>
          <w:b/>
          <w:bCs/>
          <w:sz w:val="24"/>
          <w:szCs w:val="24"/>
        </w:rPr>
        <w:t>:</w:t>
      </w:r>
      <w:r w:rsidRPr="000D738F">
        <w:rPr>
          <w:rFonts w:ascii="Aptos" w:hAnsi="Aptos"/>
          <w:sz w:val="24"/>
          <w:szCs w:val="24"/>
        </w:rPr>
        <w:t xml:space="preserve"> On weekends, users spend an average of 9.24 hours actively using their devices.</w:t>
      </w:r>
    </w:p>
    <w:p w14:paraId="333F0AB8" w14:textId="5DAA7E02"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Overall Sleep Average:</w:t>
      </w:r>
      <w:r w:rsidRPr="000D738F">
        <w:rPr>
          <w:rFonts w:ascii="Aptos" w:hAnsi="Aptos"/>
          <w:color w:val="0070C0"/>
          <w:sz w:val="24"/>
          <w:szCs w:val="24"/>
        </w:rPr>
        <w:t xml:space="preserve"> </w:t>
      </w:r>
      <w:r w:rsidRPr="000D738F">
        <w:rPr>
          <w:rFonts w:ascii="Aptos" w:hAnsi="Aptos"/>
          <w:sz w:val="24"/>
          <w:szCs w:val="24"/>
        </w:rPr>
        <w:t>Across all respondent categories, participants log an average sleep cycle of 6.74 hours per day.</w:t>
      </w:r>
    </w:p>
    <w:p w14:paraId="4F98CBDF" w14:textId="680BFDAA"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Consistent Usage Across Genders:</w:t>
      </w:r>
      <w:r w:rsidRPr="000D738F">
        <w:rPr>
          <w:rFonts w:ascii="Aptos" w:hAnsi="Aptos"/>
          <w:color w:val="0070C0"/>
          <w:sz w:val="24"/>
          <w:szCs w:val="24"/>
        </w:rPr>
        <w:t xml:space="preserve"> </w:t>
      </w:r>
      <w:r w:rsidRPr="000D738F">
        <w:rPr>
          <w:rFonts w:ascii="Aptos" w:hAnsi="Aptos"/>
          <w:sz w:val="24"/>
          <w:szCs w:val="24"/>
        </w:rPr>
        <w:t>Daily device use remains practically identical across gender categories, standing at 7.6 hours for males, 7.4 hours for females, and 7.5 hours for other gender identities.</w:t>
      </w:r>
    </w:p>
    <w:p w14:paraId="152AB0EC" w14:textId="1F1D3934"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Severity Distribution:</w:t>
      </w:r>
      <w:r w:rsidRPr="000D738F">
        <w:rPr>
          <w:rFonts w:ascii="Aptos" w:hAnsi="Aptos"/>
          <w:color w:val="0070C0"/>
          <w:sz w:val="24"/>
          <w:szCs w:val="24"/>
        </w:rPr>
        <w:t xml:space="preserve"> </w:t>
      </w:r>
      <w:r w:rsidRPr="000D738F">
        <w:rPr>
          <w:rFonts w:ascii="Aptos" w:hAnsi="Aptos"/>
          <w:sz w:val="24"/>
          <w:szCs w:val="24"/>
        </w:rPr>
        <w:t>About 38.32% (2,870 users) have moderate addiction, 32.45% (2,430 users) suffer from severe addiction, 18.31% (1,370 users) report mild dependency, and only 10.92% (820 users) show no addiction signs.</w:t>
      </w:r>
    </w:p>
    <w:p w14:paraId="55839E32" w14:textId="11BF64B1" w:rsidR="000D738F"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Weekend Difference</w:t>
      </w:r>
      <w:r w:rsidRPr="000D738F">
        <w:rPr>
          <w:rFonts w:ascii="Aptos" w:hAnsi="Aptos"/>
          <w:b/>
          <w:bCs/>
          <w:sz w:val="24"/>
          <w:szCs w:val="24"/>
        </w:rPr>
        <w:t>:</w:t>
      </w:r>
      <w:r w:rsidRPr="000D738F">
        <w:rPr>
          <w:rFonts w:ascii="Aptos" w:hAnsi="Aptos"/>
          <w:sz w:val="24"/>
          <w:szCs w:val="24"/>
        </w:rPr>
        <w:t xml:space="preserve"> Users flagged with digital addiction spend 10 hours on weekend screens, compared to 7 hours recorded by non-addicted users.</w:t>
      </w:r>
    </w:p>
    <w:p w14:paraId="638FCF54" w14:textId="487B4328" w:rsidR="000D738F" w:rsidRPr="00B05289" w:rsidRDefault="000D738F" w:rsidP="005E045C">
      <w:pPr>
        <w:numPr>
          <w:ilvl w:val="0"/>
          <w:numId w:val="2"/>
        </w:numPr>
        <w:jc w:val="both"/>
        <w:rPr>
          <w:rFonts w:ascii="Aptos" w:hAnsi="Aptos"/>
          <w:sz w:val="24"/>
          <w:szCs w:val="24"/>
        </w:rPr>
      </w:pPr>
      <w:r w:rsidRPr="000D738F">
        <w:rPr>
          <w:rFonts w:ascii="Aptos" w:hAnsi="Aptos"/>
          <w:b/>
          <w:bCs/>
          <w:color w:val="0070C0"/>
          <w:sz w:val="24"/>
          <w:szCs w:val="24"/>
        </w:rPr>
        <w:t>Major Age Participation:</w:t>
      </w:r>
      <w:r w:rsidRPr="000D738F">
        <w:rPr>
          <w:rFonts w:ascii="Aptos" w:hAnsi="Aptos"/>
          <w:color w:val="0070C0"/>
          <w:sz w:val="24"/>
          <w:szCs w:val="24"/>
        </w:rPr>
        <w:t xml:space="preserve"> </w:t>
      </w:r>
      <w:r w:rsidRPr="000D738F">
        <w:rPr>
          <w:rFonts w:ascii="Aptos" w:hAnsi="Aptos"/>
          <w:sz w:val="24"/>
          <w:szCs w:val="24"/>
        </w:rPr>
        <w:t>Young adults aged 20 to 29 form the largest share of the study at 55.09% (4,130 users), followed by the 30–39 group at 34.25% (2,570 users), and those under 20 at 10.65% (800 users).</w:t>
      </w:r>
    </w:p>
    <w:p w14:paraId="1F9F067D" w14:textId="77777777" w:rsidR="000D738F" w:rsidRPr="00B05289" w:rsidRDefault="000D738F" w:rsidP="000D738F">
      <w:pPr>
        <w:jc w:val="both"/>
        <w:rPr>
          <w:rFonts w:ascii="Aptos" w:hAnsi="Aptos"/>
          <w:sz w:val="24"/>
          <w:szCs w:val="24"/>
        </w:rPr>
      </w:pPr>
    </w:p>
    <w:sectPr w:rsidR="000D738F" w:rsidRPr="00B05289" w:rsidSect="00422592">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2FD"/>
    <w:multiLevelType w:val="multilevel"/>
    <w:tmpl w:val="670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3506"/>
    <w:multiLevelType w:val="multilevel"/>
    <w:tmpl w:val="B80C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372C6"/>
    <w:multiLevelType w:val="multilevel"/>
    <w:tmpl w:val="A8F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704876">
    <w:abstractNumId w:val="2"/>
  </w:num>
  <w:num w:numId="2" w16cid:durableId="309604351">
    <w:abstractNumId w:val="1"/>
  </w:num>
  <w:num w:numId="3" w16cid:durableId="291715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89"/>
    <w:rsid w:val="000D738F"/>
    <w:rsid w:val="001C4E60"/>
    <w:rsid w:val="00270507"/>
    <w:rsid w:val="00307618"/>
    <w:rsid w:val="00370B26"/>
    <w:rsid w:val="003F4034"/>
    <w:rsid w:val="00422592"/>
    <w:rsid w:val="004453C1"/>
    <w:rsid w:val="005E045C"/>
    <w:rsid w:val="0062717B"/>
    <w:rsid w:val="00AC65A2"/>
    <w:rsid w:val="00B05289"/>
    <w:rsid w:val="00B31DE4"/>
    <w:rsid w:val="00B87564"/>
    <w:rsid w:val="00CD67C1"/>
    <w:rsid w:val="00EB4E4B"/>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CE20"/>
  <w15:chartTrackingRefBased/>
  <w15:docId w15:val="{C2994B1A-1A50-4935-B94F-8A77F7E9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E4"/>
  </w:style>
  <w:style w:type="paragraph" w:styleId="Heading1">
    <w:name w:val="heading 1"/>
    <w:basedOn w:val="Normal"/>
    <w:next w:val="Normal"/>
    <w:link w:val="Heading1Char"/>
    <w:uiPriority w:val="9"/>
    <w:qFormat/>
    <w:rsid w:val="00B05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5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5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5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5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5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5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5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5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5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5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289"/>
    <w:rPr>
      <w:rFonts w:eastAsiaTheme="majorEastAsia" w:cstheme="majorBidi"/>
      <w:color w:val="272727" w:themeColor="text1" w:themeTint="D8"/>
    </w:rPr>
  </w:style>
  <w:style w:type="paragraph" w:styleId="Title">
    <w:name w:val="Title"/>
    <w:basedOn w:val="Normal"/>
    <w:next w:val="Normal"/>
    <w:link w:val="TitleChar"/>
    <w:uiPriority w:val="10"/>
    <w:qFormat/>
    <w:rsid w:val="00B05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289"/>
    <w:pPr>
      <w:spacing w:before="160"/>
      <w:jc w:val="center"/>
    </w:pPr>
    <w:rPr>
      <w:i/>
      <w:iCs/>
      <w:color w:val="404040" w:themeColor="text1" w:themeTint="BF"/>
    </w:rPr>
  </w:style>
  <w:style w:type="character" w:customStyle="1" w:styleId="QuoteChar">
    <w:name w:val="Quote Char"/>
    <w:basedOn w:val="DefaultParagraphFont"/>
    <w:link w:val="Quote"/>
    <w:uiPriority w:val="29"/>
    <w:rsid w:val="00B05289"/>
    <w:rPr>
      <w:i/>
      <w:iCs/>
      <w:color w:val="404040" w:themeColor="text1" w:themeTint="BF"/>
    </w:rPr>
  </w:style>
  <w:style w:type="paragraph" w:styleId="ListParagraph">
    <w:name w:val="List Paragraph"/>
    <w:basedOn w:val="Normal"/>
    <w:uiPriority w:val="34"/>
    <w:qFormat/>
    <w:rsid w:val="00B05289"/>
    <w:pPr>
      <w:ind w:left="720"/>
      <w:contextualSpacing/>
    </w:pPr>
  </w:style>
  <w:style w:type="character" w:styleId="IntenseEmphasis">
    <w:name w:val="Intense Emphasis"/>
    <w:basedOn w:val="DefaultParagraphFont"/>
    <w:uiPriority w:val="21"/>
    <w:qFormat/>
    <w:rsid w:val="00B05289"/>
    <w:rPr>
      <w:i/>
      <w:iCs/>
      <w:color w:val="2F5496" w:themeColor="accent1" w:themeShade="BF"/>
    </w:rPr>
  </w:style>
  <w:style w:type="paragraph" w:styleId="IntenseQuote">
    <w:name w:val="Intense Quote"/>
    <w:basedOn w:val="Normal"/>
    <w:next w:val="Normal"/>
    <w:link w:val="IntenseQuoteChar"/>
    <w:uiPriority w:val="30"/>
    <w:qFormat/>
    <w:rsid w:val="00B05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5289"/>
    <w:rPr>
      <w:i/>
      <w:iCs/>
      <w:color w:val="2F5496" w:themeColor="accent1" w:themeShade="BF"/>
    </w:rPr>
  </w:style>
  <w:style w:type="character" w:styleId="IntenseReference">
    <w:name w:val="Intense Reference"/>
    <w:basedOn w:val="DefaultParagraphFont"/>
    <w:uiPriority w:val="32"/>
    <w:qFormat/>
    <w:rsid w:val="00B05289"/>
    <w:rPr>
      <w:b/>
      <w:bCs/>
      <w:smallCaps/>
      <w:color w:val="2F5496" w:themeColor="accent1" w:themeShade="BF"/>
      <w:spacing w:val="5"/>
    </w:rPr>
  </w:style>
  <w:style w:type="paragraph" w:styleId="NormalWeb">
    <w:name w:val="Normal (Web)"/>
    <w:basedOn w:val="Normal"/>
    <w:uiPriority w:val="99"/>
    <w:semiHidden/>
    <w:unhideWhenUsed/>
    <w:rsid w:val="000D738F"/>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Yamini</dc:creator>
  <cp:keywords/>
  <dc:description/>
  <cp:lastModifiedBy>C Yamini</cp:lastModifiedBy>
  <cp:revision>5</cp:revision>
  <dcterms:created xsi:type="dcterms:W3CDTF">2026-09-20T11:04:00Z</dcterms:created>
  <dcterms:modified xsi:type="dcterms:W3CDTF">2026-09-20T13:26:00Z</dcterms:modified>
</cp:coreProperties>
</file>