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1B3A6B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Wake County HACR  ·  Housing Data Analyst — Interview Prep Brief</w:t>
            </w:r>
          </w:p>
          <w:p>
            <w:pPr>
              <w:spacing w:before="20" w:after="100"/>
              <w:jc w:val="center"/>
            </w:pPr>
            <w:r>
              <w:rPr>
                <w:rFonts w:ascii="Calibri" w:hAnsi="Calibri"/>
                <w:b w:val="0"/>
                <w:i/>
                <w:color w:val="CCDDFF"/>
                <w:sz w:val="16"/>
              </w:rPr>
              <w:t>Research, Data &amp; Systems (RDS) Division  ·  Department of Housing Affordability &amp; Community Revitalization  ·  wakehousingdata.org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12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/>
          <w:p>
            <w:pPr>
              <w:spacing w:before="120" w:after="40"/>
              <w:pBdr>
                <w:bottom w:val="single" w:sz="6" w:space="2" w:color="007078"/>
              </w:pBdr>
            </w:pPr>
            <w:r>
              <w:rPr>
                <w:rFonts w:ascii="Calibri" w:hAnsi="Calibri"/>
                <w:b/>
                <w:i w:val="0"/>
                <w:color w:val="1B3A6B"/>
                <w:sz w:val="20"/>
              </w:rPr>
              <w:t>DEPARTMENT OVERVIEW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4A4A4A"/>
                <w:sz w:val="17"/>
              </w:rPr>
              <w:t>The Department of Housing Affordability &amp; Community Revitalization (HACR) leads Wake County's efforts to expand affordable housing across the full continuum — from homelessness prevention to homeownership. Its Research, Data &amp; Systems (RDS) division drives data quality, reporting, and analytics that inform every program.</w:t>
            </w:r>
          </w:p>
          <w:p>
            <w:pPr>
              <w:spacing w:before="120" w:after="40"/>
              <w:pBdr>
                <w:bottom w:val="single" w:sz="6" w:space="2" w:color="007078"/>
              </w:pBdr>
            </w:pPr>
            <w:r>
              <w:rPr>
                <w:rFonts w:ascii="Calibri" w:hAnsi="Calibri"/>
                <w:b/>
                <w:i w:val="0"/>
                <w:color w:val="1B3A6B"/>
                <w:sz w:val="20"/>
              </w:rPr>
              <w:t>KEY ACCOMPLISHMENTS  (2019 – 2025)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A7A3C"/>
                <w:sz w:val="18"/>
              </w:rPr>
              <w:t xml:space="preserve">5,400+ homes  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created/preserved since 2019 — 120% more than the prior 20 years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A7A3C"/>
                <w:sz w:val="18"/>
              </w:rPr>
              <w:t xml:space="preserve">2,065 / 2,500  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of the 2029 affordable homes goal achieved (70%)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A7A3C"/>
                <w:sz w:val="18"/>
              </w:rPr>
              <w:t xml:space="preserve">660 homes  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created/preserved in FY2025 · $18M invested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A7A3C"/>
                <w:sz w:val="18"/>
              </w:rPr>
              <w:t xml:space="preserve">1,532 homes  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in active development pipeline (incl. New Bern Crossings, Birch &amp; Branch)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A7A3C"/>
                <w:sz w:val="18"/>
              </w:rPr>
              <w:t xml:space="preserve">$61.6M  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Wake Affordable Housing Preservation Fund committed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A7A3C"/>
                <w:sz w:val="18"/>
              </w:rPr>
              <w:t xml:space="preserve">3,905 HHs  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served by Bridge to Home (B2H) since 2021 · 3,320+ permanent exits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A7A3C"/>
                <w:sz w:val="18"/>
              </w:rPr>
              <w:t xml:space="preserve">108% increase  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in housing exits vs. pre-B2H implementation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A7A3C"/>
                <w:sz w:val="18"/>
              </w:rPr>
              <w:t xml:space="preserve">693 placements  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through Lease 2 Home (L2H) since 2022 · 22-day median time to housing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A7A3C"/>
                <w:sz w:val="18"/>
              </w:rPr>
              <w:t xml:space="preserve">65 homebuyers  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served via Affordable Homeownership Program · up to $40K forgivable loans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A7A3C"/>
                <w:sz w:val="18"/>
              </w:rPr>
              <w:t xml:space="preserve">60% reduction  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in veteran chronic homelessness since 2021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A7A3C"/>
                <w:sz w:val="18"/>
              </w:rPr>
              <w:t xml:space="preserve">$7.9M  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in SSI/SSDI &amp; earned income benefits accessed by residents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A7A3C"/>
                <w:sz w:val="18"/>
              </w:rPr>
              <w:t xml:space="preserve">$1.80 returned  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per $1 invested in housing + supportive services</w:t>
            </w:r>
          </w:p>
          <w:p>
            <w:pPr>
              <w:spacing w:before="120" w:after="40"/>
              <w:pBdr>
                <w:bottom w:val="single" w:sz="6" w:space="2" w:color="007078"/>
              </w:pBdr>
            </w:pPr>
            <w:r>
              <w:rPr>
                <w:rFonts w:ascii="Calibri" w:hAnsi="Calibri"/>
                <w:b/>
                <w:i w:val="0"/>
                <w:color w:val="1B3A6B"/>
                <w:sz w:val="20"/>
              </w:rPr>
              <w:t>HOUSING MARKET CONTEXT  (WHY THIS ROLE MATTERS)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7"/>
              </w:rPr>
              <w:t>▸ Rent:</w:t>
            </w:r>
            <w:r>
              <w:rPr>
                <w:rFonts w:ascii="Calibri" w:hAnsi="Calibri"/>
                <w:b w:val="0"/>
                <w:i w:val="0"/>
                <w:color w:val="4A4A4A"/>
                <w:sz w:val="17"/>
              </w:rPr>
              <w:t xml:space="preserve"> $1,705/mo median (+12% since 2015) vs. $64,775 renter income — $3,426 annual gap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7"/>
              </w:rPr>
              <w:t>▸ Home prices:</w:t>
            </w:r>
            <w:r>
              <w:rPr>
                <w:rFonts w:ascii="Calibri" w:hAnsi="Calibri"/>
                <w:b w:val="0"/>
                <w:i w:val="0"/>
                <w:color w:val="4A4A4A"/>
                <w:sz w:val="17"/>
              </w:rPr>
              <w:t xml:space="preserve"> $460,000 median (+73% since 2018) · 0.7% vacancy rate (healthy = 5%)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7"/>
              </w:rPr>
              <w:t>▸ Cost burden:</w:t>
            </w:r>
            <w:r>
              <w:rPr>
                <w:rFonts w:ascii="Calibri" w:hAnsi="Calibri"/>
                <w:b w:val="0"/>
                <w:i w:val="0"/>
                <w:color w:val="4A4A4A"/>
                <w:sz w:val="17"/>
              </w:rPr>
              <w:t xml:space="preserve"> 72,313 renter HHs (47%) · ~33,000 severely burdened · ~49,000 homeowners burdened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7"/>
              </w:rPr>
              <w:t>▸ Supply gap:</w:t>
            </w:r>
            <w:r>
              <w:rPr>
                <w:rFonts w:ascii="Calibri" w:hAnsi="Calibri"/>
                <w:b w:val="0"/>
                <w:i w:val="0"/>
                <w:color w:val="4A4A4A"/>
                <w:sz w:val="17"/>
              </w:rPr>
              <w:t xml:space="preserve"> 27,000+ rental units needed for HHs earning &lt;$35k · only 18 affordable units per 100 renters at &lt;$20k AMI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7"/>
              </w:rPr>
              <w:t>▸ Projected shortfall:</w:t>
            </w:r>
            <w:r>
              <w:rPr>
                <w:rFonts w:ascii="Calibri" w:hAnsi="Calibri"/>
                <w:b w:val="0"/>
                <w:i w:val="0"/>
                <w:color w:val="4A4A4A"/>
                <w:sz w:val="17"/>
              </w:rPr>
              <w:t xml:space="preserve"> 110,000 homes by 2029 · demand: 18,000–23,000 new homes/yr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7"/>
              </w:rPr>
              <w:t>▸ Land values:</w:t>
            </w:r>
            <w:r>
              <w:rPr>
                <w:rFonts w:ascii="Calibri" w:hAnsi="Calibri"/>
                <w:b w:val="0"/>
                <w:i w:val="0"/>
                <w:color w:val="4A4A4A"/>
                <w:sz w:val="17"/>
              </w:rPr>
              <w:t xml:space="preserve"> up 110% (2012–2022) · constraining affordable development</w:t>
            </w:r>
          </w:p>
        </w:tc>
        <w:tc>
          <w:tcPr>
            <w:tcW w:type="dxa" w:w="525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/>
          <w:p>
            <w:pPr>
              <w:spacing w:before="120" w:after="40"/>
              <w:pBdr>
                <w:bottom w:val="single" w:sz="6" w:space="2" w:color="007078"/>
              </w:pBdr>
            </w:pPr>
            <w:r>
              <w:rPr>
                <w:rFonts w:ascii="Calibri" w:hAnsi="Calibri"/>
                <w:b/>
                <w:i w:val="0"/>
                <w:color w:val="1B3A6B"/>
                <w:sz w:val="20"/>
              </w:rPr>
              <w:t>PROGRAMS &amp; DATA SYSTEMS TO KNOW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AHDP: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Affordable Housing Development Program — county's primary funding pipeline ($10M+ cycles)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B2H / Bridge to Home: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Coordinated shelter-to-housing program; 11 partner agencies; tracks exits, income, SOAR benefits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L2H / Lease 2 Home: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Landlord Engagement Unit (LEU); 423+ landlords; tracks referral-to-lease timelines, 2-yr stability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WakePrevent!: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Homelessness prevention — financial assist, legal coordination, case mgmt; 639 individuals kept housed in 2025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Cornerstone Center: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Bridge housing &amp; PSH (Permanent Supportive Housing) case mgmt; 160 PSH clients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South Wilmington St. Center: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Emergency shelter for single men; 1,135 served/yr; 222 permanent exits; behavioral health services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Second Street Shelter: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Newly launched; 98 beds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HUD-VASH: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HUD Veterans Affairs Supportive Housing; 328 active vouchers; 2,715 veterans served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HMIS: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Homeless Management Information System — primary data system for all homelessness programs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LIHTC / HOME / CDBG / ESG: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Federal funding streams requiring HUD regulatory reporting (CAPER, Action Plans, SPMs)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wakehousingdata.org: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Public-facing data platform built on HousingWeaver (HR&amp;A Advisors); Snapshot, Map, Comparison, Impact Tracker, Report Portal views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PLANWake: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County comprehensive growth plan — housing development aligned to growth targets</w:t>
            </w:r>
          </w:p>
          <w:p>
            <w:pPr>
              <w:spacing w:before="120" w:after="40"/>
              <w:pBdr>
                <w:bottom w:val="single" w:sz="6" w:space="2" w:color="007078"/>
              </w:pBdr>
            </w:pPr>
            <w:r>
              <w:rPr>
                <w:rFonts w:ascii="Calibri" w:hAnsi="Calibri"/>
                <w:b/>
                <w:i w:val="0"/>
                <w:color w:val="1B3A6B"/>
                <w:sz w:val="20"/>
              </w:rPr>
              <w:t>HOW TO STAND OUT IN THE INTERVIEW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Speak their data systems: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Mention HMIS, GIS, Power BI, and HUD SPM (System Performance Measures) by name. Reference CAPER tables, Action Plans, and Local System Assessments.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Anchor to real numbers: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Use the 2025 annual report figures — 72,313 cost-burdened HHs, 2,065/2,500 goal, 1.80:1 ROI, 22-day L2H median — to show you've done your homework.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Bridge data → decisions: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Show how your analysis would help HACR hit the 10% increase in B2H exits, track the $10M+ AHDP cycle, or monitor the 110,000-home shortfall.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Show GIS literacy: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Mention census-tract-level analysis, AMI-band mapping, NOAH/LBAR risk mapping, and the wakehousingdata.org Map View as examples of GIS-driven insights.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Reference 2026 priorities: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Housing Opportunity Fund launch, Second Street Shelter Phase II, CoC Lead Agency, Municipal Impact Fund — signal you know what's coming.</w:t>
            </w:r>
          </w:p>
          <w:p>
            <w:pPr>
              <w:spacing w:before="0" w:after="40"/>
              <w:ind w:left="173" w:hanging="173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▸ Data governance angle:</w:t>
            </w: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 xml:space="preserve"> Mention HMIS data quality standards, HUD Data Standards compliance, deduplication, and validation — core to the RDS division's mandate.</w:t>
            </w:r>
          </w:p>
        </w:tc>
      </w:tr>
    </w:tbl>
    <w:p>
      <w:pPr>
        <w:spacing w:after="40"/>
      </w:pPr>
    </w:p>
    <w:p>
      <w:pPr>
        <w:spacing w:before="80" w:after="40"/>
        <w:pBdr>
          <w:bottom w:val="single" w:sz="6" w:space="2" w:color="1B3A6B"/>
        </w:pBdr>
      </w:pPr>
      <w:r>
        <w:rPr>
          <w:rFonts w:ascii="Calibri" w:hAnsi="Calibri"/>
          <w:b/>
          <w:i w:val="0"/>
          <w:color w:val="1B3A6B"/>
          <w:sz w:val="20"/>
        </w:rPr>
        <w:t>ACRONYM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Acronym</w:t>
            </w:r>
          </w:p>
        </w:tc>
        <w:tc>
          <w:tcPr>
            <w:tcW w:type="dxa" w:w="4104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Full Name</w:t>
            </w:r>
          </w:p>
        </w:tc>
        <w:tc>
          <w:tcPr>
            <w:tcW w:type="dxa" w:w="1008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Acronym</w:t>
            </w:r>
          </w:p>
        </w:tc>
        <w:tc>
          <w:tcPr>
            <w:tcW w:type="dxa" w:w="4104"/>
            <w:shd w:val="clear" w:color="auto" w:fill="1B3A6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Full Name</w:t>
            </w:r>
          </w:p>
        </w:tc>
      </w:tr>
      <w:tr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HUD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U.S. Department of Housing and Urban Development</w:t>
            </w:r>
          </w:p>
        </w:tc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HOME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HOME Investment Partnerships Program (federal affordable housing funding)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CDBG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Community Development Block Grant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ESG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Emergency Solutions Grant</w:t>
            </w:r>
          </w:p>
        </w:tc>
      </w:tr>
      <w:tr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CoC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Continuum of Care (HUD-coordinated homeless response system)</w:t>
            </w:r>
          </w:p>
        </w:tc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HCV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Housing Choice Voucher (formerly Section 8)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PBRA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Project-Based Rental Assistance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LIHTC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Low-Income Housing Tax Credit</w:t>
            </w:r>
          </w:p>
        </w:tc>
      </w:tr>
      <w:tr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HUD-VASH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HUD Veterans Affairs Supportive Housing</w:t>
            </w:r>
          </w:p>
        </w:tc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HMIS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Homeless Management Information System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SPM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System Performance Measures (HUD annual CoC reporting requirement)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CAPER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Consolidated Annual Performance and Evaluation Report (ESG/HOME compliance)</w:t>
            </w:r>
          </w:p>
        </w:tc>
      </w:tr>
      <w:tr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PIT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Point-in-Time Count (annual HUD homelessness census)</w:t>
            </w:r>
          </w:p>
        </w:tc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AMI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Area Median Income (HUD income threshold basis)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HH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Household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GIS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Geographic Information System</w:t>
            </w:r>
          </w:p>
        </w:tc>
      </w:tr>
      <w:tr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HACR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Housing Affordability &amp; Community Revitalization (Wake County Department)</w:t>
            </w:r>
          </w:p>
        </w:tc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RDS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Research, Data &amp; Systems (division within HACR)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AHDP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Affordable Housing Development Program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B2H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Bridge to Home</w:t>
            </w:r>
          </w:p>
        </w:tc>
      </w:tr>
      <w:tr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L2H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Lease 2 Home</w:t>
            </w:r>
          </w:p>
        </w:tc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LEU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Landlord Engagement Unit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PSH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Permanent Supportive Housing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TH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Transitional Housing</w:t>
            </w:r>
          </w:p>
        </w:tc>
      </w:tr>
      <w:tr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ES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Emergency Shelter</w:t>
            </w:r>
          </w:p>
        </w:tc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RRH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Rapid Re-Housing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HP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Homelessness Prevention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SO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Street Outreach</w:t>
            </w:r>
          </w:p>
        </w:tc>
      </w:tr>
      <w:tr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LBAR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Legally-Binding Affordable Rental (subsidized affordable housing at risk)</w:t>
            </w:r>
          </w:p>
        </w:tc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NOAH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Naturally Occurring Affordable Housing (unsubsidized low-cost units at risk of loss)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SOAR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SSI/SSDI Outreach, Access, and Recovery (benefits enrollment program)</w:t>
            </w:r>
          </w:p>
        </w:tc>
        <w:tc>
          <w:tcPr>
            <w:tcW w:type="dxa" w:w="1008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SSI</w:t>
            </w:r>
          </w:p>
        </w:tc>
        <w:tc>
          <w:tcPr>
            <w:tcW w:type="dxa" w:w="4104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Supplemental Security Income</w:t>
            </w:r>
          </w:p>
        </w:tc>
      </w:tr>
      <w:tr>
        <w:tc>
          <w:tcPr>
            <w:tcW w:type="dxa" w:w="1008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787B"/>
                <w:sz w:val="16"/>
              </w:rPr>
              <w:t>SSDI</w:t>
            </w:r>
          </w:p>
        </w:tc>
        <w:tc>
          <w:tcPr>
            <w:tcW w:type="dxa" w:w="4104"/>
            <w:shd w:val="clear" w:color="auto" w:fill="D6E8F5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4A4A4A"/>
                <w:sz w:val="16"/>
              </w:rPr>
              <w:t>Social Security Disability Insurance</w:t>
            </w:r>
          </w:p>
        </w:tc>
        <w:tc>
          <w:tcPr>
            <w:tcW w:type="dxa" w:w="1008"/>
            <w:shd w:val="clear" w:color="auto" w:fill="D6E8F5"/>
          </w:tcPr>
          <w:p/>
        </w:tc>
        <w:tc>
          <w:tcPr>
            <w:tcW w:type="dxa" w:w="4104"/>
            <w:shd w:val="clear" w:color="auto" w:fill="D6E8F5"/>
          </w:tcPr>
          <w:p/>
        </w:tc>
      </w:tr>
    </w:tbl>
    <w:p>
      <w:pPr>
        <w:spacing w:before="80" w:after="0"/>
        <w:jc w:val="center"/>
      </w:pPr>
      <w:r>
        <w:rPr>
          <w:rFonts w:ascii="Calibri" w:hAnsi="Calibri"/>
          <w:b w:val="0"/>
          <w:i/>
          <w:color w:val="888888"/>
          <w:sz w:val="14"/>
        </w:rPr>
        <w:t>Sources: Wake County 2025 Annual Housing Impact Report · wakehousingdata.org · HUD Exchange SPM Specifications · HMIS Data Standards FY2024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