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64F45" w:rsidRDefault="00000000">
      <w:pPr>
        <w:shd w:val="clear" w:color="auto" w:fill="1B3A6B"/>
        <w:spacing w:before="120" w:after="40"/>
        <w:jc w:val="center"/>
      </w:pPr>
      <w:r>
        <w:rPr>
          <w:rFonts w:ascii="Calibri" w:hAnsi="Calibri"/>
          <w:b/>
          <w:color w:val="FFFFFF"/>
          <w:sz w:val="36"/>
        </w:rPr>
        <w:t>"Closing the Gap"  —  Interview Prep Guide</w:t>
      </w:r>
    </w:p>
    <w:p w:rsidR="00A64F45" w:rsidRDefault="00000000">
      <w:pPr>
        <w:shd w:val="clear" w:color="auto" w:fill="007A87"/>
        <w:jc w:val="center"/>
      </w:pPr>
      <w:r>
        <w:rPr>
          <w:rFonts w:ascii="Calibri" w:hAnsi="Calibri"/>
          <w:b/>
          <w:color w:val="FFFFFF"/>
        </w:rPr>
        <w:t>Wake County Housing Supply-Demand Dashboard  |  Built with Real HACR Data</w:t>
      </w:r>
    </w:p>
    <w:p w:rsidR="00A64F45" w:rsidRDefault="00000000">
      <w:pPr>
        <w:pBdr>
          <w:bottom w:val="single" w:sz="8" w:space="1" w:color="007A87"/>
        </w:pBdr>
        <w:spacing w:before="280" w:after="80"/>
      </w:pPr>
      <w:r>
        <w:rPr>
          <w:rFonts w:ascii="Calibri" w:hAnsi="Calibri"/>
          <w:b/>
          <w:color w:val="1B3A6B"/>
          <w:sz w:val="28"/>
        </w:rPr>
        <w:t>SECTION 1 — What Is This Project?  (Plain English)</w:t>
      </w:r>
    </w:p>
    <w:p w:rsidR="00A64F45" w:rsidRDefault="00000000">
      <w:pPr>
        <w:spacing w:after="80"/>
      </w:pPr>
      <w:r>
        <w:rPr>
          <w:rFonts w:ascii="Calibri" w:hAnsi="Calibri"/>
          <w:color w:val="1A1A2E"/>
          <w:sz w:val="21"/>
        </w:rPr>
        <w:t>This is an interactive data dashboard built in Python using a tool called Streamlit (similar to Power BI or Tableau). It uses four real Excel files downloaded from wakehousingdata.org — the same data Wake County HACR publishes publicly. The dashboard answers one core question: “How many affordable homes does Wake County need, how long will it take to close the gap, and what will it cost?”</w:t>
      </w:r>
    </w:p>
    <w:p w:rsidR="00A64F45" w:rsidRDefault="00000000">
      <w:pPr>
        <w:spacing w:before="160" w:after="40"/>
      </w:pPr>
      <w:r>
        <w:rPr>
          <w:rFonts w:ascii="Calibri" w:hAnsi="Calibri"/>
          <w:b/>
          <w:color w:val="007A87"/>
        </w:rPr>
        <w:t>The Dashboard Has 5 Tabs</w:t>
      </w:r>
    </w:p>
    <w:p w:rsidR="00A64F45" w:rsidRDefault="00000000">
      <w:pPr>
        <w:pStyle w:val="ListBullet"/>
        <w:spacing w:before="20" w:after="20"/>
        <w:ind w:left="504"/>
      </w:pPr>
      <w:r>
        <w:rPr>
          <w:rFonts w:ascii="Calibri" w:hAnsi="Calibri"/>
          <w:b/>
          <w:color w:val="007A87"/>
          <w:sz w:val="21"/>
        </w:rPr>
        <w:t xml:space="preserve">Tab 1 — The Gap:  </w:t>
      </w:r>
      <w:r>
        <w:rPr>
          <w:rFonts w:ascii="Calibri" w:hAnsi="Calibri"/>
          <w:color w:val="1A1A2E"/>
          <w:sz w:val="21"/>
        </w:rPr>
        <w:t>Shows how many affordable units are missing by income level.</w:t>
      </w:r>
    </w:p>
    <w:p w:rsidR="00A64F45" w:rsidRDefault="00000000">
      <w:pPr>
        <w:pStyle w:val="ListBullet"/>
        <w:spacing w:before="20" w:after="20"/>
        <w:ind w:left="504"/>
      </w:pPr>
      <w:r>
        <w:rPr>
          <w:rFonts w:ascii="Calibri" w:hAnsi="Calibri"/>
          <w:b/>
          <w:color w:val="007A87"/>
          <w:sz w:val="21"/>
        </w:rPr>
        <w:t xml:space="preserve">Tab 2 — Affordability Squeeze:  </w:t>
      </w:r>
      <w:r>
        <w:rPr>
          <w:rFonts w:ascii="Calibri" w:hAnsi="Calibri"/>
          <w:color w:val="1A1A2E"/>
          <w:sz w:val="21"/>
        </w:rPr>
        <w:t>Shows how rent, income, and housing costs have drifted apart over time.</w:t>
      </w:r>
    </w:p>
    <w:p w:rsidR="00A64F45" w:rsidRDefault="00000000">
      <w:pPr>
        <w:pStyle w:val="ListBullet"/>
        <w:spacing w:before="20" w:after="20"/>
        <w:ind w:left="504"/>
      </w:pPr>
      <w:r>
        <w:rPr>
          <w:rFonts w:ascii="Calibri" w:hAnsi="Calibri"/>
          <w:b/>
          <w:color w:val="007A87"/>
          <w:sz w:val="21"/>
        </w:rPr>
        <w:t xml:space="preserve">Tab 3 — Supply Pressure:  </w:t>
      </w:r>
      <w:r>
        <w:rPr>
          <w:rFonts w:ascii="Calibri" w:hAnsi="Calibri"/>
          <w:color w:val="1A1A2E"/>
          <w:sz w:val="21"/>
        </w:rPr>
        <w:t>Shows how tight the housing market is (vacancy rates vs. healthy benchmarks).</w:t>
      </w:r>
    </w:p>
    <w:p w:rsidR="00A64F45" w:rsidRDefault="00000000">
      <w:pPr>
        <w:pStyle w:val="ListBullet"/>
        <w:spacing w:before="20" w:after="20"/>
        <w:ind w:left="504"/>
      </w:pPr>
      <w:r>
        <w:rPr>
          <w:rFonts w:ascii="Calibri" w:hAnsi="Calibri"/>
          <w:b/>
          <w:color w:val="007A87"/>
          <w:sz w:val="21"/>
        </w:rPr>
        <w:t xml:space="preserve">Tab 4 — Scenario Planner:  </w:t>
      </w:r>
      <w:r>
        <w:rPr>
          <w:rFonts w:ascii="Calibri" w:hAnsi="Calibri"/>
          <w:color w:val="1A1A2E"/>
          <w:sz w:val="21"/>
        </w:rPr>
        <w:t>Lets you model how fast the gap could close under different policy choices.</w:t>
      </w:r>
    </w:p>
    <w:p w:rsidR="00A64F45" w:rsidRDefault="00000000">
      <w:pPr>
        <w:pStyle w:val="ListBullet"/>
        <w:spacing w:before="20" w:after="20"/>
        <w:ind w:left="504"/>
      </w:pPr>
      <w:r>
        <w:rPr>
          <w:rFonts w:ascii="Calibri" w:hAnsi="Calibri"/>
          <w:b/>
          <w:color w:val="007A87"/>
          <w:sz w:val="21"/>
        </w:rPr>
        <w:t xml:space="preserve">Tab 5 — CAPER Export:  </w:t>
      </w:r>
      <w:r>
        <w:rPr>
          <w:rFonts w:ascii="Calibri" w:hAnsi="Calibri"/>
          <w:color w:val="1A1A2E"/>
          <w:sz w:val="21"/>
        </w:rPr>
        <w:t>Exports data in the format used in federal HUD reports submitted by Wake County.</w:t>
      </w:r>
    </w:p>
    <w:p w:rsidR="00A64F45" w:rsidRDefault="00000000">
      <w:pPr>
        <w:pBdr>
          <w:bottom w:val="single" w:sz="8" w:space="1" w:color="007A87"/>
        </w:pBdr>
        <w:spacing w:before="280" w:after="80"/>
      </w:pPr>
      <w:r>
        <w:rPr>
          <w:rFonts w:ascii="Calibri" w:hAnsi="Calibri"/>
          <w:b/>
          <w:color w:val="1B3A6B"/>
          <w:sz w:val="28"/>
        </w:rPr>
        <w:t>SECTION 2 — The Real Data: Key Findings</w:t>
      </w:r>
    </w:p>
    <w:p w:rsidR="00A64F45" w:rsidRDefault="00000000">
      <w:pPr>
        <w:spacing w:after="120"/>
      </w:pPr>
      <w:r>
        <w:rPr>
          <w:rFonts w:ascii="Calibri" w:hAnsi="Calibri"/>
          <w:color w:val="1A1A2E"/>
          <w:sz w:val="21"/>
        </w:rPr>
        <w:t>Every number below comes directly from the four wakehousingdata.org Excel files. These are real Wake County figures — not estimates or synthetic data.</w:t>
      </w:r>
    </w:p>
    <w:tbl>
      <w:tblPr>
        <w:tblStyle w:val="TableGrid"/>
        <w:tblW w:w="0" w:type="auto"/>
        <w:tblLook w:val="04A0" w:firstRow="1" w:lastRow="0" w:firstColumn="1" w:lastColumn="0" w:noHBand="0" w:noVBand="1"/>
      </w:tblPr>
      <w:tblGrid>
        <w:gridCol w:w="2960"/>
        <w:gridCol w:w="2541"/>
        <w:gridCol w:w="4075"/>
      </w:tblGrid>
      <w:tr w:rsidR="00A64F45">
        <w:tc>
          <w:tcPr>
            <w:tcW w:w="3024" w:type="dxa"/>
            <w:tcBorders>
              <w:top w:val="single" w:sz="4" w:space="0" w:color="FFFFFF"/>
              <w:left w:val="single" w:sz="4" w:space="0" w:color="FFFFFF"/>
              <w:bottom w:val="single" w:sz="4" w:space="0" w:color="FFFFFF"/>
              <w:right w:val="single" w:sz="4" w:space="0" w:color="FFFFFF"/>
            </w:tcBorders>
            <w:shd w:val="clear" w:color="auto" w:fill="1B3A6B"/>
            <w:vAlign w:val="center"/>
          </w:tcPr>
          <w:p w:rsidR="00A64F45" w:rsidRDefault="00000000">
            <w:pPr>
              <w:spacing w:before="80" w:after="80"/>
            </w:pPr>
            <w:r>
              <w:rPr>
                <w:rFonts w:ascii="Calibri" w:hAnsi="Calibri"/>
                <w:b/>
                <w:color w:val="FFFFFF"/>
                <w:sz w:val="20"/>
              </w:rPr>
              <w:t>Finding</w:t>
            </w:r>
          </w:p>
        </w:tc>
        <w:tc>
          <w:tcPr>
            <w:tcW w:w="2592" w:type="dxa"/>
            <w:tcBorders>
              <w:top w:val="single" w:sz="4" w:space="0" w:color="FFFFFF"/>
              <w:left w:val="single" w:sz="4" w:space="0" w:color="FFFFFF"/>
              <w:bottom w:val="single" w:sz="4" w:space="0" w:color="FFFFFF"/>
              <w:right w:val="single" w:sz="4" w:space="0" w:color="FFFFFF"/>
            </w:tcBorders>
            <w:shd w:val="clear" w:color="auto" w:fill="1B3A6B"/>
            <w:vAlign w:val="center"/>
          </w:tcPr>
          <w:p w:rsidR="00A64F45" w:rsidRDefault="00000000">
            <w:pPr>
              <w:spacing w:before="80" w:after="80"/>
            </w:pPr>
            <w:r>
              <w:rPr>
                <w:rFonts w:ascii="Calibri" w:hAnsi="Calibri"/>
                <w:b/>
                <w:color w:val="FFFFFF"/>
                <w:sz w:val="20"/>
              </w:rPr>
              <w:t>The Number</w:t>
            </w:r>
          </w:p>
        </w:tc>
        <w:tc>
          <w:tcPr>
            <w:tcW w:w="4176" w:type="dxa"/>
            <w:tcBorders>
              <w:top w:val="single" w:sz="4" w:space="0" w:color="FFFFFF"/>
              <w:left w:val="single" w:sz="4" w:space="0" w:color="FFFFFF"/>
              <w:bottom w:val="single" w:sz="4" w:space="0" w:color="FFFFFF"/>
              <w:right w:val="single" w:sz="4" w:space="0" w:color="FFFFFF"/>
            </w:tcBorders>
            <w:shd w:val="clear" w:color="auto" w:fill="1B3A6B"/>
            <w:vAlign w:val="center"/>
          </w:tcPr>
          <w:p w:rsidR="00A64F45" w:rsidRDefault="00000000">
            <w:pPr>
              <w:spacing w:before="80" w:after="80"/>
            </w:pPr>
            <w:r>
              <w:rPr>
                <w:rFonts w:ascii="Calibri" w:hAnsi="Calibri"/>
                <w:b/>
                <w:color w:val="FFFFFF"/>
                <w:sz w:val="20"/>
              </w:rPr>
              <w:t>What It Means</w:t>
            </w:r>
          </w:p>
        </w:tc>
      </w:tr>
      <w:tr w:rsidR="00A64F45">
        <w:tc>
          <w:tcPr>
            <w:tcW w:w="3024" w:type="dxa"/>
            <w:tcBorders>
              <w:top w:val="single" w:sz="4" w:space="0" w:color="B8D8E8"/>
              <w:left w:val="single" w:sz="4" w:space="0" w:color="B8D8E8"/>
              <w:bottom w:val="single" w:sz="4" w:space="0" w:color="B8D8E8"/>
              <w:right w:val="single" w:sz="4" w:space="0" w:color="B8D8E8"/>
            </w:tcBorders>
            <w:shd w:val="clear" w:color="auto" w:fill="E8F4F8"/>
          </w:tcPr>
          <w:p w:rsidR="00A64F45" w:rsidRDefault="00000000">
            <w:pPr>
              <w:spacing w:before="60" w:after="60"/>
            </w:pPr>
            <w:r>
              <w:rPr>
                <w:rFonts w:ascii="Calibri" w:hAnsi="Calibri"/>
                <w:b/>
                <w:color w:val="1B3A6B"/>
                <w:sz w:val="19"/>
              </w:rPr>
              <w:t>Affordable unit shortage for households earning under $35K</w:t>
            </w:r>
          </w:p>
        </w:tc>
        <w:tc>
          <w:tcPr>
            <w:tcW w:w="2592" w:type="dxa"/>
            <w:tcBorders>
              <w:top w:val="single" w:sz="4" w:space="0" w:color="B8D8E8"/>
              <w:left w:val="single" w:sz="4" w:space="0" w:color="B8D8E8"/>
              <w:bottom w:val="single" w:sz="4" w:space="0" w:color="B8D8E8"/>
              <w:right w:val="single" w:sz="4" w:space="0" w:color="B8D8E8"/>
            </w:tcBorders>
            <w:shd w:val="clear" w:color="auto" w:fill="E8F4F8"/>
          </w:tcPr>
          <w:p w:rsidR="00A64F45" w:rsidRDefault="00000000">
            <w:pPr>
              <w:spacing w:before="60" w:after="60"/>
            </w:pPr>
            <w:r>
              <w:rPr>
                <w:rFonts w:ascii="Calibri" w:hAnsi="Calibri"/>
                <w:b/>
                <w:color w:val="E68A00"/>
                <w:sz w:val="19"/>
              </w:rPr>
              <w:t>26,037 units missing</w:t>
            </w:r>
          </w:p>
        </w:tc>
        <w:tc>
          <w:tcPr>
            <w:tcW w:w="4176" w:type="dxa"/>
            <w:tcBorders>
              <w:top w:val="single" w:sz="4" w:space="0" w:color="B8D8E8"/>
              <w:left w:val="single" w:sz="4" w:space="0" w:color="B8D8E8"/>
              <w:bottom w:val="single" w:sz="4" w:space="0" w:color="B8D8E8"/>
              <w:right w:val="single" w:sz="4" w:space="0" w:color="B8D8E8"/>
            </w:tcBorders>
            <w:shd w:val="clear" w:color="auto" w:fill="E8F4F8"/>
          </w:tcPr>
          <w:p w:rsidR="00A64F45" w:rsidRDefault="00000000">
            <w:pPr>
              <w:spacing w:before="60" w:after="60"/>
            </w:pPr>
            <w:r>
              <w:rPr>
                <w:rFonts w:ascii="Calibri" w:hAnsi="Calibri"/>
                <w:color w:val="1A1A2E"/>
                <w:sz w:val="19"/>
              </w:rPr>
              <w:t>Wake County has only 33 affordable units for every 100 renter households at this income level — the rest have nowhere affordable to go.</w:t>
            </w:r>
          </w:p>
        </w:tc>
      </w:tr>
      <w:tr w:rsidR="00A64F45">
        <w:tc>
          <w:tcPr>
            <w:tcW w:w="3024" w:type="dxa"/>
            <w:tcBorders>
              <w:top w:val="single" w:sz="4" w:space="0" w:color="B8D8E8"/>
              <w:left w:val="single" w:sz="4" w:space="0" w:color="B8D8E8"/>
              <w:bottom w:val="single" w:sz="4" w:space="0" w:color="B8D8E8"/>
              <w:right w:val="single" w:sz="4" w:space="0" w:color="B8D8E8"/>
            </w:tcBorders>
            <w:shd w:val="clear" w:color="auto" w:fill="F7FBFD"/>
          </w:tcPr>
          <w:p w:rsidR="00A64F45" w:rsidRDefault="00000000">
            <w:pPr>
              <w:spacing w:before="60" w:after="60"/>
            </w:pPr>
            <w:r>
              <w:rPr>
                <w:rFonts w:ascii="Calibri" w:hAnsi="Calibri"/>
                <w:b/>
                <w:color w:val="1B3A6B"/>
                <w:sz w:val="19"/>
              </w:rPr>
              <w:t>Years to close the gap at current HACR production pace</w:t>
            </w:r>
          </w:p>
        </w:tc>
        <w:tc>
          <w:tcPr>
            <w:tcW w:w="2592" w:type="dxa"/>
            <w:tcBorders>
              <w:top w:val="single" w:sz="4" w:space="0" w:color="B8D8E8"/>
              <w:left w:val="single" w:sz="4" w:space="0" w:color="B8D8E8"/>
              <w:bottom w:val="single" w:sz="4" w:space="0" w:color="B8D8E8"/>
              <w:right w:val="single" w:sz="4" w:space="0" w:color="B8D8E8"/>
            </w:tcBorders>
            <w:shd w:val="clear" w:color="auto" w:fill="F7FBFD"/>
          </w:tcPr>
          <w:p w:rsidR="00A64F45" w:rsidRDefault="00000000">
            <w:pPr>
              <w:spacing w:before="60" w:after="60"/>
            </w:pPr>
            <w:r>
              <w:rPr>
                <w:rFonts w:ascii="Calibri" w:hAnsi="Calibri"/>
                <w:b/>
                <w:color w:val="E68A00"/>
                <w:sz w:val="19"/>
              </w:rPr>
              <w:t>39 years  (closes in 2065)</w:t>
            </w:r>
          </w:p>
        </w:tc>
        <w:tc>
          <w:tcPr>
            <w:tcW w:w="4176" w:type="dxa"/>
            <w:tcBorders>
              <w:top w:val="single" w:sz="4" w:space="0" w:color="B8D8E8"/>
              <w:left w:val="single" w:sz="4" w:space="0" w:color="B8D8E8"/>
              <w:bottom w:val="single" w:sz="4" w:space="0" w:color="B8D8E8"/>
              <w:right w:val="single" w:sz="4" w:space="0" w:color="B8D8E8"/>
            </w:tcBorders>
            <w:shd w:val="clear" w:color="auto" w:fill="F7FBFD"/>
          </w:tcPr>
          <w:p w:rsidR="00A64F45" w:rsidRDefault="00000000">
            <w:pPr>
              <w:spacing w:before="60" w:after="60"/>
            </w:pPr>
            <w:r>
              <w:rPr>
                <w:rFonts w:ascii="Calibri" w:hAnsi="Calibri"/>
                <w:color w:val="1A1A2E"/>
                <w:sz w:val="19"/>
              </w:rPr>
              <w:t>HACR produced 660 affordable units in FY2025. At that rate, the shortage won't be resolved until 2065.</w:t>
            </w:r>
          </w:p>
        </w:tc>
      </w:tr>
      <w:tr w:rsidR="00A64F45">
        <w:tc>
          <w:tcPr>
            <w:tcW w:w="3024" w:type="dxa"/>
            <w:tcBorders>
              <w:top w:val="single" w:sz="4" w:space="0" w:color="B8D8E8"/>
              <w:left w:val="single" w:sz="4" w:space="0" w:color="B8D8E8"/>
              <w:bottom w:val="single" w:sz="4" w:space="0" w:color="B8D8E8"/>
              <w:right w:val="single" w:sz="4" w:space="0" w:color="B8D8E8"/>
            </w:tcBorders>
            <w:shd w:val="clear" w:color="auto" w:fill="E8F4F8"/>
          </w:tcPr>
          <w:p w:rsidR="00A64F45" w:rsidRDefault="00000000">
            <w:pPr>
              <w:spacing w:before="60" w:after="60"/>
            </w:pPr>
            <w:r>
              <w:rPr>
                <w:rFonts w:ascii="Calibri" w:hAnsi="Calibri"/>
                <w:b/>
                <w:color w:val="1B3A6B"/>
                <w:sz w:val="19"/>
              </w:rPr>
              <w:t>Rent spike in a single year (2021)</w:t>
            </w:r>
          </w:p>
        </w:tc>
        <w:tc>
          <w:tcPr>
            <w:tcW w:w="2592" w:type="dxa"/>
            <w:tcBorders>
              <w:top w:val="single" w:sz="4" w:space="0" w:color="B8D8E8"/>
              <w:left w:val="single" w:sz="4" w:space="0" w:color="B8D8E8"/>
              <w:bottom w:val="single" w:sz="4" w:space="0" w:color="B8D8E8"/>
              <w:right w:val="single" w:sz="4" w:space="0" w:color="B8D8E8"/>
            </w:tcBorders>
            <w:shd w:val="clear" w:color="auto" w:fill="E8F4F8"/>
          </w:tcPr>
          <w:p w:rsidR="00A64F45" w:rsidRDefault="00000000">
            <w:pPr>
              <w:spacing w:before="60" w:after="60"/>
            </w:pPr>
            <w:r>
              <w:rPr>
                <w:rFonts w:ascii="Calibri" w:hAnsi="Calibri"/>
                <w:b/>
                <w:color w:val="E68A00"/>
                <w:sz w:val="19"/>
              </w:rPr>
              <w:t>Income needed jumped $8,920 in one year</w:t>
            </w:r>
          </w:p>
        </w:tc>
        <w:tc>
          <w:tcPr>
            <w:tcW w:w="4176" w:type="dxa"/>
            <w:tcBorders>
              <w:top w:val="single" w:sz="4" w:space="0" w:color="B8D8E8"/>
              <w:left w:val="single" w:sz="4" w:space="0" w:color="B8D8E8"/>
              <w:bottom w:val="single" w:sz="4" w:space="0" w:color="B8D8E8"/>
              <w:right w:val="single" w:sz="4" w:space="0" w:color="B8D8E8"/>
            </w:tcBorders>
            <w:shd w:val="clear" w:color="auto" w:fill="E8F4F8"/>
          </w:tcPr>
          <w:p w:rsidR="00A64F45" w:rsidRDefault="00000000">
            <w:pPr>
              <w:spacing w:before="60" w:after="60"/>
            </w:pPr>
            <w:r>
              <w:rPr>
                <w:rFonts w:ascii="Calibri" w:hAnsi="Calibri"/>
                <w:color w:val="1A1A2E"/>
                <w:sz w:val="19"/>
              </w:rPr>
              <w:t>Largest single-year affordability shock in the dataset — rents jumped $223/month while incomes barely moved.</w:t>
            </w:r>
          </w:p>
        </w:tc>
      </w:tr>
      <w:tr w:rsidR="00A64F45">
        <w:tc>
          <w:tcPr>
            <w:tcW w:w="3024" w:type="dxa"/>
            <w:tcBorders>
              <w:top w:val="single" w:sz="4" w:space="0" w:color="B8D8E8"/>
              <w:left w:val="single" w:sz="4" w:space="0" w:color="B8D8E8"/>
              <w:bottom w:val="single" w:sz="4" w:space="0" w:color="B8D8E8"/>
              <w:right w:val="single" w:sz="4" w:space="0" w:color="B8D8E8"/>
            </w:tcBorders>
            <w:shd w:val="clear" w:color="auto" w:fill="F7FBFD"/>
          </w:tcPr>
          <w:p w:rsidR="00A64F45" w:rsidRDefault="00000000">
            <w:pPr>
              <w:spacing w:before="60" w:after="60"/>
            </w:pPr>
            <w:r>
              <w:rPr>
                <w:rFonts w:ascii="Calibri" w:hAnsi="Calibri"/>
                <w:b/>
                <w:color w:val="1B3A6B"/>
                <w:sz w:val="19"/>
              </w:rPr>
              <w:t>Collapse in entry-level home sales</w:t>
            </w:r>
          </w:p>
        </w:tc>
        <w:tc>
          <w:tcPr>
            <w:tcW w:w="2592" w:type="dxa"/>
            <w:tcBorders>
              <w:top w:val="single" w:sz="4" w:space="0" w:color="B8D8E8"/>
              <w:left w:val="single" w:sz="4" w:space="0" w:color="B8D8E8"/>
              <w:bottom w:val="single" w:sz="4" w:space="0" w:color="B8D8E8"/>
              <w:right w:val="single" w:sz="4" w:space="0" w:color="B8D8E8"/>
            </w:tcBorders>
            <w:shd w:val="clear" w:color="auto" w:fill="F7FBFD"/>
          </w:tcPr>
          <w:p w:rsidR="00A64F45" w:rsidRDefault="00000000">
            <w:pPr>
              <w:spacing w:before="60" w:after="60"/>
            </w:pPr>
            <w:r>
              <w:rPr>
                <w:rFonts w:ascii="Calibri" w:hAnsi="Calibri"/>
                <w:b/>
                <w:color w:val="E68A00"/>
                <w:sz w:val="19"/>
              </w:rPr>
              <w:t>Under-$250K homes: 28.6% of sales (2018)  →  3.1% (2022)  =  89% drop</w:t>
            </w:r>
          </w:p>
        </w:tc>
        <w:tc>
          <w:tcPr>
            <w:tcW w:w="4176" w:type="dxa"/>
            <w:tcBorders>
              <w:top w:val="single" w:sz="4" w:space="0" w:color="B8D8E8"/>
              <w:left w:val="single" w:sz="4" w:space="0" w:color="B8D8E8"/>
              <w:bottom w:val="single" w:sz="4" w:space="0" w:color="B8D8E8"/>
              <w:right w:val="single" w:sz="4" w:space="0" w:color="B8D8E8"/>
            </w:tcBorders>
            <w:shd w:val="clear" w:color="auto" w:fill="F7FBFD"/>
          </w:tcPr>
          <w:p w:rsidR="00A64F45" w:rsidRDefault="00000000">
            <w:pPr>
              <w:spacing w:before="60" w:after="60"/>
            </w:pPr>
            <w:r>
              <w:rPr>
                <w:rFonts w:ascii="Calibri" w:hAnsi="Calibri"/>
                <w:color w:val="1A1A2E"/>
                <w:sz w:val="19"/>
              </w:rPr>
              <w:t>First-time buyers were essentially priced out of the Wake County market in just 4 years.</w:t>
            </w:r>
          </w:p>
        </w:tc>
      </w:tr>
      <w:tr w:rsidR="00A64F45">
        <w:tc>
          <w:tcPr>
            <w:tcW w:w="3024" w:type="dxa"/>
            <w:tcBorders>
              <w:top w:val="single" w:sz="4" w:space="0" w:color="B8D8E8"/>
              <w:left w:val="single" w:sz="4" w:space="0" w:color="B8D8E8"/>
              <w:bottom w:val="single" w:sz="4" w:space="0" w:color="B8D8E8"/>
              <w:right w:val="single" w:sz="4" w:space="0" w:color="B8D8E8"/>
            </w:tcBorders>
            <w:shd w:val="clear" w:color="auto" w:fill="E8F4F8"/>
          </w:tcPr>
          <w:p w:rsidR="00A64F45" w:rsidRDefault="00000000">
            <w:pPr>
              <w:spacing w:before="60" w:after="60"/>
            </w:pPr>
            <w:r>
              <w:rPr>
                <w:rFonts w:ascii="Calibri" w:hAnsi="Calibri"/>
                <w:b/>
                <w:color w:val="1B3A6B"/>
                <w:sz w:val="19"/>
              </w:rPr>
              <w:t>New income bands pushed into housing crisis</w:t>
            </w:r>
          </w:p>
        </w:tc>
        <w:tc>
          <w:tcPr>
            <w:tcW w:w="2592" w:type="dxa"/>
            <w:tcBorders>
              <w:top w:val="single" w:sz="4" w:space="0" w:color="B8D8E8"/>
              <w:left w:val="single" w:sz="4" w:space="0" w:color="B8D8E8"/>
              <w:bottom w:val="single" w:sz="4" w:space="0" w:color="B8D8E8"/>
              <w:right w:val="single" w:sz="4" w:space="0" w:color="B8D8E8"/>
            </w:tcBorders>
            <w:shd w:val="clear" w:color="auto" w:fill="E8F4F8"/>
          </w:tcPr>
          <w:p w:rsidR="00A64F45" w:rsidRDefault="00000000">
            <w:pPr>
              <w:spacing w:before="60" w:after="60"/>
            </w:pPr>
            <w:r>
              <w:rPr>
                <w:rFonts w:ascii="Calibri" w:hAnsi="Calibri"/>
                <w:b/>
                <w:color w:val="E68A00"/>
                <w:sz w:val="19"/>
              </w:rPr>
              <w:t>$35K–$50K cost burden: 89%  |  $50K–$75K: 56%</w:t>
            </w:r>
          </w:p>
        </w:tc>
        <w:tc>
          <w:tcPr>
            <w:tcW w:w="4176" w:type="dxa"/>
            <w:tcBorders>
              <w:top w:val="single" w:sz="4" w:space="0" w:color="B8D8E8"/>
              <w:left w:val="single" w:sz="4" w:space="0" w:color="B8D8E8"/>
              <w:bottom w:val="single" w:sz="4" w:space="0" w:color="B8D8E8"/>
              <w:right w:val="single" w:sz="4" w:space="0" w:color="B8D8E8"/>
            </w:tcBorders>
            <w:shd w:val="clear" w:color="auto" w:fill="E8F4F8"/>
          </w:tcPr>
          <w:p w:rsidR="00A64F45" w:rsidRDefault="00000000">
            <w:pPr>
              <w:spacing w:before="60" w:after="60"/>
            </w:pPr>
            <w:r>
              <w:rPr>
                <w:rFonts w:ascii="Calibri" w:hAnsi="Calibri"/>
                <w:color w:val="1A1A2E"/>
                <w:sz w:val="19"/>
              </w:rPr>
              <w:t>The affordability crisis is no longer just a low-income problem — it has moved up the income ladder.</w:t>
            </w:r>
          </w:p>
        </w:tc>
      </w:tr>
      <w:tr w:rsidR="00A64F45">
        <w:tc>
          <w:tcPr>
            <w:tcW w:w="3024" w:type="dxa"/>
            <w:tcBorders>
              <w:top w:val="single" w:sz="4" w:space="0" w:color="B8D8E8"/>
              <w:left w:val="single" w:sz="4" w:space="0" w:color="B8D8E8"/>
              <w:bottom w:val="single" w:sz="4" w:space="0" w:color="B8D8E8"/>
              <w:right w:val="single" w:sz="4" w:space="0" w:color="B8D8E8"/>
            </w:tcBorders>
            <w:shd w:val="clear" w:color="auto" w:fill="F7FBFD"/>
          </w:tcPr>
          <w:p w:rsidR="00A64F45" w:rsidRDefault="00000000">
            <w:pPr>
              <w:spacing w:before="60" w:after="60"/>
            </w:pPr>
            <w:r>
              <w:rPr>
                <w:rFonts w:ascii="Calibri" w:hAnsi="Calibri"/>
                <w:b/>
                <w:color w:val="1B3A6B"/>
                <w:sz w:val="19"/>
              </w:rPr>
              <w:t>Vacancy rate in Wake County (2024)</w:t>
            </w:r>
          </w:p>
        </w:tc>
        <w:tc>
          <w:tcPr>
            <w:tcW w:w="2592" w:type="dxa"/>
            <w:tcBorders>
              <w:top w:val="single" w:sz="4" w:space="0" w:color="B8D8E8"/>
              <w:left w:val="single" w:sz="4" w:space="0" w:color="B8D8E8"/>
              <w:bottom w:val="single" w:sz="4" w:space="0" w:color="B8D8E8"/>
              <w:right w:val="single" w:sz="4" w:space="0" w:color="B8D8E8"/>
            </w:tcBorders>
            <w:shd w:val="clear" w:color="auto" w:fill="F7FBFD"/>
          </w:tcPr>
          <w:p w:rsidR="00A64F45" w:rsidRDefault="00000000">
            <w:pPr>
              <w:spacing w:before="60" w:after="60"/>
            </w:pPr>
            <w:r>
              <w:rPr>
                <w:rFonts w:ascii="Calibri" w:hAnsi="Calibri"/>
                <w:b/>
                <w:color w:val="E68A00"/>
                <w:sz w:val="19"/>
              </w:rPr>
              <w:t>3.72%  (healthy benchmark = 5%)</w:t>
            </w:r>
          </w:p>
        </w:tc>
        <w:tc>
          <w:tcPr>
            <w:tcW w:w="4176" w:type="dxa"/>
            <w:tcBorders>
              <w:top w:val="single" w:sz="4" w:space="0" w:color="B8D8E8"/>
              <w:left w:val="single" w:sz="4" w:space="0" w:color="B8D8E8"/>
              <w:bottom w:val="single" w:sz="4" w:space="0" w:color="B8D8E8"/>
              <w:right w:val="single" w:sz="4" w:space="0" w:color="B8D8E8"/>
            </w:tcBorders>
            <w:shd w:val="clear" w:color="auto" w:fill="F7FBFD"/>
          </w:tcPr>
          <w:p w:rsidR="00A64F45" w:rsidRDefault="00000000">
            <w:pPr>
              <w:spacing w:before="60" w:after="60"/>
            </w:pPr>
            <w:r>
              <w:rPr>
                <w:rFonts w:ascii="Calibri" w:hAnsi="Calibri"/>
                <w:color w:val="1A1A2E"/>
                <w:sz w:val="19"/>
              </w:rPr>
              <w:t>When vacancy is this low, landlords can raise rents freely — this directly drives cost burden higher.</w:t>
            </w:r>
          </w:p>
        </w:tc>
      </w:tr>
      <w:tr w:rsidR="00A64F45">
        <w:tc>
          <w:tcPr>
            <w:tcW w:w="3024" w:type="dxa"/>
            <w:tcBorders>
              <w:top w:val="single" w:sz="4" w:space="0" w:color="B8D8E8"/>
              <w:left w:val="single" w:sz="4" w:space="0" w:color="B8D8E8"/>
              <w:bottom w:val="single" w:sz="4" w:space="0" w:color="B8D8E8"/>
              <w:right w:val="single" w:sz="4" w:space="0" w:color="B8D8E8"/>
            </w:tcBorders>
            <w:shd w:val="clear" w:color="auto" w:fill="E8F4F8"/>
          </w:tcPr>
          <w:p w:rsidR="00A64F45" w:rsidRDefault="00000000">
            <w:pPr>
              <w:spacing w:before="60" w:after="60"/>
            </w:pPr>
            <w:r>
              <w:rPr>
                <w:rFonts w:ascii="Calibri" w:hAnsi="Calibri"/>
                <w:b/>
                <w:color w:val="1B3A6B"/>
                <w:sz w:val="19"/>
              </w:rPr>
              <w:lastRenderedPageBreak/>
              <w:t>Total investment needed to close the &lt;$35K gap</w:t>
            </w:r>
          </w:p>
        </w:tc>
        <w:tc>
          <w:tcPr>
            <w:tcW w:w="2592" w:type="dxa"/>
            <w:tcBorders>
              <w:top w:val="single" w:sz="4" w:space="0" w:color="B8D8E8"/>
              <w:left w:val="single" w:sz="4" w:space="0" w:color="B8D8E8"/>
              <w:bottom w:val="single" w:sz="4" w:space="0" w:color="B8D8E8"/>
              <w:right w:val="single" w:sz="4" w:space="0" w:color="B8D8E8"/>
            </w:tcBorders>
            <w:shd w:val="clear" w:color="auto" w:fill="E8F4F8"/>
          </w:tcPr>
          <w:p w:rsidR="00A64F45" w:rsidRDefault="00000000">
            <w:pPr>
              <w:spacing w:before="60" w:after="60"/>
            </w:pPr>
            <w:r>
              <w:rPr>
                <w:rFonts w:ascii="Calibri" w:hAnsi="Calibri"/>
                <w:b/>
                <w:color w:val="E68A00"/>
                <w:sz w:val="19"/>
              </w:rPr>
              <w:t>$3.8 billion — same regardless of pace</w:t>
            </w:r>
          </w:p>
        </w:tc>
        <w:tc>
          <w:tcPr>
            <w:tcW w:w="4176" w:type="dxa"/>
            <w:tcBorders>
              <w:top w:val="single" w:sz="4" w:space="0" w:color="B8D8E8"/>
              <w:left w:val="single" w:sz="4" w:space="0" w:color="B8D8E8"/>
              <w:bottom w:val="single" w:sz="4" w:space="0" w:color="B8D8E8"/>
              <w:right w:val="single" w:sz="4" w:space="0" w:color="B8D8E8"/>
            </w:tcBorders>
            <w:shd w:val="clear" w:color="auto" w:fill="E8F4F8"/>
          </w:tcPr>
          <w:p w:rsidR="00A64F45" w:rsidRDefault="00000000">
            <w:pPr>
              <w:spacing w:before="60" w:after="60"/>
            </w:pPr>
            <w:r>
              <w:rPr>
                <w:rFonts w:ascii="Calibri" w:hAnsi="Calibri"/>
                <w:color w:val="1A1A2E"/>
                <w:sz w:val="19"/>
              </w:rPr>
              <w:t>Whether the gap closes in 8 years or 40 years, the total dollars needed are the same. Only the annual commitment (and urgency) changes.</w:t>
            </w:r>
          </w:p>
        </w:tc>
      </w:tr>
    </w:tbl>
    <w:p w:rsidR="00A64F45" w:rsidRDefault="00A64F45"/>
    <w:p w:rsidR="00A64F45" w:rsidRDefault="00000000">
      <w:pPr>
        <w:pBdr>
          <w:bottom w:val="single" w:sz="8" w:space="1" w:color="007A87"/>
        </w:pBdr>
        <w:spacing w:before="280" w:after="80"/>
      </w:pPr>
      <w:r>
        <w:rPr>
          <w:rFonts w:ascii="Calibri" w:hAnsi="Calibri"/>
          <w:b/>
          <w:color w:val="1B3A6B"/>
          <w:sz w:val="28"/>
        </w:rPr>
        <w:t>SECTION 3 — How the Dashboard Works  (Technical, Simple Terms)</w:t>
      </w:r>
    </w:p>
    <w:p w:rsidR="00A64F45" w:rsidRDefault="00000000">
      <w:pPr>
        <w:spacing w:before="160" w:after="40"/>
      </w:pPr>
      <w:r>
        <w:rPr>
          <w:rFonts w:ascii="Calibri" w:hAnsi="Calibri"/>
          <w:b/>
          <w:color w:val="007A87"/>
        </w:rPr>
        <w:t>Data Sources</w:t>
      </w:r>
    </w:p>
    <w:p w:rsidR="00A64F45" w:rsidRDefault="00000000">
      <w:pPr>
        <w:pStyle w:val="ListBullet"/>
        <w:spacing w:before="20" w:after="20"/>
        <w:ind w:left="504"/>
      </w:pPr>
      <w:r>
        <w:rPr>
          <w:rFonts w:ascii="Calibri" w:hAnsi="Calibri"/>
          <w:color w:val="1A1A2E"/>
          <w:sz w:val="21"/>
        </w:rPr>
        <w:t>Four Excel files from wakehousingdata.org covering: Rental Affordability, Homeownership, Demographics, and Housing Supply.</w:t>
      </w:r>
    </w:p>
    <w:p w:rsidR="00A64F45" w:rsidRDefault="00000000">
      <w:pPr>
        <w:pStyle w:val="ListBullet"/>
        <w:spacing w:before="20" w:after="20"/>
        <w:ind w:left="504"/>
      </w:pPr>
      <w:r>
        <w:rPr>
          <w:rFonts w:ascii="Calibri" w:hAnsi="Calibri"/>
          <w:color w:val="1A1A2E"/>
          <w:sz w:val="21"/>
        </w:rPr>
        <w:t>All numbers match Wake County's 2025 Annual Report benchmarks: 7,086 units produced to date, 660 units/year in FY2025, $18M annual investment, 2,500-unit production goal.</w:t>
      </w:r>
    </w:p>
    <w:p w:rsidR="00A64F45" w:rsidRDefault="00000000">
      <w:pPr>
        <w:spacing w:before="160" w:after="40"/>
      </w:pPr>
      <w:r>
        <w:rPr>
          <w:rFonts w:ascii="Calibri" w:hAnsi="Calibri"/>
          <w:b/>
          <w:color w:val="007A87"/>
        </w:rPr>
        <w:t>The Gap Formula</w:t>
      </w:r>
    </w:p>
    <w:p w:rsidR="00A64F45" w:rsidRDefault="00000000">
      <w:pPr>
        <w:pStyle w:val="ListBullet"/>
        <w:spacing w:before="20" w:after="20"/>
        <w:ind w:left="504"/>
      </w:pPr>
      <w:r>
        <w:rPr>
          <w:rFonts w:ascii="Calibri" w:hAnsi="Calibri"/>
          <w:color w:val="1A1A2E"/>
          <w:sz w:val="21"/>
        </w:rPr>
        <w:t>Gap = Affordable Units Available  MINUS  Renter Households at That Income Level.</w:t>
      </w:r>
    </w:p>
    <w:p w:rsidR="00A64F45" w:rsidRDefault="00000000">
      <w:pPr>
        <w:pStyle w:val="ListBullet"/>
        <w:spacing w:before="20" w:after="20"/>
        <w:ind w:left="504"/>
      </w:pPr>
      <w:r>
        <w:rPr>
          <w:rFonts w:ascii="Calibri" w:hAnsi="Calibri"/>
          <w:color w:val="1A1A2E"/>
          <w:sz w:val="21"/>
        </w:rPr>
        <w:t>A negative number means a shortage. Example: at the &lt;$35K band there are 26,037 fewer affordable units than renter households who need them.</w:t>
      </w:r>
    </w:p>
    <w:p w:rsidR="00A64F45" w:rsidRDefault="00000000">
      <w:pPr>
        <w:pStyle w:val="ListBullet"/>
        <w:spacing w:before="20" w:after="20"/>
        <w:ind w:left="504"/>
      </w:pPr>
      <w:r>
        <w:rPr>
          <w:rFonts w:ascii="Calibri" w:hAnsi="Calibri"/>
          <w:color w:val="1A1A2E"/>
          <w:sz w:val="21"/>
        </w:rPr>
        <w:t>Source: HUD's Worst Case Housing Needs methodology (affordable = unit where rent + utilities is 30% or less of gross income).</w:t>
      </w:r>
    </w:p>
    <w:p w:rsidR="00A64F45" w:rsidRDefault="00000000">
      <w:pPr>
        <w:spacing w:before="160" w:after="40"/>
      </w:pPr>
      <w:r>
        <w:rPr>
          <w:rFonts w:ascii="Calibri" w:hAnsi="Calibri"/>
          <w:b/>
          <w:color w:val="007A87"/>
        </w:rPr>
        <w:t>Years-to-Close Formula</w:t>
      </w:r>
    </w:p>
    <w:p w:rsidR="00A64F45" w:rsidRDefault="00000000">
      <w:pPr>
        <w:pStyle w:val="ListBullet"/>
        <w:spacing w:before="20" w:after="20"/>
        <w:ind w:left="504"/>
      </w:pPr>
      <w:r>
        <w:rPr>
          <w:rFonts w:ascii="Calibri" w:hAnsi="Calibri"/>
          <w:color w:val="1A1A2E"/>
          <w:sz w:val="21"/>
        </w:rPr>
        <w:t>Years to Close  =  Gap  ÷  (Annual Production  ×  % of units targeting that income band)</w:t>
      </w:r>
    </w:p>
    <w:p w:rsidR="00A64F45" w:rsidRDefault="00000000">
      <w:pPr>
        <w:pStyle w:val="ListBullet"/>
        <w:spacing w:before="20" w:after="20"/>
        <w:ind w:left="504"/>
      </w:pPr>
      <w:r>
        <w:rPr>
          <w:rFonts w:ascii="Calibri" w:hAnsi="Calibri"/>
          <w:color w:val="1A1A2E"/>
          <w:sz w:val="21"/>
        </w:rPr>
        <w:t>At current pace:  26,037  ÷  (660 × 1.0)  =  ~39.5 years</w:t>
      </w:r>
    </w:p>
    <w:p w:rsidR="00A64F45" w:rsidRDefault="00000000">
      <w:pPr>
        <w:pStyle w:val="ListBullet"/>
        <w:spacing w:before="20" w:after="20"/>
        <w:ind w:left="504"/>
      </w:pPr>
      <w:r>
        <w:rPr>
          <w:rFonts w:ascii="Calibri" w:hAnsi="Calibri"/>
          <w:color w:val="1A1A2E"/>
          <w:sz w:val="21"/>
        </w:rPr>
        <w:t>At 5× scale-up (3,300 units/year):  26,037  ÷  3,300  =  ~8 years</w:t>
      </w:r>
    </w:p>
    <w:p w:rsidR="00A64F45" w:rsidRDefault="00000000">
      <w:pPr>
        <w:spacing w:before="160" w:after="40"/>
      </w:pPr>
      <w:r>
        <w:rPr>
          <w:rFonts w:ascii="Calibri" w:hAnsi="Calibri"/>
          <w:b/>
          <w:color w:val="007A87"/>
        </w:rPr>
        <w:t>Scenario Planner (Tab 4)</w:t>
      </w:r>
    </w:p>
    <w:p w:rsidR="00A64F45" w:rsidRDefault="00000000">
      <w:pPr>
        <w:pStyle w:val="ListBullet"/>
        <w:spacing w:before="20" w:after="20"/>
        <w:ind w:left="504"/>
      </w:pPr>
      <w:r>
        <w:rPr>
          <w:rFonts w:ascii="Calibri" w:hAnsi="Calibri"/>
          <w:color w:val="1A1A2E"/>
          <w:sz w:val="21"/>
        </w:rPr>
        <w:t>4 named policy scenarios: Current Pace, 2× Scale-Up, 5× Scale-Up, and Targeted Deep Subsidy.</w:t>
      </w:r>
    </w:p>
    <w:p w:rsidR="00A64F45" w:rsidRDefault="00000000">
      <w:pPr>
        <w:pStyle w:val="ListBullet"/>
        <w:spacing w:before="20" w:after="20"/>
        <w:ind w:left="504"/>
      </w:pPr>
      <w:r>
        <w:rPr>
          <w:rFonts w:ascii="Calibri" w:hAnsi="Calibri"/>
          <w:color w:val="1A1A2E"/>
          <w:sz w:val="21"/>
        </w:rPr>
        <w:t>Key insight: The total cost ($3.8B) is the same no matter the pace — doubling production halves the timeline but does not change total spend. Only the annual commitment (and the urgency) differs.</w:t>
      </w:r>
    </w:p>
    <w:p w:rsidR="00A64F45" w:rsidRDefault="00000000">
      <w:pPr>
        <w:pStyle w:val="ListBullet"/>
        <w:spacing w:before="20" w:after="20"/>
        <w:ind w:left="504"/>
      </w:pPr>
      <w:r>
        <w:rPr>
          <w:rFonts w:ascii="Calibri" w:hAnsi="Calibri"/>
          <w:color w:val="1A1A2E"/>
          <w:sz w:val="21"/>
        </w:rPr>
        <w:t>A sensitivity table shows years-to-close for every income band across 7 different production rate options — giving planners an at-a-glance policy menu.</w:t>
      </w:r>
    </w:p>
    <w:p w:rsidR="00A64F45" w:rsidRDefault="00000000">
      <w:pPr>
        <w:pBdr>
          <w:bottom w:val="single" w:sz="8" w:space="1" w:color="007A87"/>
        </w:pBdr>
        <w:spacing w:before="280" w:after="80"/>
      </w:pPr>
      <w:r>
        <w:rPr>
          <w:rFonts w:ascii="Calibri" w:hAnsi="Calibri"/>
          <w:b/>
          <w:color w:val="1B3A6B"/>
          <w:sz w:val="28"/>
        </w:rPr>
        <w:t>SECTION 4 — How to Talk About This in the Interview</w:t>
      </w:r>
    </w:p>
    <w:p w:rsidR="00A64F45" w:rsidRDefault="00000000">
      <w:pPr>
        <w:spacing w:before="160" w:after="40"/>
      </w:pPr>
      <w:r>
        <w:rPr>
          <w:rFonts w:ascii="Calibri" w:hAnsi="Calibri"/>
          <w:b/>
          <w:color w:val="007A87"/>
        </w:rPr>
        <w:t>Opening Pitch  (when asked "tell me about a project you've done")</w:t>
      </w:r>
    </w:p>
    <w:p w:rsidR="00A64F45" w:rsidRDefault="00000000">
      <w:pPr>
        <w:shd w:val="clear" w:color="auto" w:fill="E8F4F8"/>
        <w:spacing w:before="80" w:after="160"/>
        <w:ind w:left="576" w:right="576"/>
      </w:pPr>
      <w:r>
        <w:rPr>
          <w:rFonts w:ascii="Calibri" w:hAnsi="Calibri"/>
          <w:i/>
          <w:color w:val="1A1A2E"/>
          <w:sz w:val="21"/>
        </w:rPr>
        <w:t>“I built an interactive dashboard using real Wake County HACR data from wakehousingdata.org. It maps the full affordable housing supply gap by income band, models policy scenarios showing how long it would take to close the gap under different investment levels, and exports data in a format compatible with HUD CAPER reporting. The headline finding is that Wake County is 26,037 units short for households earning under $35,000 — and at the current production pace, the gap won’t close until 2065.”</w:t>
      </w:r>
    </w:p>
    <w:p w:rsidR="00A64F45" w:rsidRDefault="00000000">
      <w:pPr>
        <w:spacing w:before="160" w:after="40"/>
      </w:pPr>
      <w:r>
        <w:rPr>
          <w:rFonts w:ascii="Calibri" w:hAnsi="Calibri"/>
          <w:b/>
          <w:color w:val="007A87"/>
        </w:rPr>
        <w:t>If Asked About Methodology</w:t>
      </w:r>
    </w:p>
    <w:p w:rsidR="00A64F45" w:rsidRDefault="00000000">
      <w:pPr>
        <w:pStyle w:val="ListBullet"/>
        <w:spacing w:before="20" w:after="20"/>
        <w:ind w:left="504"/>
      </w:pPr>
      <w:r>
        <w:rPr>
          <w:rFonts w:ascii="Calibri" w:hAnsi="Calibri"/>
          <w:color w:val="1A1A2E"/>
          <w:sz w:val="21"/>
        </w:rPr>
        <w:lastRenderedPageBreak/>
        <w:t>Used HUD's cost burden definition: a household is cost-burdened if they spend more than 30% of gross income on housing (24 CFR §5.609).</w:t>
      </w:r>
    </w:p>
    <w:p w:rsidR="00A64F45" w:rsidRDefault="00000000">
      <w:pPr>
        <w:pStyle w:val="ListBullet"/>
        <w:spacing w:before="20" w:after="20"/>
        <w:ind w:left="504"/>
      </w:pPr>
      <w:r>
        <w:rPr>
          <w:rFonts w:ascii="Calibri" w:hAnsi="Calibri"/>
          <w:color w:val="1A1A2E"/>
          <w:sz w:val="21"/>
        </w:rPr>
        <w:t>AMI = Area Median Income — HUD sets this annually for every metro area; it is the standard benchmark for affordable housing eligibility.</w:t>
      </w:r>
    </w:p>
    <w:p w:rsidR="00A64F45" w:rsidRDefault="00000000">
      <w:pPr>
        <w:pStyle w:val="ListBullet"/>
        <w:spacing w:before="20" w:after="20"/>
        <w:ind w:left="504"/>
      </w:pPr>
      <w:r>
        <w:rPr>
          <w:rFonts w:ascii="Calibri" w:hAnsi="Calibri"/>
          <w:color w:val="1A1A2E"/>
          <w:sz w:val="21"/>
        </w:rPr>
        <w:t>Gap calculation follows HUD's Worst Case Housing Needs methodology.</w:t>
      </w:r>
    </w:p>
    <w:p w:rsidR="00A64F45" w:rsidRDefault="00000000">
      <w:pPr>
        <w:pStyle w:val="ListBullet"/>
        <w:spacing w:before="20" w:after="20"/>
        <w:ind w:left="504"/>
      </w:pPr>
      <w:r>
        <w:rPr>
          <w:rFonts w:ascii="Calibri" w:hAnsi="Calibri"/>
          <w:color w:val="1A1A2E"/>
          <w:sz w:val="21"/>
        </w:rPr>
        <w:t>Production data sourced directly from HACR's FY2025 Annual Report.</w:t>
      </w:r>
    </w:p>
    <w:p w:rsidR="00A64F45" w:rsidRDefault="00000000">
      <w:pPr>
        <w:spacing w:before="160" w:after="40"/>
      </w:pPr>
      <w:r>
        <w:rPr>
          <w:rFonts w:ascii="Calibri" w:hAnsi="Calibri"/>
          <w:b/>
          <w:color w:val="007A87"/>
        </w:rPr>
        <w:t>If Asked "What Would You Improve or Do Next?"</w:t>
      </w:r>
    </w:p>
    <w:p w:rsidR="00A64F45" w:rsidRDefault="00000000">
      <w:pPr>
        <w:pStyle w:val="ListBullet"/>
        <w:spacing w:before="20" w:after="20"/>
        <w:ind w:left="504"/>
      </w:pPr>
      <w:r>
        <w:rPr>
          <w:rFonts w:ascii="Calibri" w:hAnsi="Calibri"/>
          <w:color w:val="1A1A2E"/>
          <w:sz w:val="21"/>
        </w:rPr>
        <w:t>Add census tract-level mapping to show which Wake County neighbourhoods have the worst shortage (geographic equity lens).</w:t>
      </w:r>
    </w:p>
    <w:p w:rsidR="00A64F45" w:rsidRDefault="00000000">
      <w:pPr>
        <w:pStyle w:val="ListBullet"/>
        <w:spacing w:before="20" w:after="20"/>
        <w:ind w:left="504"/>
      </w:pPr>
      <w:r>
        <w:rPr>
          <w:rFonts w:ascii="Calibri" w:hAnsi="Calibri"/>
          <w:color w:val="1A1A2E"/>
          <w:sz w:val="21"/>
        </w:rPr>
        <w:t>Layer in race and ethnicity data — the homeownership data shows Black households own at 45.5% vs 71.4% for White households in Wake County; that disparity deserves a dedicated view.</w:t>
      </w:r>
    </w:p>
    <w:p w:rsidR="00A64F45" w:rsidRDefault="00000000">
      <w:pPr>
        <w:pStyle w:val="ListBullet"/>
        <w:spacing w:before="20" w:after="20"/>
        <w:ind w:left="504"/>
      </w:pPr>
      <w:r>
        <w:rPr>
          <w:rFonts w:ascii="Calibri" w:hAnsi="Calibri"/>
          <w:color w:val="1A1A2E"/>
          <w:sz w:val="21"/>
        </w:rPr>
        <w:t>Connect to live HMIS data to show how homelessness outcomes correlate with the supply gap in real time.</w:t>
      </w:r>
    </w:p>
    <w:p w:rsidR="00A64F45" w:rsidRDefault="00000000">
      <w:pPr>
        <w:pStyle w:val="ListBullet"/>
        <w:spacing w:before="20" w:after="20"/>
        <w:ind w:left="504"/>
      </w:pPr>
      <w:r>
        <w:rPr>
          <w:rFonts w:ascii="Calibri" w:hAnsi="Calibri"/>
          <w:color w:val="1A1A2E"/>
          <w:sz w:val="21"/>
        </w:rPr>
        <w:t>Add a "what if" builder where HACR staff can input a new proposed development and instantly see its impact on the gap.</w:t>
      </w:r>
    </w:p>
    <w:p w:rsidR="00A64F45" w:rsidRDefault="00000000">
      <w:pPr>
        <w:spacing w:before="160" w:after="40"/>
      </w:pPr>
      <w:r>
        <w:rPr>
          <w:rFonts w:ascii="Calibri" w:hAnsi="Calibri"/>
          <w:b/>
          <w:color w:val="007A87"/>
        </w:rPr>
        <w:t>Key Terms to Use Naturally in the Interview</w:t>
      </w:r>
    </w:p>
    <w:p w:rsidR="00A64F45" w:rsidRDefault="00000000">
      <w:pPr>
        <w:pStyle w:val="ListBullet"/>
        <w:spacing w:before="20" w:after="20"/>
        <w:ind w:left="504"/>
      </w:pPr>
      <w:r>
        <w:rPr>
          <w:rFonts w:ascii="Calibri" w:hAnsi="Calibri"/>
          <w:b/>
          <w:color w:val="007A87"/>
          <w:sz w:val="21"/>
        </w:rPr>
        <w:t xml:space="preserve">"AMI band"  —  </w:t>
      </w:r>
      <w:r>
        <w:rPr>
          <w:rFonts w:ascii="Calibri" w:hAnsi="Calibri"/>
          <w:color w:val="1A1A2E"/>
          <w:sz w:val="21"/>
        </w:rPr>
        <w:t>Income tier expressed as a % of Area Median Income (e.g., 30% AMI, 50% AMI, 80% AMI).</w:t>
      </w:r>
    </w:p>
    <w:p w:rsidR="00A64F45" w:rsidRDefault="00000000">
      <w:pPr>
        <w:pStyle w:val="ListBullet"/>
        <w:spacing w:before="20" w:after="20"/>
        <w:ind w:left="504"/>
      </w:pPr>
      <w:r>
        <w:rPr>
          <w:rFonts w:ascii="Calibri" w:hAnsi="Calibri"/>
          <w:b/>
          <w:color w:val="007A87"/>
          <w:sz w:val="21"/>
        </w:rPr>
        <w:t xml:space="preserve">"Cost burden"  —  </w:t>
      </w:r>
      <w:r>
        <w:rPr>
          <w:rFonts w:ascii="Calibri" w:hAnsi="Calibri"/>
          <w:color w:val="1A1A2E"/>
          <w:sz w:val="21"/>
        </w:rPr>
        <w:t>Spending more than 30% of income on housing. "Severely cost burdened" means more than 50%.</w:t>
      </w:r>
    </w:p>
    <w:p w:rsidR="00A64F45" w:rsidRDefault="00000000">
      <w:pPr>
        <w:pStyle w:val="ListBullet"/>
        <w:spacing w:before="20" w:after="20"/>
        <w:ind w:left="504"/>
      </w:pPr>
      <w:r>
        <w:rPr>
          <w:rFonts w:ascii="Calibri" w:hAnsi="Calibri"/>
          <w:b/>
          <w:color w:val="007A87"/>
          <w:sz w:val="21"/>
        </w:rPr>
        <w:t xml:space="preserve">"CAPER"  —  </w:t>
      </w:r>
      <w:r>
        <w:rPr>
          <w:rFonts w:ascii="Calibri" w:hAnsi="Calibri"/>
          <w:color w:val="1A1A2E"/>
          <w:sz w:val="21"/>
        </w:rPr>
        <w:t>Consolidated Annual Performance and Evaluation Report — the federal report Wake County submits to HUD each year to account for grant spending.</w:t>
      </w:r>
    </w:p>
    <w:p w:rsidR="00A64F45" w:rsidRDefault="00000000">
      <w:pPr>
        <w:pStyle w:val="ListBullet"/>
        <w:spacing w:before="20" w:after="20"/>
        <w:ind w:left="504"/>
      </w:pPr>
      <w:r>
        <w:rPr>
          <w:rFonts w:ascii="Calibri" w:hAnsi="Calibri"/>
          <w:b/>
          <w:color w:val="007A87"/>
          <w:sz w:val="21"/>
        </w:rPr>
        <w:t xml:space="preserve">"Pipeline units"  —  </w:t>
      </w:r>
      <w:r>
        <w:rPr>
          <w:rFonts w:ascii="Calibri" w:hAnsi="Calibri"/>
          <w:color w:val="1A1A2E"/>
          <w:sz w:val="21"/>
        </w:rPr>
        <w:t>Affordable units that are approved but not yet built. Wake County had 1,532 in the pipeline as of FY2025.</w:t>
      </w:r>
    </w:p>
    <w:p w:rsidR="00A64F45" w:rsidRDefault="00000000">
      <w:pPr>
        <w:pStyle w:val="ListBullet"/>
        <w:spacing w:before="20" w:after="20"/>
        <w:ind w:left="504"/>
      </w:pPr>
      <w:r>
        <w:rPr>
          <w:rFonts w:ascii="Calibri" w:hAnsi="Calibri"/>
          <w:b/>
          <w:color w:val="007A87"/>
          <w:sz w:val="21"/>
        </w:rPr>
        <w:t xml:space="preserve">"LIHTC"  —  </w:t>
      </w:r>
      <w:r>
        <w:rPr>
          <w:rFonts w:ascii="Calibri" w:hAnsi="Calibri"/>
          <w:color w:val="1A1A2E"/>
          <w:sz w:val="21"/>
        </w:rPr>
        <w:t>Low Income Housing Tax Credit — the primary federal financing mechanism for affordable housing development.</w:t>
      </w:r>
    </w:p>
    <w:p w:rsidR="00A64F45" w:rsidRDefault="00000000">
      <w:pPr>
        <w:pBdr>
          <w:bottom w:val="single" w:sz="8" w:space="1" w:color="007A87"/>
        </w:pBdr>
        <w:spacing w:before="280" w:after="80"/>
      </w:pPr>
      <w:r>
        <w:rPr>
          <w:rFonts w:ascii="Calibri" w:hAnsi="Calibri"/>
          <w:b/>
          <w:color w:val="1B3A6B"/>
          <w:sz w:val="28"/>
        </w:rPr>
        <w:t>SECTION 5 — The 4 Excel Files: What's in Each One</w:t>
      </w:r>
    </w:p>
    <w:p w:rsidR="00A64F45" w:rsidRDefault="00000000">
      <w:pPr>
        <w:spacing w:before="160" w:after="40"/>
      </w:pPr>
      <w:r>
        <w:rPr>
          <w:rFonts w:ascii="Calibri" w:hAnsi="Calibri"/>
          <w:b/>
          <w:color w:val="007A87"/>
        </w:rPr>
        <w:t>1.  Rental Affordability</w:t>
      </w:r>
    </w:p>
    <w:p w:rsidR="00A64F45" w:rsidRDefault="00000000">
      <w:pPr>
        <w:pStyle w:val="ListBullet"/>
        <w:spacing w:before="20" w:after="20"/>
        <w:ind w:left="504"/>
      </w:pPr>
      <w:r>
        <w:rPr>
          <w:rFonts w:ascii="Calibri" w:hAnsi="Calibri"/>
          <w:color w:val="1A1A2E"/>
          <w:sz w:val="21"/>
        </w:rPr>
        <w:t>Median rent trends (2015–2024): Wake County rent rose from $1,104 to $1,648 — a 49% increase in 9 years.</w:t>
      </w:r>
    </w:p>
    <w:p w:rsidR="00A64F45" w:rsidRDefault="00000000">
      <w:pPr>
        <w:pStyle w:val="ListBullet"/>
        <w:spacing w:before="20" w:after="20"/>
        <w:ind w:left="504"/>
      </w:pPr>
      <w:r>
        <w:rPr>
          <w:rFonts w:ascii="Calibri" w:hAnsi="Calibri"/>
          <w:color w:val="1A1A2E"/>
          <w:sz w:val="21"/>
        </w:rPr>
        <w:t>Rental deficit/surplus by income band: 26,037-unit shortage at the &lt;$35K income level.</w:t>
      </w:r>
    </w:p>
    <w:p w:rsidR="00A64F45" w:rsidRDefault="00000000">
      <w:pPr>
        <w:pStyle w:val="ListBullet"/>
        <w:spacing w:before="20" w:after="20"/>
        <w:ind w:left="504"/>
      </w:pPr>
      <w:r>
        <w:rPr>
          <w:rFonts w:ascii="Calibri" w:hAnsi="Calibri"/>
          <w:color w:val="1A1A2E"/>
          <w:sz w:val="21"/>
        </w:rPr>
        <w:t>Renter cost burden by income: 96% of renters earning under $20K are cost-burdened in 2024.</w:t>
      </w:r>
    </w:p>
    <w:p w:rsidR="00A64F45" w:rsidRDefault="00000000">
      <w:pPr>
        <w:pStyle w:val="ListBullet"/>
        <w:spacing w:before="20" w:after="20"/>
        <w:ind w:left="504"/>
      </w:pPr>
      <w:r>
        <w:rPr>
          <w:rFonts w:ascii="Calibri" w:hAnsi="Calibri"/>
          <w:color w:val="1A1A2E"/>
          <w:sz w:val="21"/>
        </w:rPr>
        <w:t>Income vs. rent required: Renters needed $44,160 income to afford median rent in 2015; by 2024 that rose to $65,920.</w:t>
      </w:r>
    </w:p>
    <w:p w:rsidR="00A64F45" w:rsidRDefault="00000000">
      <w:pPr>
        <w:spacing w:before="160" w:after="40"/>
      </w:pPr>
      <w:r>
        <w:rPr>
          <w:rFonts w:ascii="Calibri" w:hAnsi="Calibri"/>
          <w:b/>
          <w:color w:val="007A87"/>
        </w:rPr>
        <w:t>2.  Homeownership</w:t>
      </w:r>
    </w:p>
    <w:p w:rsidR="00A64F45" w:rsidRDefault="00000000">
      <w:pPr>
        <w:pStyle w:val="ListBullet"/>
        <w:spacing w:before="20" w:after="20"/>
        <w:ind w:left="504"/>
      </w:pPr>
      <w:r>
        <w:rPr>
          <w:rFonts w:ascii="Calibri" w:hAnsi="Calibri"/>
          <w:color w:val="1A1A2E"/>
          <w:sz w:val="21"/>
        </w:rPr>
        <w:t>Median home value: Rose from $229,200 (2014) to $461,300 (2024) — doubled in 10 years.</w:t>
      </w:r>
    </w:p>
    <w:p w:rsidR="00A64F45" w:rsidRDefault="00000000">
      <w:pPr>
        <w:pStyle w:val="ListBullet"/>
        <w:spacing w:before="20" w:after="20"/>
        <w:ind w:left="504"/>
      </w:pPr>
      <w:r>
        <w:rPr>
          <w:rFonts w:ascii="Calibri" w:hAnsi="Calibri"/>
          <w:color w:val="1A1A2E"/>
          <w:sz w:val="21"/>
        </w:rPr>
        <w:t>Homeownership rate by race: Asian 72.0%  |  White 71.4%  |  Hispanic 49.9%  |  Black 45.5%.</w:t>
      </w:r>
    </w:p>
    <w:p w:rsidR="00A64F45" w:rsidRDefault="00000000">
      <w:pPr>
        <w:pStyle w:val="ListBullet"/>
        <w:spacing w:before="20" w:after="20"/>
        <w:ind w:left="504"/>
      </w:pPr>
      <w:r>
        <w:rPr>
          <w:rFonts w:ascii="Calibri" w:hAnsi="Calibri"/>
          <w:color w:val="1A1A2E"/>
          <w:sz w:val="21"/>
        </w:rPr>
        <w:t>Entry-level homes (&lt;$250K) collapsed from 28.6% of all sales in 2018 to just 3.1% in 2022.</w:t>
      </w:r>
    </w:p>
    <w:p w:rsidR="00A64F45" w:rsidRDefault="00000000">
      <w:pPr>
        <w:pStyle w:val="ListBullet"/>
        <w:spacing w:before="20" w:after="20"/>
        <w:ind w:left="504"/>
      </w:pPr>
      <w:r>
        <w:rPr>
          <w:rFonts w:ascii="Calibri" w:hAnsi="Calibri"/>
          <w:color w:val="1A1A2E"/>
          <w:sz w:val="21"/>
        </w:rPr>
        <w:lastRenderedPageBreak/>
        <w:t>Owner cost burden: 80.7% of homeowners earning under $20K are severely cost-burdened in 2024.</w:t>
      </w:r>
    </w:p>
    <w:p w:rsidR="00A64F45" w:rsidRDefault="00000000">
      <w:pPr>
        <w:spacing w:before="160" w:after="40"/>
      </w:pPr>
      <w:r>
        <w:rPr>
          <w:rFonts w:ascii="Calibri" w:hAnsi="Calibri"/>
          <w:b/>
          <w:color w:val="007A87"/>
        </w:rPr>
        <w:t>3.  Demographics</w:t>
      </w:r>
    </w:p>
    <w:p w:rsidR="00A64F45" w:rsidRDefault="00000000">
      <w:pPr>
        <w:pStyle w:val="ListBullet"/>
        <w:spacing w:before="20" w:after="20"/>
        <w:ind w:left="504"/>
      </w:pPr>
      <w:r>
        <w:rPr>
          <w:rFonts w:ascii="Calibri" w:hAnsi="Calibri"/>
          <w:color w:val="1A1A2E"/>
          <w:sz w:val="21"/>
        </w:rPr>
        <w:t>Wake County population: Grew from 1.02M (2015) to 1.26M (2025) — 22.8% growth in a decade.</w:t>
      </w:r>
    </w:p>
    <w:p w:rsidR="00A64F45" w:rsidRDefault="00000000">
      <w:pPr>
        <w:pStyle w:val="ListBullet"/>
        <w:spacing w:before="20" w:after="20"/>
        <w:ind w:left="504"/>
      </w:pPr>
      <w:r>
        <w:rPr>
          <w:rFonts w:ascii="Calibri" w:hAnsi="Calibri"/>
          <w:color w:val="1A1A2E"/>
          <w:sz w:val="21"/>
        </w:rPr>
        <w:t>Households earning under $35K fell by 23,176 between 2014 and 2024 — not because they got richer, but because they were priced out.</w:t>
      </w:r>
    </w:p>
    <w:p w:rsidR="00A64F45" w:rsidRDefault="00000000">
      <w:pPr>
        <w:pStyle w:val="ListBullet"/>
        <w:spacing w:before="20" w:after="20"/>
        <w:ind w:left="504"/>
      </w:pPr>
      <w:r>
        <w:rPr>
          <w:rFonts w:ascii="Calibri" w:hAnsi="Calibri"/>
          <w:color w:val="1A1A2E"/>
          <w:sz w:val="21"/>
        </w:rPr>
        <w:t>Income distribution shifted sharply: households earning $150K+ grew by 100,784; those under $75K shrank.</w:t>
      </w:r>
    </w:p>
    <w:p w:rsidR="00A64F45" w:rsidRDefault="00000000">
      <w:pPr>
        <w:pStyle w:val="ListBullet"/>
        <w:spacing w:before="20" w:after="20"/>
        <w:ind w:left="504"/>
      </w:pPr>
      <w:r>
        <w:rPr>
          <w:rFonts w:ascii="Calibri" w:hAnsi="Calibri"/>
          <w:color w:val="1A1A2E"/>
          <w:sz w:val="21"/>
        </w:rPr>
        <w:t>Racial composition of households: White 283,141  |  Black 88,430  |  Asian 33,593  |  Hispanic/Latino 38,091.</w:t>
      </w:r>
    </w:p>
    <w:p w:rsidR="00A64F45" w:rsidRDefault="00000000">
      <w:pPr>
        <w:spacing w:before="160" w:after="40"/>
      </w:pPr>
      <w:r>
        <w:rPr>
          <w:rFonts w:ascii="Calibri" w:hAnsi="Calibri"/>
          <w:b/>
          <w:color w:val="007A87"/>
        </w:rPr>
        <w:t>4.  Housing Supply</w:t>
      </w:r>
    </w:p>
    <w:p w:rsidR="00A64F45" w:rsidRDefault="00000000">
      <w:pPr>
        <w:pStyle w:val="ListBullet"/>
        <w:spacing w:before="20" w:after="20"/>
        <w:ind w:left="504"/>
      </w:pPr>
      <w:r>
        <w:rPr>
          <w:rFonts w:ascii="Calibri" w:hAnsi="Calibri"/>
          <w:color w:val="1A1A2E"/>
          <w:sz w:val="21"/>
        </w:rPr>
        <w:t>HACR has produced 7,086 affordable units to date (cumulative).</w:t>
      </w:r>
    </w:p>
    <w:p w:rsidR="00A64F45" w:rsidRDefault="00000000">
      <w:pPr>
        <w:pStyle w:val="ListBullet"/>
        <w:spacing w:before="20" w:after="20"/>
        <w:ind w:left="504"/>
      </w:pPr>
      <w:r>
        <w:rPr>
          <w:rFonts w:ascii="Calibri" w:hAnsi="Calibri"/>
          <w:color w:val="1A1A2E"/>
          <w:sz w:val="21"/>
        </w:rPr>
        <w:t>FY2025 production: 660 units delivered; goal was 2,500 units (achieved 2,065 including pipeline).</w:t>
      </w:r>
    </w:p>
    <w:p w:rsidR="00A64F45" w:rsidRDefault="00000000">
      <w:pPr>
        <w:pStyle w:val="ListBullet"/>
        <w:spacing w:before="20" w:after="20"/>
        <w:ind w:left="504"/>
      </w:pPr>
      <w:r>
        <w:rPr>
          <w:rFonts w:ascii="Calibri" w:hAnsi="Calibri"/>
          <w:color w:val="1A1A2E"/>
          <w:sz w:val="21"/>
        </w:rPr>
        <w:t>$18 million annual investment from Wake County into affordable housing.</w:t>
      </w:r>
    </w:p>
    <w:p w:rsidR="00A64F45" w:rsidRDefault="00000000">
      <w:pPr>
        <w:pStyle w:val="ListBullet"/>
        <w:spacing w:before="20" w:after="20"/>
        <w:ind w:left="504"/>
      </w:pPr>
      <w:r>
        <w:rPr>
          <w:rFonts w:ascii="Calibri" w:hAnsi="Calibri"/>
          <w:color w:val="1A1A2E"/>
          <w:sz w:val="21"/>
        </w:rPr>
        <w:t>Vacancy rate: 3.72% in 2024 — below the 5% benchmark considered healthy for a balanced market.</w:t>
      </w:r>
    </w:p>
    <w:p w:rsidR="00A64F45" w:rsidRDefault="00000000">
      <w:pPr>
        <w:pBdr>
          <w:bottom w:val="single" w:sz="8" w:space="1" w:color="007A87"/>
        </w:pBdr>
        <w:spacing w:before="280" w:after="80"/>
      </w:pPr>
      <w:r>
        <w:rPr>
          <w:rFonts w:ascii="Calibri" w:hAnsi="Calibri"/>
          <w:b/>
          <w:color w:val="1B3A6B"/>
          <w:sz w:val="28"/>
        </w:rPr>
        <w:t>SECTION 6 — What Makes This Project Stand Out</w:t>
      </w:r>
    </w:p>
    <w:p w:rsidR="00A64F45" w:rsidRDefault="00000000">
      <w:pPr>
        <w:pStyle w:val="ListBullet"/>
        <w:spacing w:before="20" w:after="20"/>
        <w:ind w:left="504"/>
      </w:pPr>
      <w:r>
        <w:rPr>
          <w:rFonts w:ascii="Calibri" w:hAnsi="Calibri"/>
          <w:color w:val="1A1A2E"/>
          <w:sz w:val="21"/>
        </w:rPr>
        <w:t>Uses real public data — not made-up numbers. Every figure matches HACR's own published reports and website.</w:t>
      </w:r>
    </w:p>
    <w:p w:rsidR="00A64F45" w:rsidRDefault="00000000">
      <w:pPr>
        <w:pStyle w:val="ListBullet"/>
        <w:spacing w:before="20" w:after="20"/>
        <w:ind w:left="504"/>
      </w:pPr>
      <w:r>
        <w:rPr>
          <w:rFonts w:ascii="Calibri" w:hAnsi="Calibri"/>
          <w:color w:val="1A1A2E"/>
          <w:sz w:val="21"/>
        </w:rPr>
        <w:t>Built in Python (Streamlit + Plotly) — demonstrates technical skill without needing a paid tool licence like Tableau or Power BI.</w:t>
      </w:r>
    </w:p>
    <w:p w:rsidR="00A64F45" w:rsidRDefault="00000000">
      <w:pPr>
        <w:pStyle w:val="ListBullet"/>
        <w:spacing w:before="20" w:after="20"/>
        <w:ind w:left="504"/>
      </w:pPr>
      <w:r>
        <w:rPr>
          <w:rFonts w:ascii="Calibri" w:hAnsi="Calibri"/>
          <w:color w:val="1A1A2E"/>
          <w:sz w:val="21"/>
        </w:rPr>
        <w:t>CAPER export feature — directly relevant to the job; shows awareness of federal reporting requirements that HACR staff deal with daily.</w:t>
      </w:r>
    </w:p>
    <w:p w:rsidR="00A64F45" w:rsidRDefault="00000000">
      <w:pPr>
        <w:pStyle w:val="ListBullet"/>
        <w:spacing w:before="20" w:after="20"/>
        <w:ind w:left="504"/>
      </w:pPr>
      <w:r>
        <w:rPr>
          <w:rFonts w:ascii="Calibri" w:hAnsi="Calibri"/>
          <w:color w:val="1A1A2E"/>
          <w:sz w:val="21"/>
        </w:rPr>
        <w:t>Scenario modelling — shows policy thinking, not just data display. The interviewer can change production rates and watch the timeline shift in real time.</w:t>
      </w:r>
    </w:p>
    <w:p w:rsidR="00A64F45" w:rsidRDefault="00000000">
      <w:pPr>
        <w:pStyle w:val="ListBullet"/>
        <w:spacing w:before="20" w:after="20"/>
        <w:ind w:left="504"/>
      </w:pPr>
      <w:r>
        <w:rPr>
          <w:rFonts w:ascii="Calibri" w:hAnsi="Calibri"/>
          <w:color w:val="1A1A2E"/>
          <w:sz w:val="21"/>
        </w:rPr>
        <w:t>The "39 years to close the gap" finding is a concrete, memorable statistic that connects data to urgency in a way any audience understands.</w:t>
      </w:r>
    </w:p>
    <w:p w:rsidR="00A64F45" w:rsidRDefault="00000000">
      <w:pPr>
        <w:pStyle w:val="ListBullet"/>
        <w:spacing w:before="20" w:after="20"/>
        <w:ind w:left="504"/>
      </w:pPr>
      <w:r>
        <w:rPr>
          <w:rFonts w:ascii="Calibri" w:hAnsi="Calibri"/>
          <w:color w:val="1A1A2E"/>
          <w:sz w:val="21"/>
        </w:rPr>
        <w:t>Fully interactive — the dashboard can be launched live on a laptop during the interview, showing rather than just telling.</w:t>
      </w:r>
    </w:p>
    <w:p w:rsidR="00A64F45" w:rsidRDefault="00A64F45"/>
    <w:p w:rsidR="00CE47B1" w:rsidRDefault="00000000" w:rsidP="00CE47B1">
      <w:pPr>
        <w:shd w:val="clear" w:color="auto" w:fill="1B3A6B"/>
        <w:jc w:val="center"/>
        <w:rPr>
          <w:rFonts w:ascii="Calibri" w:hAnsi="Calibri"/>
          <w:i/>
          <w:color w:val="FFFFFF"/>
          <w:sz w:val="16"/>
        </w:rPr>
      </w:pPr>
      <w:r>
        <w:rPr>
          <w:rFonts w:ascii="Calibri" w:hAnsi="Calibri"/>
          <w:i/>
          <w:color w:val="FFFFFF"/>
          <w:sz w:val="16"/>
        </w:rPr>
        <w:t xml:space="preserve">All data sourced from wakehousingdata.org (Wake County HACR Public Dashboard, downloaded April 2026).  Dashboard built April 2026 in Python 3.9 using Streamlit, </w:t>
      </w:r>
      <w:proofErr w:type="spellStart"/>
      <w:r>
        <w:rPr>
          <w:rFonts w:ascii="Calibri" w:hAnsi="Calibri"/>
          <w:i/>
          <w:color w:val="FFFFFF"/>
          <w:sz w:val="16"/>
        </w:rPr>
        <w:t>Plotly</w:t>
      </w:r>
      <w:proofErr w:type="spellEnd"/>
      <w:r>
        <w:rPr>
          <w:rFonts w:ascii="Calibri" w:hAnsi="Calibri"/>
          <w:i/>
          <w:color w:val="FFFFFF"/>
          <w:sz w:val="16"/>
        </w:rPr>
        <w:t xml:space="preserve">, pandas, and </w:t>
      </w:r>
      <w:proofErr w:type="spellStart"/>
      <w:r>
        <w:rPr>
          <w:rFonts w:ascii="Calibri" w:hAnsi="Calibri"/>
          <w:i/>
          <w:color w:val="FFFFFF"/>
          <w:sz w:val="16"/>
        </w:rPr>
        <w:t>openpyxl</w:t>
      </w:r>
      <w:proofErr w:type="spellEnd"/>
    </w:p>
    <w:p w:rsidR="00CE47B1" w:rsidRDefault="00CE47B1" w:rsidP="00CE47B1">
      <w:pPr>
        <w:rPr>
          <w:rFonts w:ascii="Calibri" w:hAnsi="Calibri"/>
          <w:i/>
          <w:color w:val="FFFFFF"/>
          <w:sz w:val="16"/>
        </w:rPr>
      </w:pPr>
    </w:p>
    <w:p w:rsidR="00CE47B1" w:rsidRDefault="00CE47B1" w:rsidP="00CE47B1">
      <w:pPr>
        <w:pStyle w:val="NormalWeb"/>
        <w:pBdr>
          <w:top w:val="single" w:sz="2" w:space="0" w:color="1F1F1E"/>
          <w:left w:val="single" w:sz="2" w:space="0" w:color="1F1F1E"/>
          <w:bottom w:val="single" w:sz="2" w:space="0" w:color="1F1F1E"/>
          <w:right w:val="single" w:sz="2" w:space="0" w:color="1F1F1E"/>
        </w:pBdr>
        <w:shd w:val="clear" w:color="auto" w:fill="FFFFFF"/>
        <w:spacing w:before="120" w:beforeAutospacing="0" w:after="0" w:afterAutospacing="0"/>
        <w:rPr>
          <w:rFonts w:ascii="Segoe UI" w:hAnsi="Segoe UI" w:cs="Segoe UI"/>
          <w:color w:val="121212"/>
          <w:sz w:val="21"/>
          <w:szCs w:val="21"/>
        </w:rPr>
      </w:pPr>
      <w:r>
        <w:rPr>
          <w:rStyle w:val="Strong"/>
          <w:rFonts w:ascii="Segoe UI" w:hAnsi="Segoe UI" w:cs="Segoe UI"/>
          <w:color w:val="121212"/>
          <w:sz w:val="21"/>
          <w:szCs w:val="21"/>
          <w:bdr w:val="single" w:sz="2" w:space="0" w:color="1F1F1E" w:frame="1"/>
        </w:rPr>
        <w:t>Population (2015–2025):</w:t>
      </w:r>
      <w:r>
        <w:rPr>
          <w:rFonts w:ascii="Segoe UI" w:hAnsi="Segoe UI" w:cs="Segoe UI"/>
          <w:color w:val="121212"/>
          <w:sz w:val="21"/>
          <w:szCs w:val="21"/>
        </w:rPr>
        <w:t> 1,023,620 → 1,257,235 — Wake grew </w:t>
      </w:r>
      <w:r>
        <w:rPr>
          <w:rStyle w:val="Strong"/>
          <w:rFonts w:ascii="Segoe UI" w:hAnsi="Segoe UI" w:cs="Segoe UI"/>
          <w:color w:val="121212"/>
          <w:sz w:val="21"/>
          <w:szCs w:val="21"/>
          <w:bdr w:val="single" w:sz="2" w:space="0" w:color="1F1F1E" w:frame="1"/>
        </w:rPr>
        <w:t>+22.8%</w:t>
      </w:r>
      <w:r>
        <w:rPr>
          <w:rFonts w:ascii="Segoe UI" w:hAnsi="Segoe UI" w:cs="Segoe UI"/>
          <w:color w:val="121212"/>
          <w:sz w:val="21"/>
          <w:szCs w:val="21"/>
        </w:rPr>
        <w:t> vs NC's +12.4%</w:t>
      </w:r>
    </w:p>
    <w:p w:rsidR="00CE47B1" w:rsidRDefault="00CE47B1" w:rsidP="00CE47B1">
      <w:pPr>
        <w:pStyle w:val="NormalWeb"/>
        <w:pBdr>
          <w:top w:val="single" w:sz="2" w:space="0" w:color="1F1F1E"/>
          <w:left w:val="single" w:sz="2" w:space="0" w:color="1F1F1E"/>
          <w:bottom w:val="single" w:sz="2" w:space="0" w:color="1F1F1E"/>
          <w:right w:val="single" w:sz="2" w:space="0" w:color="1F1F1E"/>
        </w:pBdr>
        <w:shd w:val="clear" w:color="auto" w:fill="FFFFFF"/>
        <w:spacing w:before="120" w:beforeAutospacing="0" w:after="0" w:afterAutospacing="0"/>
        <w:rPr>
          <w:rFonts w:ascii="Segoe UI" w:hAnsi="Segoe UI" w:cs="Segoe UI"/>
          <w:color w:val="121212"/>
          <w:sz w:val="21"/>
          <w:szCs w:val="21"/>
        </w:rPr>
      </w:pPr>
      <w:r>
        <w:rPr>
          <w:rStyle w:val="Strong"/>
          <w:rFonts w:ascii="Segoe UI" w:hAnsi="Segoe UI" w:cs="Segoe UI"/>
          <w:color w:val="121212"/>
          <w:sz w:val="21"/>
          <w:szCs w:val="21"/>
          <w:bdr w:val="single" w:sz="2" w:space="0" w:color="1F1F1E" w:frame="1"/>
        </w:rPr>
        <w:t>Median Household Income:</w:t>
      </w:r>
      <w:r>
        <w:rPr>
          <w:rFonts w:ascii="Segoe UI" w:hAnsi="Segoe UI" w:cs="Segoe UI"/>
          <w:color w:val="121212"/>
          <w:sz w:val="21"/>
          <w:szCs w:val="21"/>
        </w:rPr>
        <w:t> $66,579 (2014) → </w:t>
      </w:r>
      <w:r>
        <w:rPr>
          <w:rStyle w:val="Strong"/>
          <w:rFonts w:ascii="Segoe UI" w:hAnsi="Segoe UI" w:cs="Segoe UI"/>
          <w:color w:val="121212"/>
          <w:sz w:val="21"/>
          <w:szCs w:val="21"/>
          <w:bdr w:val="single" w:sz="2" w:space="0" w:color="1F1F1E" w:frame="1"/>
        </w:rPr>
        <w:t>$105,768 (2024)</w:t>
      </w:r>
      <w:r>
        <w:rPr>
          <w:rFonts w:ascii="Segoe UI" w:hAnsi="Segoe UI" w:cs="Segoe UI"/>
          <w:color w:val="121212"/>
          <w:sz w:val="21"/>
          <w:szCs w:val="21"/>
        </w:rPr>
        <w:t> — but this masks deep polarization:</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71"/>
        <w:gridCol w:w="2911"/>
      </w:tblGrid>
      <w:tr w:rsidR="00CE47B1">
        <w:trPr>
          <w:tblHeader/>
        </w:trPr>
        <w:tc>
          <w:tcPr>
            <w:tcW w:w="0" w:type="auto"/>
            <w:tcBorders>
              <w:top w:val="single" w:sz="2" w:space="0" w:color="auto"/>
              <w:left w:val="single" w:sz="2" w:space="0" w:color="auto"/>
              <w:bottom w:val="single" w:sz="2" w:space="0" w:color="auto"/>
              <w:right w:val="single" w:sz="6" w:space="0" w:color="auto"/>
            </w:tcBorders>
            <w:shd w:val="clear" w:color="auto" w:fill="F4F4F1"/>
            <w:vAlign w:val="center"/>
            <w:hideMark/>
          </w:tcPr>
          <w:p w:rsidR="00CE47B1" w:rsidRDefault="00CE47B1">
            <w:pPr>
              <w:rPr>
                <w:rFonts w:ascii="Times New Roman" w:hAnsi="Times New Roman" w:cs="Times New Roman"/>
                <w:b/>
                <w:bCs/>
                <w:color w:val="373734"/>
                <w:sz w:val="24"/>
                <w:szCs w:val="24"/>
              </w:rPr>
            </w:pPr>
            <w:r>
              <w:rPr>
                <w:b/>
                <w:bCs/>
                <w:color w:val="373734"/>
              </w:rPr>
              <w:t>Income Band</w:t>
            </w:r>
          </w:p>
        </w:tc>
        <w:tc>
          <w:tcPr>
            <w:tcW w:w="0" w:type="auto"/>
            <w:tcBorders>
              <w:top w:val="single" w:sz="2" w:space="0" w:color="auto"/>
              <w:left w:val="single" w:sz="2" w:space="0" w:color="auto"/>
              <w:bottom w:val="single" w:sz="2" w:space="0" w:color="auto"/>
              <w:right w:val="single" w:sz="2" w:space="0" w:color="auto"/>
            </w:tcBorders>
            <w:shd w:val="clear" w:color="auto" w:fill="F4F4F1"/>
            <w:vAlign w:val="center"/>
            <w:hideMark/>
          </w:tcPr>
          <w:p w:rsidR="00CE47B1" w:rsidRDefault="00CE47B1">
            <w:pPr>
              <w:rPr>
                <w:b/>
                <w:bCs/>
                <w:color w:val="373734"/>
              </w:rPr>
            </w:pPr>
            <w:r>
              <w:rPr>
                <w:b/>
                <w:bCs/>
                <w:color w:val="373734"/>
              </w:rPr>
              <w:t>Net HH Change (2014–2024)</w:t>
            </w:r>
          </w:p>
        </w:tc>
      </w:tr>
      <w:tr w:rsidR="00CE47B1">
        <w:tc>
          <w:tcPr>
            <w:tcW w:w="0" w:type="auto"/>
            <w:tcBorders>
              <w:top w:val="single" w:sz="2" w:space="0" w:color="auto"/>
              <w:left w:val="single" w:sz="2" w:space="0" w:color="auto"/>
              <w:bottom w:val="single" w:sz="2" w:space="0" w:color="auto"/>
              <w:right w:val="single" w:sz="6" w:space="0" w:color="auto"/>
            </w:tcBorders>
            <w:vAlign w:val="center"/>
            <w:hideMark/>
          </w:tcPr>
          <w:p w:rsidR="00CE47B1" w:rsidRDefault="00CE47B1">
            <w:pPr>
              <w:rPr>
                <w:color w:val="373734"/>
              </w:rPr>
            </w:pPr>
            <w:r>
              <w:rPr>
                <w:color w:val="373734"/>
              </w:rPr>
              <w:t>&lt; $20K</w:t>
            </w:r>
          </w:p>
        </w:tc>
        <w:tc>
          <w:tcPr>
            <w:tcW w:w="0" w:type="auto"/>
            <w:tcBorders>
              <w:top w:val="single" w:sz="2" w:space="0" w:color="auto"/>
              <w:left w:val="single" w:sz="2" w:space="0" w:color="auto"/>
              <w:bottom w:val="single" w:sz="2" w:space="0" w:color="auto"/>
              <w:right w:val="single" w:sz="2" w:space="0" w:color="auto"/>
            </w:tcBorders>
            <w:vAlign w:val="center"/>
            <w:hideMark/>
          </w:tcPr>
          <w:p w:rsidR="00CE47B1" w:rsidRDefault="00CE47B1">
            <w:pPr>
              <w:rPr>
                <w:color w:val="373734"/>
              </w:rPr>
            </w:pPr>
            <w:r>
              <w:rPr>
                <w:rStyle w:val="Strong"/>
                <w:color w:val="373734"/>
                <w:bdr w:val="single" w:sz="2" w:space="0" w:color="1F1F1E" w:frame="1"/>
              </w:rPr>
              <w:t>-9,976</w:t>
            </w:r>
          </w:p>
        </w:tc>
      </w:tr>
      <w:tr w:rsidR="00CE47B1">
        <w:tc>
          <w:tcPr>
            <w:tcW w:w="0" w:type="auto"/>
            <w:tcBorders>
              <w:top w:val="single" w:sz="2" w:space="0" w:color="auto"/>
              <w:left w:val="single" w:sz="2" w:space="0" w:color="auto"/>
              <w:bottom w:val="single" w:sz="2" w:space="0" w:color="auto"/>
              <w:right w:val="single" w:sz="6" w:space="0" w:color="auto"/>
            </w:tcBorders>
            <w:vAlign w:val="center"/>
            <w:hideMark/>
          </w:tcPr>
          <w:p w:rsidR="00CE47B1" w:rsidRDefault="00CE47B1">
            <w:pPr>
              <w:rPr>
                <w:color w:val="373734"/>
              </w:rPr>
            </w:pPr>
            <w:r>
              <w:rPr>
                <w:color w:val="373734"/>
              </w:rPr>
              <w:lastRenderedPageBreak/>
              <w:t>$20K–$35K</w:t>
            </w:r>
          </w:p>
        </w:tc>
        <w:tc>
          <w:tcPr>
            <w:tcW w:w="0" w:type="auto"/>
            <w:tcBorders>
              <w:top w:val="single" w:sz="2" w:space="0" w:color="auto"/>
              <w:left w:val="single" w:sz="2" w:space="0" w:color="auto"/>
              <w:bottom w:val="single" w:sz="2" w:space="0" w:color="auto"/>
              <w:right w:val="single" w:sz="2" w:space="0" w:color="auto"/>
            </w:tcBorders>
            <w:vAlign w:val="center"/>
            <w:hideMark/>
          </w:tcPr>
          <w:p w:rsidR="00CE47B1" w:rsidRDefault="00CE47B1">
            <w:pPr>
              <w:rPr>
                <w:color w:val="373734"/>
              </w:rPr>
            </w:pPr>
            <w:r>
              <w:rPr>
                <w:rStyle w:val="Strong"/>
                <w:color w:val="373734"/>
                <w:bdr w:val="single" w:sz="2" w:space="0" w:color="1F1F1E" w:frame="1"/>
              </w:rPr>
              <w:t>-13,200</w:t>
            </w:r>
          </w:p>
        </w:tc>
      </w:tr>
      <w:tr w:rsidR="00CE47B1">
        <w:tc>
          <w:tcPr>
            <w:tcW w:w="0" w:type="auto"/>
            <w:tcBorders>
              <w:top w:val="single" w:sz="2" w:space="0" w:color="auto"/>
              <w:left w:val="single" w:sz="2" w:space="0" w:color="auto"/>
              <w:bottom w:val="single" w:sz="2" w:space="0" w:color="auto"/>
              <w:right w:val="single" w:sz="6" w:space="0" w:color="auto"/>
            </w:tcBorders>
            <w:vAlign w:val="center"/>
            <w:hideMark/>
          </w:tcPr>
          <w:p w:rsidR="00CE47B1" w:rsidRDefault="00CE47B1">
            <w:pPr>
              <w:rPr>
                <w:color w:val="373734"/>
              </w:rPr>
            </w:pPr>
            <w:r>
              <w:rPr>
                <w:color w:val="373734"/>
              </w:rPr>
              <w:t>$35K–$50K</w:t>
            </w:r>
          </w:p>
        </w:tc>
        <w:tc>
          <w:tcPr>
            <w:tcW w:w="0" w:type="auto"/>
            <w:tcBorders>
              <w:top w:val="single" w:sz="2" w:space="0" w:color="auto"/>
              <w:left w:val="single" w:sz="2" w:space="0" w:color="auto"/>
              <w:bottom w:val="single" w:sz="2" w:space="0" w:color="auto"/>
              <w:right w:val="single" w:sz="2" w:space="0" w:color="auto"/>
            </w:tcBorders>
            <w:vAlign w:val="center"/>
            <w:hideMark/>
          </w:tcPr>
          <w:p w:rsidR="00CE47B1" w:rsidRDefault="00CE47B1">
            <w:pPr>
              <w:rPr>
                <w:color w:val="373734"/>
              </w:rPr>
            </w:pPr>
            <w:r>
              <w:rPr>
                <w:rStyle w:val="Strong"/>
                <w:color w:val="373734"/>
                <w:bdr w:val="single" w:sz="2" w:space="0" w:color="1F1F1E" w:frame="1"/>
              </w:rPr>
              <w:t>-7,177</w:t>
            </w:r>
          </w:p>
        </w:tc>
      </w:tr>
      <w:tr w:rsidR="00CE47B1">
        <w:tc>
          <w:tcPr>
            <w:tcW w:w="0" w:type="auto"/>
            <w:tcBorders>
              <w:top w:val="single" w:sz="2" w:space="0" w:color="auto"/>
              <w:left w:val="single" w:sz="2" w:space="0" w:color="auto"/>
              <w:bottom w:val="single" w:sz="2" w:space="0" w:color="auto"/>
              <w:right w:val="single" w:sz="6" w:space="0" w:color="auto"/>
            </w:tcBorders>
            <w:vAlign w:val="center"/>
            <w:hideMark/>
          </w:tcPr>
          <w:p w:rsidR="00CE47B1" w:rsidRDefault="00CE47B1">
            <w:pPr>
              <w:rPr>
                <w:color w:val="373734"/>
              </w:rPr>
            </w:pPr>
            <w:r>
              <w:rPr>
                <w:color w:val="373734"/>
              </w:rPr>
              <w:t>$75K–$100K</w:t>
            </w:r>
          </w:p>
        </w:tc>
        <w:tc>
          <w:tcPr>
            <w:tcW w:w="0" w:type="auto"/>
            <w:tcBorders>
              <w:top w:val="single" w:sz="2" w:space="0" w:color="auto"/>
              <w:left w:val="single" w:sz="2" w:space="0" w:color="auto"/>
              <w:bottom w:val="single" w:sz="2" w:space="0" w:color="auto"/>
              <w:right w:val="single" w:sz="2" w:space="0" w:color="auto"/>
            </w:tcBorders>
            <w:vAlign w:val="center"/>
            <w:hideMark/>
          </w:tcPr>
          <w:p w:rsidR="00CE47B1" w:rsidRDefault="00CE47B1">
            <w:pPr>
              <w:rPr>
                <w:color w:val="373734"/>
              </w:rPr>
            </w:pPr>
            <w:r>
              <w:rPr>
                <w:color w:val="373734"/>
              </w:rPr>
              <w:t>+7,043</w:t>
            </w:r>
          </w:p>
        </w:tc>
      </w:tr>
      <w:tr w:rsidR="00CE47B1">
        <w:tc>
          <w:tcPr>
            <w:tcW w:w="0" w:type="auto"/>
            <w:tcBorders>
              <w:top w:val="single" w:sz="2" w:space="0" w:color="auto"/>
              <w:left w:val="single" w:sz="2" w:space="0" w:color="auto"/>
              <w:bottom w:val="single" w:sz="2" w:space="0" w:color="auto"/>
              <w:right w:val="single" w:sz="6" w:space="0" w:color="auto"/>
            </w:tcBorders>
            <w:vAlign w:val="center"/>
            <w:hideMark/>
          </w:tcPr>
          <w:p w:rsidR="00CE47B1" w:rsidRDefault="00CE47B1">
            <w:pPr>
              <w:rPr>
                <w:color w:val="373734"/>
              </w:rPr>
            </w:pPr>
            <w:r>
              <w:rPr>
                <w:color w:val="373734"/>
              </w:rPr>
              <w:t>$100K–$150K</w:t>
            </w:r>
          </w:p>
        </w:tc>
        <w:tc>
          <w:tcPr>
            <w:tcW w:w="0" w:type="auto"/>
            <w:tcBorders>
              <w:top w:val="single" w:sz="2" w:space="0" w:color="auto"/>
              <w:left w:val="single" w:sz="2" w:space="0" w:color="auto"/>
              <w:bottom w:val="single" w:sz="2" w:space="0" w:color="auto"/>
              <w:right w:val="single" w:sz="2" w:space="0" w:color="auto"/>
            </w:tcBorders>
            <w:vAlign w:val="center"/>
            <w:hideMark/>
          </w:tcPr>
          <w:p w:rsidR="00CE47B1" w:rsidRDefault="00CE47B1">
            <w:pPr>
              <w:rPr>
                <w:color w:val="373734"/>
              </w:rPr>
            </w:pPr>
            <w:r>
              <w:rPr>
                <w:color w:val="373734"/>
              </w:rPr>
              <w:t>+28,585</w:t>
            </w:r>
          </w:p>
        </w:tc>
      </w:tr>
      <w:tr w:rsidR="00CE47B1">
        <w:tc>
          <w:tcPr>
            <w:tcW w:w="0" w:type="auto"/>
            <w:tcBorders>
              <w:top w:val="single" w:sz="2" w:space="0" w:color="auto"/>
              <w:left w:val="single" w:sz="2" w:space="0" w:color="auto"/>
              <w:bottom w:val="single" w:sz="2" w:space="0" w:color="auto"/>
              <w:right w:val="single" w:sz="6" w:space="0" w:color="auto"/>
            </w:tcBorders>
            <w:vAlign w:val="center"/>
            <w:hideMark/>
          </w:tcPr>
          <w:p w:rsidR="00CE47B1" w:rsidRDefault="00CE47B1">
            <w:pPr>
              <w:rPr>
                <w:color w:val="373734"/>
              </w:rPr>
            </w:pPr>
            <w:r>
              <w:rPr>
                <w:rStyle w:val="Strong"/>
                <w:color w:val="373734"/>
                <w:bdr w:val="single" w:sz="2" w:space="0" w:color="1F1F1E" w:frame="1"/>
              </w:rPr>
              <w:t>$150K+</w:t>
            </w:r>
          </w:p>
        </w:tc>
        <w:tc>
          <w:tcPr>
            <w:tcW w:w="0" w:type="auto"/>
            <w:tcBorders>
              <w:top w:val="single" w:sz="2" w:space="0" w:color="auto"/>
              <w:left w:val="single" w:sz="2" w:space="0" w:color="auto"/>
              <w:bottom w:val="single" w:sz="2" w:space="0" w:color="auto"/>
              <w:right w:val="single" w:sz="2" w:space="0" w:color="auto"/>
            </w:tcBorders>
            <w:vAlign w:val="center"/>
            <w:hideMark/>
          </w:tcPr>
          <w:p w:rsidR="00CE47B1" w:rsidRDefault="00CE47B1">
            <w:pPr>
              <w:rPr>
                <w:color w:val="373734"/>
              </w:rPr>
            </w:pPr>
            <w:r>
              <w:rPr>
                <w:rStyle w:val="Strong"/>
                <w:color w:val="373734"/>
                <w:bdr w:val="single" w:sz="2" w:space="0" w:color="1F1F1E" w:frame="1"/>
              </w:rPr>
              <w:t>+100,784</w:t>
            </w:r>
          </w:p>
        </w:tc>
      </w:tr>
    </w:tbl>
    <w:p w:rsidR="00CE47B1" w:rsidRDefault="00CE47B1" w:rsidP="00CE47B1">
      <w:pPr>
        <w:pStyle w:val="NormalWeb"/>
        <w:pBdr>
          <w:top w:val="single" w:sz="2" w:space="0" w:color="1F1F1E"/>
          <w:left w:val="single" w:sz="2" w:space="0" w:color="1F1F1E"/>
          <w:bottom w:val="single" w:sz="2" w:space="0" w:color="1F1F1E"/>
          <w:right w:val="single" w:sz="2" w:space="0" w:color="1F1F1E"/>
        </w:pBdr>
        <w:shd w:val="clear" w:color="auto" w:fill="FFFFFF"/>
        <w:spacing w:before="120" w:beforeAutospacing="0" w:after="0" w:afterAutospacing="0"/>
        <w:rPr>
          <w:rFonts w:ascii="Segoe UI" w:hAnsi="Segoe UI" w:cs="Segoe UI"/>
          <w:color w:val="121212"/>
          <w:sz w:val="21"/>
          <w:szCs w:val="21"/>
        </w:rPr>
      </w:pPr>
      <w:r>
        <w:rPr>
          <w:rFonts w:ascii="Segoe UI" w:hAnsi="Segoe UI" w:cs="Segoe UI"/>
          <w:color w:val="121212"/>
          <w:sz w:val="21"/>
          <w:szCs w:val="21"/>
        </w:rPr>
        <w:t>Wake is rapidly becoming a high-income county — lower-income households are being displaced. The $150K+ share jumped from 14.8% → </w:t>
      </w:r>
      <w:r>
        <w:rPr>
          <w:rStyle w:val="Strong"/>
          <w:rFonts w:ascii="Segoe UI" w:hAnsi="Segoe UI" w:cs="Segoe UI"/>
          <w:color w:val="121212"/>
          <w:sz w:val="21"/>
          <w:szCs w:val="21"/>
          <w:bdr w:val="single" w:sz="2" w:space="0" w:color="1F1F1E" w:frame="1"/>
        </w:rPr>
        <w:t>33.3%</w:t>
      </w:r>
      <w:r>
        <w:rPr>
          <w:rFonts w:ascii="Segoe UI" w:hAnsi="Segoe UI" w:cs="Segoe UI"/>
          <w:color w:val="121212"/>
          <w:sz w:val="21"/>
          <w:szCs w:val="21"/>
        </w:rPr>
        <w:t> of all households.</w:t>
      </w:r>
    </w:p>
    <w:p w:rsidR="00CE47B1" w:rsidRDefault="00CE47B1" w:rsidP="00CE47B1">
      <w:pPr>
        <w:pStyle w:val="NormalWeb"/>
        <w:pBdr>
          <w:top w:val="single" w:sz="2" w:space="0" w:color="1F1F1E"/>
          <w:left w:val="single" w:sz="2" w:space="0" w:color="1F1F1E"/>
          <w:bottom w:val="single" w:sz="2" w:space="0" w:color="1F1F1E"/>
          <w:right w:val="single" w:sz="2" w:space="0" w:color="1F1F1E"/>
        </w:pBdr>
        <w:shd w:val="clear" w:color="auto" w:fill="FFFFFF"/>
        <w:spacing w:before="120" w:beforeAutospacing="0" w:after="0" w:afterAutospacing="0"/>
        <w:rPr>
          <w:rFonts w:ascii="Segoe UI" w:hAnsi="Segoe UI" w:cs="Segoe UI"/>
          <w:color w:val="121212"/>
          <w:sz w:val="21"/>
          <w:szCs w:val="21"/>
        </w:rPr>
      </w:pPr>
      <w:r>
        <w:rPr>
          <w:rStyle w:val="Strong"/>
          <w:rFonts w:ascii="Segoe UI" w:hAnsi="Segoe UI" w:cs="Segoe UI"/>
          <w:color w:val="121212"/>
          <w:sz w:val="21"/>
          <w:szCs w:val="21"/>
          <w:bdr w:val="single" w:sz="2" w:space="0" w:color="1F1F1E" w:frame="1"/>
        </w:rPr>
        <w:t>Race (households):</w:t>
      </w:r>
      <w:r>
        <w:rPr>
          <w:rFonts w:ascii="Segoe UI" w:hAnsi="Segoe UI" w:cs="Segoe UI"/>
          <w:color w:val="121212"/>
          <w:sz w:val="21"/>
          <w:szCs w:val="21"/>
        </w:rPr>
        <w:t> White 283K, Black 88K, Hispanic 38K, Asian 34K — racial homeownership gap significant (Black 45%, Hispanic 50%, White 71%).</w:t>
      </w:r>
    </w:p>
    <w:p w:rsidR="00CE47B1" w:rsidRDefault="00CE47B1" w:rsidP="00CE47B1">
      <w:pPr>
        <w:pStyle w:val="NormalWeb"/>
        <w:pBdr>
          <w:top w:val="single" w:sz="2" w:space="0" w:color="1F1F1E"/>
          <w:left w:val="single" w:sz="2" w:space="0" w:color="1F1F1E"/>
          <w:bottom w:val="single" w:sz="2" w:space="0" w:color="1F1F1E"/>
          <w:right w:val="single" w:sz="2" w:space="0" w:color="1F1F1E"/>
        </w:pBdr>
        <w:shd w:val="clear" w:color="auto" w:fill="FFFFFF"/>
        <w:spacing w:before="120" w:beforeAutospacing="0" w:after="0" w:afterAutospacing="0"/>
        <w:rPr>
          <w:rFonts w:ascii="Segoe UI" w:hAnsi="Segoe UI" w:cs="Segoe UI"/>
          <w:color w:val="121212"/>
          <w:sz w:val="21"/>
          <w:szCs w:val="21"/>
        </w:rPr>
      </w:pPr>
      <w:r>
        <w:rPr>
          <w:rStyle w:val="Strong"/>
          <w:rFonts w:ascii="Segoe UI" w:hAnsi="Segoe UI" w:cs="Segoe UI"/>
          <w:color w:val="121212"/>
          <w:sz w:val="21"/>
          <w:szCs w:val="21"/>
          <w:bdr w:val="single" w:sz="2" w:space="0" w:color="1F1F1E" w:frame="1"/>
        </w:rPr>
        <w:t>Education:</w:t>
      </w:r>
      <w:r>
        <w:rPr>
          <w:rFonts w:ascii="Segoe UI" w:hAnsi="Segoe UI" w:cs="Segoe UI"/>
          <w:color w:val="121212"/>
          <w:sz w:val="21"/>
          <w:szCs w:val="21"/>
        </w:rPr>
        <w:t> Bachelor's degree+ rose from 48.3% → </w:t>
      </w:r>
      <w:r>
        <w:rPr>
          <w:rStyle w:val="Strong"/>
          <w:rFonts w:ascii="Segoe UI" w:hAnsi="Segoe UI" w:cs="Segoe UI"/>
          <w:color w:val="121212"/>
          <w:sz w:val="21"/>
          <w:szCs w:val="21"/>
          <w:bdr w:val="single" w:sz="2" w:space="0" w:color="1F1F1E" w:frame="1"/>
        </w:rPr>
        <w:t>57.2%</w:t>
      </w:r>
      <w:r>
        <w:rPr>
          <w:rFonts w:ascii="Segoe UI" w:hAnsi="Segoe UI" w:cs="Segoe UI"/>
          <w:color w:val="121212"/>
          <w:sz w:val="21"/>
          <w:szCs w:val="21"/>
        </w:rPr>
        <w:t> — highly educated workforce but renters without degrees can only afford $771/</w:t>
      </w:r>
      <w:proofErr w:type="spellStart"/>
      <w:r>
        <w:rPr>
          <w:rFonts w:ascii="Segoe UI" w:hAnsi="Segoe UI" w:cs="Segoe UI"/>
          <w:color w:val="121212"/>
          <w:sz w:val="21"/>
          <w:szCs w:val="21"/>
        </w:rPr>
        <w:t>mo</w:t>
      </w:r>
      <w:proofErr w:type="spellEnd"/>
      <w:r>
        <w:rPr>
          <w:rFonts w:ascii="Segoe UI" w:hAnsi="Segoe UI" w:cs="Segoe UI"/>
          <w:color w:val="121212"/>
          <w:sz w:val="21"/>
          <w:szCs w:val="21"/>
        </w:rPr>
        <w:t xml:space="preserve"> vs $1,652 median rent.</w:t>
      </w:r>
    </w:p>
    <w:p w:rsidR="00CE47B1" w:rsidRDefault="00CE47B1" w:rsidP="00CE47B1">
      <w:pPr>
        <w:spacing w:before="120"/>
        <w:rPr>
          <w:rFonts w:ascii="Segoe UI" w:hAnsi="Segoe UI" w:cs="Segoe UI"/>
          <w:sz w:val="21"/>
          <w:szCs w:val="21"/>
        </w:rPr>
      </w:pPr>
      <w:r>
        <w:rPr>
          <w:noProof/>
        </w:rPr>
      </w:r>
      <w:r w:rsidR="00CE47B1">
        <w:rPr>
          <w:noProof/>
        </w:rPr>
        <w:pict>
          <v:rect id="_x0000_i1025" alt="" style="width:468pt;height:.05pt;mso-width-percent:0;mso-height-percent:0;mso-width-percent:0;mso-height-percent:0" o:hralign="center" o:hrstd="t" o:hr="t" fillcolor="#a0a0a0" stroked="f"/>
        </w:pict>
      </w:r>
    </w:p>
    <w:p w:rsidR="00CE47B1" w:rsidRDefault="00CE47B1" w:rsidP="00CE47B1">
      <w:pPr>
        <w:pStyle w:val="Heading2"/>
        <w:pBdr>
          <w:top w:val="single" w:sz="2" w:space="0" w:color="1F1F1E"/>
          <w:left w:val="single" w:sz="2" w:space="0" w:color="1F1F1E"/>
          <w:bottom w:val="single" w:sz="2" w:space="0" w:color="1F1F1E"/>
          <w:right w:val="single" w:sz="2" w:space="0" w:color="1F1F1E"/>
        </w:pBdr>
        <w:shd w:val="clear" w:color="auto" w:fill="FFFFFF"/>
        <w:spacing w:before="120"/>
        <w:rPr>
          <w:rFonts w:ascii="Segoe UI" w:hAnsi="Segoe UI" w:cs="Segoe UI"/>
          <w:color w:val="121212"/>
          <w:sz w:val="36"/>
          <w:szCs w:val="36"/>
        </w:rPr>
      </w:pPr>
      <w:r>
        <w:rPr>
          <w:rFonts w:ascii="Segoe UI" w:hAnsi="Segoe UI" w:cs="Segoe UI"/>
          <w:color w:val="121212"/>
        </w:rPr>
        <w:t>File 2 — Homeownership</w:t>
      </w:r>
    </w:p>
    <w:p w:rsidR="00CE47B1" w:rsidRDefault="00CE47B1" w:rsidP="00CE47B1">
      <w:pPr>
        <w:pStyle w:val="NormalWeb"/>
        <w:pBdr>
          <w:top w:val="single" w:sz="2" w:space="0" w:color="1F1F1E"/>
          <w:left w:val="single" w:sz="2" w:space="0" w:color="1F1F1E"/>
          <w:bottom w:val="single" w:sz="2" w:space="0" w:color="1F1F1E"/>
          <w:right w:val="single" w:sz="2" w:space="0" w:color="1F1F1E"/>
        </w:pBdr>
        <w:shd w:val="clear" w:color="auto" w:fill="FFFFFF"/>
        <w:spacing w:before="120" w:beforeAutospacing="0" w:after="0" w:afterAutospacing="0"/>
        <w:rPr>
          <w:rFonts w:ascii="Segoe UI" w:hAnsi="Segoe UI" w:cs="Segoe UI"/>
          <w:color w:val="121212"/>
          <w:sz w:val="21"/>
          <w:szCs w:val="21"/>
        </w:rPr>
      </w:pPr>
      <w:r>
        <w:rPr>
          <w:rStyle w:val="Strong"/>
          <w:rFonts w:ascii="Segoe UI" w:hAnsi="Segoe UI" w:cs="Segoe UI"/>
          <w:color w:val="121212"/>
          <w:sz w:val="21"/>
          <w:szCs w:val="21"/>
          <w:bdr w:val="single" w:sz="2" w:space="0" w:color="1F1F1E" w:frame="1"/>
        </w:rPr>
        <w:t>Median Home Value:</w:t>
      </w:r>
      <w:r>
        <w:rPr>
          <w:rFonts w:ascii="Segoe UI" w:hAnsi="Segoe UI" w:cs="Segoe UI"/>
          <w:color w:val="121212"/>
          <w:sz w:val="21"/>
          <w:szCs w:val="21"/>
        </w:rPr>
        <w:t> $229,200 (2014) → </w:t>
      </w:r>
      <w:r>
        <w:rPr>
          <w:rStyle w:val="Strong"/>
          <w:rFonts w:ascii="Segoe UI" w:hAnsi="Segoe UI" w:cs="Segoe UI"/>
          <w:color w:val="121212"/>
          <w:sz w:val="21"/>
          <w:szCs w:val="21"/>
          <w:bdr w:val="single" w:sz="2" w:space="0" w:color="1F1F1E" w:frame="1"/>
        </w:rPr>
        <w:t>$461,300 (2024)</w:t>
      </w:r>
      <w:r>
        <w:rPr>
          <w:rFonts w:ascii="Segoe UI" w:hAnsi="Segoe UI" w:cs="Segoe UI"/>
          <w:color w:val="121212"/>
          <w:sz w:val="21"/>
          <w:szCs w:val="21"/>
        </w:rPr>
        <w:t> — doubled in 10 years</w:t>
      </w:r>
    </w:p>
    <w:p w:rsidR="00CE47B1" w:rsidRDefault="00CE47B1" w:rsidP="00CE47B1">
      <w:pPr>
        <w:pStyle w:val="NormalWeb"/>
        <w:pBdr>
          <w:top w:val="single" w:sz="2" w:space="0" w:color="1F1F1E"/>
          <w:left w:val="single" w:sz="2" w:space="0" w:color="1F1F1E"/>
          <w:bottom w:val="single" w:sz="2" w:space="0" w:color="1F1F1E"/>
          <w:right w:val="single" w:sz="2" w:space="0" w:color="1F1F1E"/>
        </w:pBdr>
        <w:shd w:val="clear" w:color="auto" w:fill="FFFFFF"/>
        <w:spacing w:before="120" w:beforeAutospacing="0" w:after="0" w:afterAutospacing="0"/>
        <w:rPr>
          <w:rFonts w:ascii="Segoe UI" w:hAnsi="Segoe UI" w:cs="Segoe UI"/>
          <w:color w:val="121212"/>
          <w:sz w:val="21"/>
          <w:szCs w:val="21"/>
        </w:rPr>
      </w:pPr>
      <w:r>
        <w:rPr>
          <w:rStyle w:val="Strong"/>
          <w:rFonts w:ascii="Segoe UI" w:hAnsi="Segoe UI" w:cs="Segoe UI"/>
          <w:color w:val="121212"/>
          <w:sz w:val="21"/>
          <w:szCs w:val="21"/>
          <w:bdr w:val="single" w:sz="2" w:space="0" w:color="1F1F1E" w:frame="1"/>
        </w:rPr>
        <w:t>Homeownership rate:</w:t>
      </w:r>
      <w:r>
        <w:rPr>
          <w:rFonts w:ascii="Segoe UI" w:hAnsi="Segoe UI" w:cs="Segoe UI"/>
          <w:color w:val="121212"/>
          <w:sz w:val="21"/>
          <w:szCs w:val="21"/>
        </w:rPr>
        <w:t> Wake actually </w:t>
      </w:r>
      <w:r>
        <w:rPr>
          <w:rStyle w:val="Emphasis"/>
          <w:rFonts w:ascii="Segoe UI" w:hAnsi="Segoe UI" w:cs="Segoe UI"/>
          <w:color w:val="121212"/>
          <w:sz w:val="21"/>
          <w:szCs w:val="21"/>
          <w:bdr w:val="single" w:sz="2" w:space="0" w:color="1F1F1E" w:frame="1"/>
        </w:rPr>
        <w:t>slightly fell</w:t>
      </w:r>
      <w:r>
        <w:rPr>
          <w:rFonts w:ascii="Segoe UI" w:hAnsi="Segoe UI" w:cs="Segoe UI"/>
          <w:color w:val="121212"/>
          <w:sz w:val="21"/>
          <w:szCs w:val="21"/>
        </w:rPr>
        <w:t> from 64.9% → 64.1% despite population boom — ownership becoming harder.</w:t>
      </w:r>
    </w:p>
    <w:p w:rsidR="00CE47B1" w:rsidRDefault="00CE47B1" w:rsidP="00CE47B1">
      <w:pPr>
        <w:pStyle w:val="NormalWeb"/>
        <w:pBdr>
          <w:top w:val="single" w:sz="2" w:space="0" w:color="1F1F1E"/>
          <w:left w:val="single" w:sz="2" w:space="0" w:color="1F1F1E"/>
          <w:bottom w:val="single" w:sz="2" w:space="0" w:color="1F1F1E"/>
          <w:right w:val="single" w:sz="2" w:space="0" w:color="1F1F1E"/>
        </w:pBdr>
        <w:shd w:val="clear" w:color="auto" w:fill="FFFFFF"/>
        <w:spacing w:before="120" w:beforeAutospacing="0" w:after="0" w:afterAutospacing="0"/>
        <w:rPr>
          <w:rFonts w:ascii="Segoe UI" w:hAnsi="Segoe UI" w:cs="Segoe UI"/>
          <w:color w:val="121212"/>
          <w:sz w:val="21"/>
          <w:szCs w:val="21"/>
        </w:rPr>
      </w:pPr>
      <w:r>
        <w:rPr>
          <w:rStyle w:val="Strong"/>
          <w:rFonts w:ascii="Segoe UI" w:hAnsi="Segoe UI" w:cs="Segoe UI"/>
          <w:color w:val="121212"/>
          <w:sz w:val="21"/>
          <w:szCs w:val="21"/>
          <w:bdr w:val="single" w:sz="2" w:space="0" w:color="1F1F1E" w:frame="1"/>
        </w:rPr>
        <w:t>Homes sold &lt; $250K:</w:t>
      </w:r>
      <w:r>
        <w:rPr>
          <w:rFonts w:ascii="Segoe UI" w:hAnsi="Segoe UI" w:cs="Segoe UI"/>
          <w:color w:val="121212"/>
          <w:sz w:val="21"/>
          <w:szCs w:val="21"/>
        </w:rPr>
        <w:t> </w:t>
      </w:r>
      <w:r>
        <w:rPr>
          <w:rStyle w:val="Strong"/>
          <w:rFonts w:ascii="Segoe UI" w:hAnsi="Segoe UI" w:cs="Segoe UI"/>
          <w:color w:val="121212"/>
          <w:sz w:val="21"/>
          <w:szCs w:val="21"/>
          <w:bdr w:val="single" w:sz="2" w:space="0" w:color="1F1F1E" w:frame="1"/>
        </w:rPr>
        <w:t>28.6% in 2018 → just 3.1% in 2022</w:t>
      </w:r>
      <w:r>
        <w:rPr>
          <w:rFonts w:ascii="Segoe UI" w:hAnsi="Segoe UI" w:cs="Segoe UI"/>
          <w:color w:val="121212"/>
          <w:sz w:val="21"/>
          <w:szCs w:val="21"/>
        </w:rPr>
        <w:t> — entry-level market has essentially vanished.</w:t>
      </w:r>
    </w:p>
    <w:p w:rsidR="00CE47B1" w:rsidRDefault="00CE47B1" w:rsidP="00CE47B1">
      <w:pPr>
        <w:pStyle w:val="NormalWeb"/>
        <w:pBdr>
          <w:top w:val="single" w:sz="2" w:space="0" w:color="1F1F1E"/>
          <w:left w:val="single" w:sz="2" w:space="0" w:color="1F1F1E"/>
          <w:bottom w:val="single" w:sz="2" w:space="0" w:color="1F1F1E"/>
          <w:right w:val="single" w:sz="2" w:space="0" w:color="1F1F1E"/>
        </w:pBdr>
        <w:shd w:val="clear" w:color="auto" w:fill="FFFFFF"/>
        <w:spacing w:before="120" w:beforeAutospacing="0" w:after="0" w:afterAutospacing="0"/>
        <w:rPr>
          <w:rFonts w:ascii="Segoe UI" w:hAnsi="Segoe UI" w:cs="Segoe UI"/>
          <w:color w:val="121212"/>
          <w:sz w:val="21"/>
          <w:szCs w:val="21"/>
        </w:rPr>
      </w:pPr>
      <w:r>
        <w:rPr>
          <w:rStyle w:val="Strong"/>
          <w:rFonts w:ascii="Segoe UI" w:hAnsi="Segoe UI" w:cs="Segoe UI"/>
          <w:color w:val="121212"/>
          <w:sz w:val="21"/>
          <w:szCs w:val="21"/>
          <w:bdr w:val="single" w:sz="2" w:space="0" w:color="1F1F1E" w:frame="1"/>
        </w:rPr>
        <w:t>Owner cost burden is spreading upward:</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27"/>
        <w:gridCol w:w="2520"/>
        <w:gridCol w:w="2520"/>
      </w:tblGrid>
      <w:tr w:rsidR="00CE47B1">
        <w:trPr>
          <w:tblHeader/>
        </w:trPr>
        <w:tc>
          <w:tcPr>
            <w:tcW w:w="0" w:type="auto"/>
            <w:tcBorders>
              <w:top w:val="single" w:sz="2" w:space="0" w:color="auto"/>
              <w:left w:val="single" w:sz="2" w:space="0" w:color="auto"/>
              <w:bottom w:val="single" w:sz="2" w:space="0" w:color="auto"/>
              <w:right w:val="single" w:sz="6" w:space="0" w:color="auto"/>
            </w:tcBorders>
            <w:shd w:val="clear" w:color="auto" w:fill="F4F4F1"/>
            <w:vAlign w:val="center"/>
            <w:hideMark/>
          </w:tcPr>
          <w:p w:rsidR="00CE47B1" w:rsidRDefault="00CE47B1">
            <w:pPr>
              <w:rPr>
                <w:rFonts w:ascii="Times New Roman" w:hAnsi="Times New Roman" w:cs="Times New Roman"/>
                <w:b/>
                <w:bCs/>
                <w:color w:val="373734"/>
                <w:sz w:val="24"/>
                <w:szCs w:val="24"/>
              </w:rPr>
            </w:pPr>
            <w:r>
              <w:rPr>
                <w:b/>
                <w:bCs/>
                <w:color w:val="373734"/>
              </w:rPr>
              <w:t>Income</w:t>
            </w:r>
          </w:p>
        </w:tc>
        <w:tc>
          <w:tcPr>
            <w:tcW w:w="0" w:type="auto"/>
            <w:tcBorders>
              <w:top w:val="single" w:sz="2" w:space="0" w:color="auto"/>
              <w:left w:val="single" w:sz="2" w:space="0" w:color="auto"/>
              <w:bottom w:val="single" w:sz="2" w:space="0" w:color="auto"/>
              <w:right w:val="single" w:sz="6" w:space="0" w:color="auto"/>
            </w:tcBorders>
            <w:shd w:val="clear" w:color="auto" w:fill="F4F4F1"/>
            <w:vAlign w:val="center"/>
            <w:hideMark/>
          </w:tcPr>
          <w:p w:rsidR="00CE47B1" w:rsidRDefault="00CE47B1">
            <w:pPr>
              <w:rPr>
                <w:b/>
                <w:bCs/>
                <w:color w:val="373734"/>
              </w:rPr>
            </w:pPr>
            <w:r>
              <w:rPr>
                <w:b/>
                <w:bCs/>
                <w:color w:val="373734"/>
              </w:rPr>
              <w:t>Severely Burdened 2014</w:t>
            </w:r>
          </w:p>
        </w:tc>
        <w:tc>
          <w:tcPr>
            <w:tcW w:w="0" w:type="auto"/>
            <w:tcBorders>
              <w:top w:val="single" w:sz="2" w:space="0" w:color="auto"/>
              <w:left w:val="single" w:sz="2" w:space="0" w:color="auto"/>
              <w:bottom w:val="single" w:sz="2" w:space="0" w:color="auto"/>
              <w:right w:val="single" w:sz="2" w:space="0" w:color="auto"/>
            </w:tcBorders>
            <w:shd w:val="clear" w:color="auto" w:fill="F4F4F1"/>
            <w:vAlign w:val="center"/>
            <w:hideMark/>
          </w:tcPr>
          <w:p w:rsidR="00CE47B1" w:rsidRDefault="00CE47B1">
            <w:pPr>
              <w:rPr>
                <w:b/>
                <w:bCs/>
                <w:color w:val="373734"/>
              </w:rPr>
            </w:pPr>
            <w:r>
              <w:rPr>
                <w:b/>
                <w:bCs/>
                <w:color w:val="373734"/>
              </w:rPr>
              <w:t>Severely Burdened 2024</w:t>
            </w:r>
          </w:p>
        </w:tc>
      </w:tr>
      <w:tr w:rsidR="00CE47B1">
        <w:tc>
          <w:tcPr>
            <w:tcW w:w="0" w:type="auto"/>
            <w:tcBorders>
              <w:top w:val="single" w:sz="2" w:space="0" w:color="auto"/>
              <w:left w:val="single" w:sz="2" w:space="0" w:color="auto"/>
              <w:bottom w:val="single" w:sz="2" w:space="0" w:color="auto"/>
              <w:right w:val="single" w:sz="6" w:space="0" w:color="auto"/>
            </w:tcBorders>
            <w:vAlign w:val="center"/>
            <w:hideMark/>
          </w:tcPr>
          <w:p w:rsidR="00CE47B1" w:rsidRDefault="00CE47B1">
            <w:pPr>
              <w:rPr>
                <w:color w:val="373734"/>
              </w:rPr>
            </w:pPr>
            <w:r>
              <w:rPr>
                <w:color w:val="373734"/>
              </w:rPr>
              <w:t>&lt;$20K</w:t>
            </w:r>
          </w:p>
        </w:tc>
        <w:tc>
          <w:tcPr>
            <w:tcW w:w="0" w:type="auto"/>
            <w:tcBorders>
              <w:top w:val="single" w:sz="2" w:space="0" w:color="auto"/>
              <w:left w:val="single" w:sz="2" w:space="0" w:color="auto"/>
              <w:bottom w:val="single" w:sz="2" w:space="0" w:color="auto"/>
              <w:right w:val="single" w:sz="6" w:space="0" w:color="auto"/>
            </w:tcBorders>
            <w:vAlign w:val="center"/>
            <w:hideMark/>
          </w:tcPr>
          <w:p w:rsidR="00CE47B1" w:rsidRDefault="00CE47B1">
            <w:pPr>
              <w:rPr>
                <w:color w:val="373734"/>
              </w:rPr>
            </w:pPr>
            <w:r>
              <w:rPr>
                <w:color w:val="373734"/>
              </w:rPr>
              <w:t>66.4%</w:t>
            </w:r>
          </w:p>
        </w:tc>
        <w:tc>
          <w:tcPr>
            <w:tcW w:w="0" w:type="auto"/>
            <w:tcBorders>
              <w:top w:val="single" w:sz="2" w:space="0" w:color="auto"/>
              <w:left w:val="single" w:sz="2" w:space="0" w:color="auto"/>
              <w:bottom w:val="single" w:sz="2" w:space="0" w:color="auto"/>
              <w:right w:val="single" w:sz="2" w:space="0" w:color="auto"/>
            </w:tcBorders>
            <w:vAlign w:val="center"/>
            <w:hideMark/>
          </w:tcPr>
          <w:p w:rsidR="00CE47B1" w:rsidRDefault="00CE47B1">
            <w:pPr>
              <w:rPr>
                <w:color w:val="373734"/>
              </w:rPr>
            </w:pPr>
            <w:r>
              <w:rPr>
                <w:rStyle w:val="Strong"/>
                <w:color w:val="373734"/>
                <w:bdr w:val="single" w:sz="2" w:space="0" w:color="1F1F1E" w:frame="1"/>
              </w:rPr>
              <w:t>80.7%</w:t>
            </w:r>
          </w:p>
        </w:tc>
      </w:tr>
      <w:tr w:rsidR="00CE47B1">
        <w:tc>
          <w:tcPr>
            <w:tcW w:w="0" w:type="auto"/>
            <w:tcBorders>
              <w:top w:val="single" w:sz="2" w:space="0" w:color="auto"/>
              <w:left w:val="single" w:sz="2" w:space="0" w:color="auto"/>
              <w:bottom w:val="single" w:sz="2" w:space="0" w:color="auto"/>
              <w:right w:val="single" w:sz="6" w:space="0" w:color="auto"/>
            </w:tcBorders>
            <w:vAlign w:val="center"/>
            <w:hideMark/>
          </w:tcPr>
          <w:p w:rsidR="00CE47B1" w:rsidRDefault="00CE47B1">
            <w:pPr>
              <w:rPr>
                <w:color w:val="373734"/>
              </w:rPr>
            </w:pPr>
            <w:r>
              <w:rPr>
                <w:color w:val="373734"/>
              </w:rPr>
              <w:t>$35K–$50K</w:t>
            </w:r>
          </w:p>
        </w:tc>
        <w:tc>
          <w:tcPr>
            <w:tcW w:w="0" w:type="auto"/>
            <w:tcBorders>
              <w:top w:val="single" w:sz="2" w:space="0" w:color="auto"/>
              <w:left w:val="single" w:sz="2" w:space="0" w:color="auto"/>
              <w:bottom w:val="single" w:sz="2" w:space="0" w:color="auto"/>
              <w:right w:val="single" w:sz="6" w:space="0" w:color="auto"/>
            </w:tcBorders>
            <w:vAlign w:val="center"/>
            <w:hideMark/>
          </w:tcPr>
          <w:p w:rsidR="00CE47B1" w:rsidRDefault="00CE47B1">
            <w:pPr>
              <w:rPr>
                <w:color w:val="373734"/>
              </w:rPr>
            </w:pPr>
            <w:r>
              <w:rPr>
                <w:color w:val="373734"/>
              </w:rPr>
              <w:t>11.2%</w:t>
            </w:r>
          </w:p>
        </w:tc>
        <w:tc>
          <w:tcPr>
            <w:tcW w:w="0" w:type="auto"/>
            <w:tcBorders>
              <w:top w:val="single" w:sz="2" w:space="0" w:color="auto"/>
              <w:left w:val="single" w:sz="2" w:space="0" w:color="auto"/>
              <w:bottom w:val="single" w:sz="2" w:space="0" w:color="auto"/>
              <w:right w:val="single" w:sz="2" w:space="0" w:color="auto"/>
            </w:tcBorders>
            <w:vAlign w:val="center"/>
            <w:hideMark/>
          </w:tcPr>
          <w:p w:rsidR="00CE47B1" w:rsidRDefault="00CE47B1">
            <w:pPr>
              <w:rPr>
                <w:color w:val="373734"/>
              </w:rPr>
            </w:pPr>
            <w:r>
              <w:rPr>
                <w:rStyle w:val="Strong"/>
                <w:color w:val="373734"/>
                <w:bdr w:val="single" w:sz="2" w:space="0" w:color="1F1F1E" w:frame="1"/>
              </w:rPr>
              <w:t>19.6%</w:t>
            </w:r>
          </w:p>
        </w:tc>
      </w:tr>
      <w:tr w:rsidR="00CE47B1">
        <w:tc>
          <w:tcPr>
            <w:tcW w:w="0" w:type="auto"/>
            <w:tcBorders>
              <w:top w:val="single" w:sz="2" w:space="0" w:color="auto"/>
              <w:left w:val="single" w:sz="2" w:space="0" w:color="auto"/>
              <w:bottom w:val="single" w:sz="2" w:space="0" w:color="auto"/>
              <w:right w:val="single" w:sz="6" w:space="0" w:color="auto"/>
            </w:tcBorders>
            <w:vAlign w:val="center"/>
            <w:hideMark/>
          </w:tcPr>
          <w:p w:rsidR="00CE47B1" w:rsidRDefault="00CE47B1">
            <w:pPr>
              <w:rPr>
                <w:color w:val="373734"/>
              </w:rPr>
            </w:pPr>
            <w:r>
              <w:rPr>
                <w:color w:val="373734"/>
              </w:rPr>
              <w:t>$50K–$75K</w:t>
            </w:r>
          </w:p>
        </w:tc>
        <w:tc>
          <w:tcPr>
            <w:tcW w:w="0" w:type="auto"/>
            <w:tcBorders>
              <w:top w:val="single" w:sz="2" w:space="0" w:color="auto"/>
              <w:left w:val="single" w:sz="2" w:space="0" w:color="auto"/>
              <w:bottom w:val="single" w:sz="2" w:space="0" w:color="auto"/>
              <w:right w:val="single" w:sz="6" w:space="0" w:color="auto"/>
            </w:tcBorders>
            <w:vAlign w:val="center"/>
            <w:hideMark/>
          </w:tcPr>
          <w:p w:rsidR="00CE47B1" w:rsidRDefault="00CE47B1">
            <w:pPr>
              <w:rPr>
                <w:color w:val="373734"/>
              </w:rPr>
            </w:pPr>
            <w:r>
              <w:rPr>
                <w:color w:val="373734"/>
              </w:rPr>
              <w:t>4.2%</w:t>
            </w:r>
          </w:p>
        </w:tc>
        <w:tc>
          <w:tcPr>
            <w:tcW w:w="0" w:type="auto"/>
            <w:tcBorders>
              <w:top w:val="single" w:sz="2" w:space="0" w:color="auto"/>
              <w:left w:val="single" w:sz="2" w:space="0" w:color="auto"/>
              <w:bottom w:val="single" w:sz="2" w:space="0" w:color="auto"/>
              <w:right w:val="single" w:sz="2" w:space="0" w:color="auto"/>
            </w:tcBorders>
            <w:vAlign w:val="center"/>
            <w:hideMark/>
          </w:tcPr>
          <w:p w:rsidR="00CE47B1" w:rsidRDefault="00CE47B1">
            <w:pPr>
              <w:rPr>
                <w:color w:val="373734"/>
              </w:rPr>
            </w:pPr>
            <w:r>
              <w:rPr>
                <w:rStyle w:val="Strong"/>
                <w:color w:val="373734"/>
                <w:bdr w:val="single" w:sz="2" w:space="0" w:color="1F1F1E" w:frame="1"/>
              </w:rPr>
              <w:t>7.8%</w:t>
            </w:r>
          </w:p>
        </w:tc>
      </w:tr>
    </w:tbl>
    <w:p w:rsidR="00CE47B1" w:rsidRDefault="00CE47B1" w:rsidP="00CE47B1">
      <w:pPr>
        <w:pStyle w:val="NormalWeb"/>
        <w:pBdr>
          <w:top w:val="single" w:sz="2" w:space="0" w:color="1F1F1E"/>
          <w:left w:val="single" w:sz="2" w:space="0" w:color="1F1F1E"/>
          <w:bottom w:val="single" w:sz="2" w:space="0" w:color="1F1F1E"/>
          <w:right w:val="single" w:sz="2" w:space="0" w:color="1F1F1E"/>
        </w:pBdr>
        <w:shd w:val="clear" w:color="auto" w:fill="FFFFFF"/>
        <w:spacing w:before="120" w:beforeAutospacing="0" w:after="0" w:afterAutospacing="0"/>
        <w:rPr>
          <w:rFonts w:ascii="Segoe UI" w:hAnsi="Segoe UI" w:cs="Segoe UI"/>
          <w:color w:val="121212"/>
          <w:sz w:val="21"/>
          <w:szCs w:val="21"/>
        </w:rPr>
      </w:pPr>
      <w:r>
        <w:rPr>
          <w:rStyle w:val="Strong"/>
          <w:rFonts w:ascii="Segoe UI" w:hAnsi="Segoe UI" w:cs="Segoe UI"/>
          <w:color w:val="121212"/>
          <w:sz w:val="21"/>
          <w:szCs w:val="21"/>
          <w:bdr w:val="single" w:sz="2" w:space="0" w:color="1F1F1E" w:frame="1"/>
        </w:rPr>
        <w:t>Homeowner vacancy:</w:t>
      </w:r>
      <w:r>
        <w:rPr>
          <w:rFonts w:ascii="Segoe UI" w:hAnsi="Segoe UI" w:cs="Segoe UI"/>
          <w:color w:val="121212"/>
          <w:sz w:val="21"/>
          <w:szCs w:val="21"/>
        </w:rPr>
        <w:t> 1.87% (2014) → </w:t>
      </w:r>
      <w:r>
        <w:rPr>
          <w:rStyle w:val="Strong"/>
          <w:rFonts w:ascii="Segoe UI" w:hAnsi="Segoe UI" w:cs="Segoe UI"/>
          <w:color w:val="121212"/>
          <w:sz w:val="21"/>
          <w:szCs w:val="21"/>
          <w:bdr w:val="single" w:sz="2" w:space="0" w:color="1F1F1E" w:frame="1"/>
        </w:rPr>
        <w:t>0.6% (2024)</w:t>
      </w:r>
      <w:r>
        <w:rPr>
          <w:rFonts w:ascii="Segoe UI" w:hAnsi="Segoe UI" w:cs="Segoe UI"/>
          <w:color w:val="121212"/>
          <w:sz w:val="21"/>
          <w:szCs w:val="21"/>
        </w:rPr>
        <w:t> — almost nothing available.</w:t>
      </w:r>
    </w:p>
    <w:p w:rsidR="00CE47B1" w:rsidRDefault="00CE47B1" w:rsidP="00CE47B1">
      <w:pPr>
        <w:pStyle w:val="NormalWeb"/>
        <w:pBdr>
          <w:top w:val="single" w:sz="2" w:space="0" w:color="1F1F1E"/>
          <w:left w:val="single" w:sz="2" w:space="0" w:color="1F1F1E"/>
          <w:bottom w:val="single" w:sz="2" w:space="0" w:color="1F1F1E"/>
          <w:right w:val="single" w:sz="2" w:space="0" w:color="1F1F1E"/>
        </w:pBdr>
        <w:shd w:val="clear" w:color="auto" w:fill="FFFFFF"/>
        <w:spacing w:before="120" w:beforeAutospacing="0" w:after="0" w:afterAutospacing="0"/>
        <w:rPr>
          <w:rFonts w:ascii="Segoe UI" w:hAnsi="Segoe UI" w:cs="Segoe UI"/>
          <w:color w:val="121212"/>
          <w:sz w:val="21"/>
          <w:szCs w:val="21"/>
        </w:rPr>
      </w:pPr>
      <w:r>
        <w:rPr>
          <w:rStyle w:val="Strong"/>
          <w:rFonts w:ascii="Segoe UI" w:hAnsi="Segoe UI" w:cs="Segoe UI"/>
          <w:color w:val="121212"/>
          <w:sz w:val="21"/>
          <w:szCs w:val="21"/>
          <w:bdr w:val="single" w:sz="2" w:space="0" w:color="1F1F1E" w:frame="1"/>
        </w:rPr>
        <w:t>Affordable ownership units produced:</w:t>
      </w:r>
      <w:r>
        <w:rPr>
          <w:rFonts w:ascii="Segoe UI" w:hAnsi="Segoe UI" w:cs="Segoe UI"/>
          <w:color w:val="121212"/>
          <w:sz w:val="21"/>
          <w:szCs w:val="21"/>
        </w:rPr>
        <w:t> Only </w:t>
      </w:r>
      <w:r>
        <w:rPr>
          <w:rStyle w:val="Strong"/>
          <w:rFonts w:ascii="Segoe UI" w:hAnsi="Segoe UI" w:cs="Segoe UI"/>
          <w:color w:val="121212"/>
          <w:sz w:val="21"/>
          <w:szCs w:val="21"/>
          <w:bdr w:val="single" w:sz="2" w:space="0" w:color="1F1F1E" w:frame="1"/>
        </w:rPr>
        <w:t>311</w:t>
      </w:r>
    </w:p>
    <w:p w:rsidR="00CE47B1" w:rsidRDefault="00CE47B1" w:rsidP="00CE47B1">
      <w:pPr>
        <w:spacing w:before="120"/>
        <w:rPr>
          <w:rFonts w:ascii="Segoe UI" w:hAnsi="Segoe UI" w:cs="Segoe UI"/>
          <w:sz w:val="21"/>
          <w:szCs w:val="21"/>
        </w:rPr>
      </w:pPr>
      <w:r>
        <w:rPr>
          <w:noProof/>
        </w:rPr>
      </w:r>
      <w:r w:rsidR="00CE47B1">
        <w:rPr>
          <w:noProof/>
        </w:rPr>
        <w:pict>
          <v:rect id="_x0000_i1026" alt="" style="width:468pt;height:.05pt;mso-width-percent:0;mso-height-percent:0;mso-width-percent:0;mso-height-percent:0" o:hralign="center" o:hrstd="t" o:hr="t" fillcolor="#a0a0a0" stroked="f"/>
        </w:pict>
      </w:r>
    </w:p>
    <w:p w:rsidR="00CE47B1" w:rsidRDefault="00CE47B1" w:rsidP="00CE47B1">
      <w:pPr>
        <w:pStyle w:val="Heading2"/>
        <w:pBdr>
          <w:top w:val="single" w:sz="2" w:space="0" w:color="1F1F1E"/>
          <w:left w:val="single" w:sz="2" w:space="0" w:color="1F1F1E"/>
          <w:bottom w:val="single" w:sz="2" w:space="0" w:color="1F1F1E"/>
          <w:right w:val="single" w:sz="2" w:space="0" w:color="1F1F1E"/>
        </w:pBdr>
        <w:shd w:val="clear" w:color="auto" w:fill="FFFFFF"/>
        <w:spacing w:before="120"/>
        <w:rPr>
          <w:rFonts w:ascii="Segoe UI" w:hAnsi="Segoe UI" w:cs="Segoe UI"/>
          <w:color w:val="121212"/>
          <w:sz w:val="36"/>
          <w:szCs w:val="36"/>
        </w:rPr>
      </w:pPr>
      <w:r>
        <w:rPr>
          <w:rFonts w:ascii="Segoe UI" w:hAnsi="Segoe UI" w:cs="Segoe UI"/>
          <w:color w:val="121212"/>
        </w:rPr>
        <w:lastRenderedPageBreak/>
        <w:t>File 3 — Housing Supply</w:t>
      </w:r>
    </w:p>
    <w:p w:rsidR="00CE47B1" w:rsidRDefault="00CE47B1" w:rsidP="00CE47B1">
      <w:pPr>
        <w:pStyle w:val="NormalWeb"/>
        <w:pBdr>
          <w:top w:val="single" w:sz="2" w:space="0" w:color="1F1F1E"/>
          <w:left w:val="single" w:sz="2" w:space="0" w:color="1F1F1E"/>
          <w:bottom w:val="single" w:sz="2" w:space="0" w:color="1F1F1E"/>
          <w:right w:val="single" w:sz="2" w:space="0" w:color="1F1F1E"/>
        </w:pBdr>
        <w:shd w:val="clear" w:color="auto" w:fill="FFFFFF"/>
        <w:spacing w:before="120" w:beforeAutospacing="0" w:after="0" w:afterAutospacing="0"/>
        <w:rPr>
          <w:rFonts w:ascii="Segoe UI" w:hAnsi="Segoe UI" w:cs="Segoe UI"/>
          <w:color w:val="121212"/>
          <w:sz w:val="21"/>
          <w:szCs w:val="21"/>
        </w:rPr>
      </w:pPr>
      <w:r>
        <w:rPr>
          <w:rStyle w:val="Strong"/>
          <w:rFonts w:ascii="Segoe UI" w:hAnsi="Segoe UI" w:cs="Segoe UI"/>
          <w:color w:val="121212"/>
          <w:sz w:val="21"/>
          <w:szCs w:val="21"/>
          <w:bdr w:val="single" w:sz="2" w:space="0" w:color="1F1F1E" w:frame="1"/>
        </w:rPr>
        <w:t>Total stock (2024):</w:t>
      </w:r>
      <w:r>
        <w:rPr>
          <w:rFonts w:ascii="Segoe UI" w:hAnsi="Segoe UI" w:cs="Segoe UI"/>
          <w:color w:val="121212"/>
          <w:sz w:val="21"/>
          <w:szCs w:val="21"/>
        </w:rPr>
        <w:t xml:space="preserve"> 460,175 homes | 295,069 owner | 165,106 </w:t>
      </w:r>
      <w:proofErr w:type="gramStart"/>
      <w:r>
        <w:rPr>
          <w:rFonts w:ascii="Segoe UI" w:hAnsi="Segoe UI" w:cs="Segoe UI"/>
          <w:color w:val="121212"/>
          <w:sz w:val="21"/>
          <w:szCs w:val="21"/>
        </w:rPr>
        <w:t>renter</w:t>
      </w:r>
      <w:proofErr w:type="gramEnd"/>
      <w:r>
        <w:rPr>
          <w:rFonts w:ascii="Segoe UI" w:hAnsi="Segoe UI" w:cs="Segoe UI"/>
          <w:color w:val="121212"/>
          <w:sz w:val="21"/>
          <w:szCs w:val="21"/>
        </w:rPr>
        <w:t xml:space="preserve"> | 35,872 vacant</w:t>
      </w:r>
    </w:p>
    <w:p w:rsidR="00CE47B1" w:rsidRDefault="00CE47B1" w:rsidP="00CE47B1">
      <w:pPr>
        <w:pStyle w:val="NormalWeb"/>
        <w:pBdr>
          <w:top w:val="single" w:sz="2" w:space="0" w:color="1F1F1E"/>
          <w:left w:val="single" w:sz="2" w:space="0" w:color="1F1F1E"/>
          <w:bottom w:val="single" w:sz="2" w:space="0" w:color="1F1F1E"/>
          <w:right w:val="single" w:sz="2" w:space="0" w:color="1F1F1E"/>
        </w:pBdr>
        <w:shd w:val="clear" w:color="auto" w:fill="FFFFFF"/>
        <w:spacing w:before="120" w:beforeAutospacing="0" w:after="0" w:afterAutospacing="0"/>
        <w:rPr>
          <w:rFonts w:ascii="Segoe UI" w:hAnsi="Segoe UI" w:cs="Segoe UI"/>
          <w:color w:val="121212"/>
          <w:sz w:val="21"/>
          <w:szCs w:val="21"/>
        </w:rPr>
      </w:pPr>
      <w:r>
        <w:rPr>
          <w:rStyle w:val="Strong"/>
          <w:rFonts w:ascii="Segoe UI" w:hAnsi="Segoe UI" w:cs="Segoe UI"/>
          <w:color w:val="121212"/>
          <w:sz w:val="21"/>
          <w:szCs w:val="21"/>
          <w:bdr w:val="single" w:sz="2" w:space="0" w:color="1F1F1E" w:frame="1"/>
        </w:rPr>
        <w:t>Permits:</w:t>
      </w:r>
      <w:r>
        <w:rPr>
          <w:rFonts w:ascii="Segoe UI" w:hAnsi="Segoe UI" w:cs="Segoe UI"/>
          <w:color w:val="121212"/>
          <w:sz w:val="21"/>
          <w:szCs w:val="21"/>
        </w:rPr>
        <w:t> SF 6,158 (2014) → 9,620 (2024). MF peaked at </w:t>
      </w:r>
      <w:r>
        <w:rPr>
          <w:rStyle w:val="Strong"/>
          <w:rFonts w:ascii="Segoe UI" w:hAnsi="Segoe UI" w:cs="Segoe UI"/>
          <w:color w:val="121212"/>
          <w:sz w:val="21"/>
          <w:szCs w:val="21"/>
          <w:bdr w:val="single" w:sz="2" w:space="0" w:color="1F1F1E" w:frame="1"/>
        </w:rPr>
        <w:t>9,080 in 2022</w:t>
      </w:r>
      <w:r>
        <w:rPr>
          <w:rFonts w:ascii="Segoe UI" w:hAnsi="Segoe UI" w:cs="Segoe UI"/>
          <w:color w:val="121212"/>
          <w:sz w:val="21"/>
          <w:szCs w:val="21"/>
        </w:rPr>
        <w:t>, dropped to 5,628 in 2024 — multifamily cooling.</w:t>
      </w:r>
    </w:p>
    <w:p w:rsidR="00CE47B1" w:rsidRDefault="00CE47B1" w:rsidP="00CE47B1">
      <w:pPr>
        <w:pStyle w:val="NormalWeb"/>
        <w:pBdr>
          <w:top w:val="single" w:sz="2" w:space="0" w:color="1F1F1E"/>
          <w:left w:val="single" w:sz="2" w:space="0" w:color="1F1F1E"/>
          <w:bottom w:val="single" w:sz="2" w:space="0" w:color="1F1F1E"/>
          <w:right w:val="single" w:sz="2" w:space="0" w:color="1F1F1E"/>
        </w:pBdr>
        <w:shd w:val="clear" w:color="auto" w:fill="FFFFFF"/>
        <w:spacing w:before="120" w:beforeAutospacing="0" w:after="0" w:afterAutospacing="0"/>
        <w:rPr>
          <w:rFonts w:ascii="Segoe UI" w:hAnsi="Segoe UI" w:cs="Segoe UI"/>
          <w:color w:val="121212"/>
          <w:sz w:val="21"/>
          <w:szCs w:val="21"/>
        </w:rPr>
      </w:pPr>
      <w:r>
        <w:rPr>
          <w:rStyle w:val="Strong"/>
          <w:rFonts w:ascii="Segoe UI" w:hAnsi="Segoe UI" w:cs="Segoe UI"/>
          <w:color w:val="121212"/>
          <w:sz w:val="21"/>
          <w:szCs w:val="21"/>
          <w:bdr w:val="single" w:sz="2" w:space="0" w:color="1F1F1E" w:frame="1"/>
        </w:rPr>
        <w:t>Rental supply gap (real numbers):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76"/>
        <w:gridCol w:w="825"/>
        <w:gridCol w:w="1688"/>
        <w:gridCol w:w="898"/>
      </w:tblGrid>
      <w:tr w:rsidR="00CE47B1">
        <w:trPr>
          <w:tblHeader/>
        </w:trPr>
        <w:tc>
          <w:tcPr>
            <w:tcW w:w="0" w:type="auto"/>
            <w:tcBorders>
              <w:top w:val="single" w:sz="2" w:space="0" w:color="auto"/>
              <w:left w:val="single" w:sz="2" w:space="0" w:color="auto"/>
              <w:bottom w:val="single" w:sz="2" w:space="0" w:color="auto"/>
              <w:right w:val="single" w:sz="6" w:space="0" w:color="auto"/>
            </w:tcBorders>
            <w:shd w:val="clear" w:color="auto" w:fill="F4F4F1"/>
            <w:vAlign w:val="center"/>
            <w:hideMark/>
          </w:tcPr>
          <w:p w:rsidR="00CE47B1" w:rsidRDefault="00CE47B1">
            <w:pPr>
              <w:rPr>
                <w:rFonts w:ascii="Times New Roman" w:hAnsi="Times New Roman" w:cs="Times New Roman"/>
                <w:b/>
                <w:bCs/>
                <w:color w:val="373734"/>
                <w:sz w:val="24"/>
                <w:szCs w:val="24"/>
              </w:rPr>
            </w:pPr>
            <w:r>
              <w:rPr>
                <w:b/>
                <w:bCs/>
                <w:color w:val="373734"/>
              </w:rPr>
              <w:t>Income Threshold</w:t>
            </w:r>
          </w:p>
        </w:tc>
        <w:tc>
          <w:tcPr>
            <w:tcW w:w="0" w:type="auto"/>
            <w:tcBorders>
              <w:top w:val="single" w:sz="2" w:space="0" w:color="auto"/>
              <w:left w:val="single" w:sz="2" w:space="0" w:color="auto"/>
              <w:bottom w:val="single" w:sz="2" w:space="0" w:color="auto"/>
              <w:right w:val="single" w:sz="6" w:space="0" w:color="auto"/>
            </w:tcBorders>
            <w:shd w:val="clear" w:color="auto" w:fill="F4F4F1"/>
            <w:vAlign w:val="center"/>
            <w:hideMark/>
          </w:tcPr>
          <w:p w:rsidR="00CE47B1" w:rsidRDefault="00CE47B1">
            <w:pPr>
              <w:rPr>
                <w:b/>
                <w:bCs/>
                <w:color w:val="373734"/>
              </w:rPr>
            </w:pPr>
            <w:r>
              <w:rPr>
                <w:b/>
                <w:bCs/>
                <w:color w:val="373734"/>
              </w:rPr>
              <w:t>Renters</w:t>
            </w:r>
          </w:p>
        </w:tc>
        <w:tc>
          <w:tcPr>
            <w:tcW w:w="0" w:type="auto"/>
            <w:tcBorders>
              <w:top w:val="single" w:sz="2" w:space="0" w:color="auto"/>
              <w:left w:val="single" w:sz="2" w:space="0" w:color="auto"/>
              <w:bottom w:val="single" w:sz="2" w:space="0" w:color="auto"/>
              <w:right w:val="single" w:sz="6" w:space="0" w:color="auto"/>
            </w:tcBorders>
            <w:shd w:val="clear" w:color="auto" w:fill="F4F4F1"/>
            <w:vAlign w:val="center"/>
            <w:hideMark/>
          </w:tcPr>
          <w:p w:rsidR="00CE47B1" w:rsidRDefault="00CE47B1">
            <w:pPr>
              <w:rPr>
                <w:b/>
                <w:bCs/>
                <w:color w:val="373734"/>
              </w:rPr>
            </w:pPr>
            <w:r>
              <w:rPr>
                <w:b/>
                <w:bCs/>
                <w:color w:val="373734"/>
              </w:rPr>
              <w:t>Affordable Units</w:t>
            </w:r>
          </w:p>
        </w:tc>
        <w:tc>
          <w:tcPr>
            <w:tcW w:w="0" w:type="auto"/>
            <w:tcBorders>
              <w:top w:val="single" w:sz="2" w:space="0" w:color="auto"/>
              <w:left w:val="single" w:sz="2" w:space="0" w:color="auto"/>
              <w:bottom w:val="single" w:sz="2" w:space="0" w:color="auto"/>
              <w:right w:val="single" w:sz="2" w:space="0" w:color="auto"/>
            </w:tcBorders>
            <w:shd w:val="clear" w:color="auto" w:fill="F4F4F1"/>
            <w:vAlign w:val="center"/>
            <w:hideMark/>
          </w:tcPr>
          <w:p w:rsidR="00CE47B1" w:rsidRDefault="00CE47B1">
            <w:pPr>
              <w:rPr>
                <w:b/>
                <w:bCs/>
                <w:color w:val="373734"/>
              </w:rPr>
            </w:pPr>
            <w:r>
              <w:rPr>
                <w:rStyle w:val="Strong"/>
                <w:color w:val="373734"/>
                <w:bdr w:val="single" w:sz="2" w:space="0" w:color="1F1F1E" w:frame="1"/>
              </w:rPr>
              <w:t>Gap</w:t>
            </w:r>
          </w:p>
        </w:tc>
      </w:tr>
      <w:tr w:rsidR="00CE47B1">
        <w:tc>
          <w:tcPr>
            <w:tcW w:w="0" w:type="auto"/>
            <w:tcBorders>
              <w:top w:val="single" w:sz="2" w:space="0" w:color="auto"/>
              <w:left w:val="single" w:sz="2" w:space="0" w:color="auto"/>
              <w:bottom w:val="single" w:sz="2" w:space="0" w:color="auto"/>
              <w:right w:val="single" w:sz="6" w:space="0" w:color="auto"/>
            </w:tcBorders>
            <w:vAlign w:val="center"/>
            <w:hideMark/>
          </w:tcPr>
          <w:p w:rsidR="00CE47B1" w:rsidRDefault="00CE47B1">
            <w:pPr>
              <w:rPr>
                <w:color w:val="373734"/>
              </w:rPr>
            </w:pPr>
            <w:r>
              <w:rPr>
                <w:color w:val="373734"/>
              </w:rPr>
              <w:t>&lt;$20K</w:t>
            </w:r>
          </w:p>
        </w:tc>
        <w:tc>
          <w:tcPr>
            <w:tcW w:w="0" w:type="auto"/>
            <w:tcBorders>
              <w:top w:val="single" w:sz="2" w:space="0" w:color="auto"/>
              <w:left w:val="single" w:sz="2" w:space="0" w:color="auto"/>
              <w:bottom w:val="single" w:sz="2" w:space="0" w:color="auto"/>
              <w:right w:val="single" w:sz="6" w:space="0" w:color="auto"/>
            </w:tcBorders>
            <w:vAlign w:val="center"/>
            <w:hideMark/>
          </w:tcPr>
          <w:p w:rsidR="00CE47B1" w:rsidRDefault="00CE47B1">
            <w:pPr>
              <w:rPr>
                <w:color w:val="373734"/>
              </w:rPr>
            </w:pPr>
            <w:r>
              <w:rPr>
                <w:color w:val="373734"/>
              </w:rPr>
              <w:t>19,938</w:t>
            </w:r>
          </w:p>
        </w:tc>
        <w:tc>
          <w:tcPr>
            <w:tcW w:w="0" w:type="auto"/>
            <w:tcBorders>
              <w:top w:val="single" w:sz="2" w:space="0" w:color="auto"/>
              <w:left w:val="single" w:sz="2" w:space="0" w:color="auto"/>
              <w:bottom w:val="single" w:sz="2" w:space="0" w:color="auto"/>
              <w:right w:val="single" w:sz="6" w:space="0" w:color="auto"/>
            </w:tcBorders>
            <w:vAlign w:val="center"/>
            <w:hideMark/>
          </w:tcPr>
          <w:p w:rsidR="00CE47B1" w:rsidRDefault="00CE47B1">
            <w:pPr>
              <w:rPr>
                <w:color w:val="373734"/>
              </w:rPr>
            </w:pPr>
            <w:r>
              <w:rPr>
                <w:color w:val="373734"/>
              </w:rPr>
              <w:t>3,164</w:t>
            </w:r>
          </w:p>
        </w:tc>
        <w:tc>
          <w:tcPr>
            <w:tcW w:w="0" w:type="auto"/>
            <w:tcBorders>
              <w:top w:val="single" w:sz="2" w:space="0" w:color="auto"/>
              <w:left w:val="single" w:sz="2" w:space="0" w:color="auto"/>
              <w:bottom w:val="single" w:sz="2" w:space="0" w:color="auto"/>
              <w:right w:val="single" w:sz="2" w:space="0" w:color="auto"/>
            </w:tcBorders>
            <w:vAlign w:val="center"/>
            <w:hideMark/>
          </w:tcPr>
          <w:p w:rsidR="00CE47B1" w:rsidRDefault="00CE47B1">
            <w:pPr>
              <w:rPr>
                <w:color w:val="373734"/>
              </w:rPr>
            </w:pPr>
            <w:r>
              <w:rPr>
                <w:rStyle w:val="Strong"/>
                <w:color w:val="373734"/>
                <w:bdr w:val="single" w:sz="2" w:space="0" w:color="1F1F1E" w:frame="1"/>
              </w:rPr>
              <w:t>-16,774</w:t>
            </w:r>
          </w:p>
        </w:tc>
      </w:tr>
      <w:tr w:rsidR="00CE47B1">
        <w:tc>
          <w:tcPr>
            <w:tcW w:w="0" w:type="auto"/>
            <w:tcBorders>
              <w:top w:val="single" w:sz="2" w:space="0" w:color="auto"/>
              <w:left w:val="single" w:sz="2" w:space="0" w:color="auto"/>
              <w:bottom w:val="single" w:sz="2" w:space="0" w:color="auto"/>
              <w:right w:val="single" w:sz="6" w:space="0" w:color="auto"/>
            </w:tcBorders>
            <w:vAlign w:val="center"/>
            <w:hideMark/>
          </w:tcPr>
          <w:p w:rsidR="00CE47B1" w:rsidRDefault="00CE47B1">
            <w:pPr>
              <w:rPr>
                <w:color w:val="373734"/>
              </w:rPr>
            </w:pPr>
            <w:r>
              <w:rPr>
                <w:color w:val="373734"/>
              </w:rPr>
              <w:t>&lt;$35K</w:t>
            </w:r>
          </w:p>
        </w:tc>
        <w:tc>
          <w:tcPr>
            <w:tcW w:w="0" w:type="auto"/>
            <w:tcBorders>
              <w:top w:val="single" w:sz="2" w:space="0" w:color="auto"/>
              <w:left w:val="single" w:sz="2" w:space="0" w:color="auto"/>
              <w:bottom w:val="single" w:sz="2" w:space="0" w:color="auto"/>
              <w:right w:val="single" w:sz="6" w:space="0" w:color="auto"/>
            </w:tcBorders>
            <w:vAlign w:val="center"/>
            <w:hideMark/>
          </w:tcPr>
          <w:p w:rsidR="00CE47B1" w:rsidRDefault="00CE47B1">
            <w:pPr>
              <w:rPr>
                <w:color w:val="373734"/>
              </w:rPr>
            </w:pPr>
            <w:r>
              <w:rPr>
                <w:color w:val="373734"/>
              </w:rPr>
              <w:t>39,111</w:t>
            </w:r>
          </w:p>
        </w:tc>
        <w:tc>
          <w:tcPr>
            <w:tcW w:w="0" w:type="auto"/>
            <w:tcBorders>
              <w:top w:val="single" w:sz="2" w:space="0" w:color="auto"/>
              <w:left w:val="single" w:sz="2" w:space="0" w:color="auto"/>
              <w:bottom w:val="single" w:sz="2" w:space="0" w:color="auto"/>
              <w:right w:val="single" w:sz="6" w:space="0" w:color="auto"/>
            </w:tcBorders>
            <w:vAlign w:val="center"/>
            <w:hideMark/>
          </w:tcPr>
          <w:p w:rsidR="00CE47B1" w:rsidRDefault="00CE47B1">
            <w:pPr>
              <w:rPr>
                <w:color w:val="373734"/>
              </w:rPr>
            </w:pPr>
            <w:r>
              <w:rPr>
                <w:color w:val="373734"/>
              </w:rPr>
              <w:t>13,074</w:t>
            </w:r>
          </w:p>
        </w:tc>
        <w:tc>
          <w:tcPr>
            <w:tcW w:w="0" w:type="auto"/>
            <w:tcBorders>
              <w:top w:val="single" w:sz="2" w:space="0" w:color="auto"/>
              <w:left w:val="single" w:sz="2" w:space="0" w:color="auto"/>
              <w:bottom w:val="single" w:sz="2" w:space="0" w:color="auto"/>
              <w:right w:val="single" w:sz="2" w:space="0" w:color="auto"/>
            </w:tcBorders>
            <w:vAlign w:val="center"/>
            <w:hideMark/>
          </w:tcPr>
          <w:p w:rsidR="00CE47B1" w:rsidRDefault="00CE47B1">
            <w:pPr>
              <w:rPr>
                <w:color w:val="373734"/>
              </w:rPr>
            </w:pPr>
            <w:r>
              <w:rPr>
                <w:rStyle w:val="Strong"/>
                <w:color w:val="373734"/>
                <w:bdr w:val="single" w:sz="2" w:space="0" w:color="1F1F1E" w:frame="1"/>
              </w:rPr>
              <w:t>-26,037</w:t>
            </w:r>
          </w:p>
        </w:tc>
      </w:tr>
      <w:tr w:rsidR="00CE47B1">
        <w:tc>
          <w:tcPr>
            <w:tcW w:w="0" w:type="auto"/>
            <w:tcBorders>
              <w:top w:val="single" w:sz="2" w:space="0" w:color="auto"/>
              <w:left w:val="single" w:sz="2" w:space="0" w:color="auto"/>
              <w:bottom w:val="single" w:sz="2" w:space="0" w:color="auto"/>
              <w:right w:val="single" w:sz="6" w:space="0" w:color="auto"/>
            </w:tcBorders>
            <w:vAlign w:val="center"/>
            <w:hideMark/>
          </w:tcPr>
          <w:p w:rsidR="00CE47B1" w:rsidRDefault="00CE47B1">
            <w:pPr>
              <w:rPr>
                <w:color w:val="373734"/>
              </w:rPr>
            </w:pPr>
            <w:r>
              <w:rPr>
                <w:color w:val="373734"/>
              </w:rPr>
              <w:t>&lt;$50K</w:t>
            </w:r>
          </w:p>
        </w:tc>
        <w:tc>
          <w:tcPr>
            <w:tcW w:w="0" w:type="auto"/>
            <w:tcBorders>
              <w:top w:val="single" w:sz="2" w:space="0" w:color="auto"/>
              <w:left w:val="single" w:sz="2" w:space="0" w:color="auto"/>
              <w:bottom w:val="single" w:sz="2" w:space="0" w:color="auto"/>
              <w:right w:val="single" w:sz="6" w:space="0" w:color="auto"/>
            </w:tcBorders>
            <w:vAlign w:val="center"/>
            <w:hideMark/>
          </w:tcPr>
          <w:p w:rsidR="00CE47B1" w:rsidRDefault="00CE47B1">
            <w:pPr>
              <w:rPr>
                <w:color w:val="373734"/>
              </w:rPr>
            </w:pPr>
            <w:r>
              <w:rPr>
                <w:color w:val="373734"/>
              </w:rPr>
              <w:t>60,690</w:t>
            </w:r>
          </w:p>
        </w:tc>
        <w:tc>
          <w:tcPr>
            <w:tcW w:w="0" w:type="auto"/>
            <w:tcBorders>
              <w:top w:val="single" w:sz="2" w:space="0" w:color="auto"/>
              <w:left w:val="single" w:sz="2" w:space="0" w:color="auto"/>
              <w:bottom w:val="single" w:sz="2" w:space="0" w:color="auto"/>
              <w:right w:val="single" w:sz="6" w:space="0" w:color="auto"/>
            </w:tcBorders>
            <w:vAlign w:val="center"/>
            <w:hideMark/>
          </w:tcPr>
          <w:p w:rsidR="00CE47B1" w:rsidRDefault="00CE47B1">
            <w:pPr>
              <w:rPr>
                <w:color w:val="373734"/>
              </w:rPr>
            </w:pPr>
            <w:r>
              <w:rPr>
                <w:color w:val="373734"/>
              </w:rPr>
              <w:t>36,222</w:t>
            </w:r>
          </w:p>
        </w:tc>
        <w:tc>
          <w:tcPr>
            <w:tcW w:w="0" w:type="auto"/>
            <w:tcBorders>
              <w:top w:val="single" w:sz="2" w:space="0" w:color="auto"/>
              <w:left w:val="single" w:sz="2" w:space="0" w:color="auto"/>
              <w:bottom w:val="single" w:sz="2" w:space="0" w:color="auto"/>
              <w:right w:val="single" w:sz="2" w:space="0" w:color="auto"/>
            </w:tcBorders>
            <w:vAlign w:val="center"/>
            <w:hideMark/>
          </w:tcPr>
          <w:p w:rsidR="00CE47B1" w:rsidRDefault="00CE47B1">
            <w:pPr>
              <w:rPr>
                <w:color w:val="373734"/>
              </w:rPr>
            </w:pPr>
            <w:r>
              <w:rPr>
                <w:rStyle w:val="Strong"/>
                <w:color w:val="373734"/>
                <w:bdr w:val="single" w:sz="2" w:space="0" w:color="1F1F1E" w:frame="1"/>
              </w:rPr>
              <w:t>-24,468</w:t>
            </w:r>
          </w:p>
        </w:tc>
      </w:tr>
      <w:tr w:rsidR="00CE47B1">
        <w:tc>
          <w:tcPr>
            <w:tcW w:w="0" w:type="auto"/>
            <w:tcBorders>
              <w:top w:val="single" w:sz="2" w:space="0" w:color="auto"/>
              <w:left w:val="single" w:sz="2" w:space="0" w:color="auto"/>
              <w:bottom w:val="single" w:sz="2" w:space="0" w:color="auto"/>
              <w:right w:val="single" w:sz="6" w:space="0" w:color="auto"/>
            </w:tcBorders>
            <w:vAlign w:val="center"/>
            <w:hideMark/>
          </w:tcPr>
          <w:p w:rsidR="00CE47B1" w:rsidRDefault="00CE47B1">
            <w:pPr>
              <w:rPr>
                <w:color w:val="373734"/>
              </w:rPr>
            </w:pPr>
            <w:r>
              <w:rPr>
                <w:color w:val="373734"/>
              </w:rPr>
              <w:t>&lt;$75K</w:t>
            </w:r>
          </w:p>
        </w:tc>
        <w:tc>
          <w:tcPr>
            <w:tcW w:w="0" w:type="auto"/>
            <w:tcBorders>
              <w:top w:val="single" w:sz="2" w:space="0" w:color="auto"/>
              <w:left w:val="single" w:sz="2" w:space="0" w:color="auto"/>
              <w:bottom w:val="single" w:sz="2" w:space="0" w:color="auto"/>
              <w:right w:val="single" w:sz="6" w:space="0" w:color="auto"/>
            </w:tcBorders>
            <w:vAlign w:val="center"/>
            <w:hideMark/>
          </w:tcPr>
          <w:p w:rsidR="00CE47B1" w:rsidRDefault="00CE47B1">
            <w:pPr>
              <w:rPr>
                <w:color w:val="373734"/>
              </w:rPr>
            </w:pPr>
            <w:r>
              <w:rPr>
                <w:color w:val="373734"/>
              </w:rPr>
              <w:t>92,483</w:t>
            </w:r>
          </w:p>
        </w:tc>
        <w:tc>
          <w:tcPr>
            <w:tcW w:w="0" w:type="auto"/>
            <w:tcBorders>
              <w:top w:val="single" w:sz="2" w:space="0" w:color="auto"/>
              <w:left w:val="single" w:sz="2" w:space="0" w:color="auto"/>
              <w:bottom w:val="single" w:sz="2" w:space="0" w:color="auto"/>
              <w:right w:val="single" w:sz="6" w:space="0" w:color="auto"/>
            </w:tcBorders>
            <w:vAlign w:val="center"/>
            <w:hideMark/>
          </w:tcPr>
          <w:p w:rsidR="00CE47B1" w:rsidRDefault="00CE47B1">
            <w:pPr>
              <w:rPr>
                <w:color w:val="373734"/>
              </w:rPr>
            </w:pPr>
            <w:r>
              <w:rPr>
                <w:color w:val="373734"/>
              </w:rPr>
              <w:t>95,808</w:t>
            </w:r>
          </w:p>
        </w:tc>
        <w:tc>
          <w:tcPr>
            <w:tcW w:w="0" w:type="auto"/>
            <w:tcBorders>
              <w:top w:val="single" w:sz="2" w:space="0" w:color="auto"/>
              <w:left w:val="single" w:sz="2" w:space="0" w:color="auto"/>
              <w:bottom w:val="single" w:sz="2" w:space="0" w:color="auto"/>
              <w:right w:val="single" w:sz="2" w:space="0" w:color="auto"/>
            </w:tcBorders>
            <w:vAlign w:val="center"/>
            <w:hideMark/>
          </w:tcPr>
          <w:p w:rsidR="00CE47B1" w:rsidRDefault="00CE47B1">
            <w:pPr>
              <w:rPr>
                <w:color w:val="373734"/>
              </w:rPr>
            </w:pPr>
            <w:r>
              <w:rPr>
                <w:color w:val="373734"/>
              </w:rPr>
              <w:t xml:space="preserve">+3,325 </w:t>
            </w:r>
            <w:r>
              <w:rPr>
                <w:rFonts w:ascii="Segoe UI Symbol" w:hAnsi="Segoe UI Symbol" w:cs="Segoe UI Symbol"/>
                <w:color w:val="373734"/>
              </w:rPr>
              <w:t>✓</w:t>
            </w:r>
          </w:p>
        </w:tc>
      </w:tr>
    </w:tbl>
    <w:p w:rsidR="00CE47B1" w:rsidRDefault="00CE47B1" w:rsidP="00CE47B1">
      <w:pPr>
        <w:pStyle w:val="NormalWeb"/>
        <w:pBdr>
          <w:top w:val="single" w:sz="2" w:space="0" w:color="1F1F1E"/>
          <w:left w:val="single" w:sz="2" w:space="0" w:color="1F1F1E"/>
          <w:bottom w:val="single" w:sz="2" w:space="0" w:color="1F1F1E"/>
          <w:right w:val="single" w:sz="2" w:space="0" w:color="1F1F1E"/>
        </w:pBdr>
        <w:shd w:val="clear" w:color="auto" w:fill="FFFFFF"/>
        <w:spacing w:before="120" w:beforeAutospacing="0" w:after="0" w:afterAutospacing="0"/>
        <w:rPr>
          <w:rFonts w:ascii="Segoe UI" w:hAnsi="Segoe UI" w:cs="Segoe UI"/>
          <w:color w:val="121212"/>
          <w:sz w:val="21"/>
          <w:szCs w:val="21"/>
        </w:rPr>
      </w:pPr>
      <w:r>
        <w:rPr>
          <w:rStyle w:val="Strong"/>
          <w:rFonts w:ascii="Segoe UI" w:hAnsi="Segoe UI" w:cs="Segoe UI"/>
          <w:color w:val="121212"/>
          <w:sz w:val="21"/>
          <w:szCs w:val="21"/>
          <w:bdr w:val="single" w:sz="2" w:space="0" w:color="1F1F1E" w:frame="1"/>
        </w:rPr>
        <w:t>Affordable units produced total: 7,086</w:t>
      </w:r>
    </w:p>
    <w:p w:rsidR="00CE47B1" w:rsidRDefault="00CE47B1" w:rsidP="00CE47B1">
      <w:pPr>
        <w:spacing w:before="120"/>
        <w:rPr>
          <w:rFonts w:ascii="Segoe UI" w:hAnsi="Segoe UI" w:cs="Segoe UI"/>
          <w:sz w:val="21"/>
          <w:szCs w:val="21"/>
        </w:rPr>
      </w:pPr>
      <w:r>
        <w:rPr>
          <w:noProof/>
        </w:rPr>
      </w:r>
      <w:r w:rsidR="00CE47B1">
        <w:rPr>
          <w:noProof/>
        </w:rPr>
        <w:pict>
          <v:rect id="_x0000_i1027" alt="" style="width:468pt;height:.05pt;mso-width-percent:0;mso-height-percent:0;mso-width-percent:0;mso-height-percent:0" o:hralign="center" o:hrstd="t" o:hr="t" fillcolor="#a0a0a0" stroked="f"/>
        </w:pict>
      </w:r>
    </w:p>
    <w:p w:rsidR="00CE47B1" w:rsidRDefault="00CE47B1" w:rsidP="00CE47B1">
      <w:pPr>
        <w:pStyle w:val="Heading2"/>
        <w:pBdr>
          <w:top w:val="single" w:sz="2" w:space="0" w:color="1F1F1E"/>
          <w:left w:val="single" w:sz="2" w:space="0" w:color="1F1F1E"/>
          <w:bottom w:val="single" w:sz="2" w:space="0" w:color="1F1F1E"/>
          <w:right w:val="single" w:sz="2" w:space="0" w:color="1F1F1E"/>
        </w:pBdr>
        <w:shd w:val="clear" w:color="auto" w:fill="FFFFFF"/>
        <w:spacing w:before="120"/>
        <w:rPr>
          <w:rFonts w:ascii="Segoe UI" w:hAnsi="Segoe UI" w:cs="Segoe UI"/>
          <w:color w:val="121212"/>
          <w:sz w:val="36"/>
          <w:szCs w:val="36"/>
        </w:rPr>
      </w:pPr>
      <w:r>
        <w:rPr>
          <w:rFonts w:ascii="Segoe UI" w:hAnsi="Segoe UI" w:cs="Segoe UI"/>
          <w:color w:val="121212"/>
        </w:rPr>
        <w:t>File 4 — Rental Affordability</w:t>
      </w:r>
    </w:p>
    <w:p w:rsidR="00CE47B1" w:rsidRDefault="00CE47B1" w:rsidP="00CE47B1">
      <w:pPr>
        <w:pStyle w:val="NormalWeb"/>
        <w:pBdr>
          <w:top w:val="single" w:sz="2" w:space="0" w:color="1F1F1E"/>
          <w:left w:val="single" w:sz="2" w:space="0" w:color="1F1F1E"/>
          <w:bottom w:val="single" w:sz="2" w:space="0" w:color="1F1F1E"/>
          <w:right w:val="single" w:sz="2" w:space="0" w:color="1F1F1E"/>
        </w:pBdr>
        <w:shd w:val="clear" w:color="auto" w:fill="FFFFFF"/>
        <w:spacing w:before="120" w:beforeAutospacing="0" w:after="0" w:afterAutospacing="0"/>
        <w:rPr>
          <w:rFonts w:ascii="Segoe UI" w:hAnsi="Segoe UI" w:cs="Segoe UI"/>
          <w:color w:val="121212"/>
          <w:sz w:val="21"/>
          <w:szCs w:val="21"/>
        </w:rPr>
      </w:pPr>
      <w:r>
        <w:rPr>
          <w:rStyle w:val="Strong"/>
          <w:rFonts w:ascii="Segoe UI" w:hAnsi="Segoe UI" w:cs="Segoe UI"/>
          <w:color w:val="121212"/>
          <w:sz w:val="21"/>
          <w:szCs w:val="21"/>
          <w:bdr w:val="single" w:sz="2" w:space="0" w:color="1F1F1E" w:frame="1"/>
        </w:rPr>
        <w:t>Median rent:</w:t>
      </w:r>
      <w:r>
        <w:rPr>
          <w:rFonts w:ascii="Segoe UI" w:hAnsi="Segoe UI" w:cs="Segoe UI"/>
          <w:color w:val="121212"/>
          <w:sz w:val="21"/>
          <w:szCs w:val="21"/>
        </w:rPr>
        <w:t> $1,104 (2015) → </w:t>
      </w:r>
      <w:r>
        <w:rPr>
          <w:rStyle w:val="Strong"/>
          <w:rFonts w:ascii="Segoe UI" w:hAnsi="Segoe UI" w:cs="Segoe UI"/>
          <w:color w:val="121212"/>
          <w:sz w:val="21"/>
          <w:szCs w:val="21"/>
          <w:bdr w:val="single" w:sz="2" w:space="0" w:color="1F1F1E" w:frame="1"/>
        </w:rPr>
        <w:t>$1,648 (2024)</w:t>
      </w:r>
      <w:r>
        <w:rPr>
          <w:rFonts w:ascii="Segoe UI" w:hAnsi="Segoe UI" w:cs="Segoe UI"/>
          <w:color w:val="121212"/>
          <w:sz w:val="21"/>
          <w:szCs w:val="21"/>
        </w:rPr>
        <w:t> — up </w:t>
      </w:r>
      <w:r>
        <w:rPr>
          <w:rStyle w:val="Strong"/>
          <w:rFonts w:ascii="Segoe UI" w:hAnsi="Segoe UI" w:cs="Segoe UI"/>
          <w:color w:val="121212"/>
          <w:sz w:val="21"/>
          <w:szCs w:val="21"/>
          <w:bdr w:val="single" w:sz="2" w:space="0" w:color="1F1F1E" w:frame="1"/>
        </w:rPr>
        <w:t>49%</w:t>
      </w:r>
      <w:r>
        <w:rPr>
          <w:rFonts w:ascii="Segoe UI" w:hAnsi="Segoe UI" w:cs="Segoe UI"/>
          <w:color w:val="121212"/>
          <w:sz w:val="21"/>
          <w:szCs w:val="21"/>
        </w:rPr>
        <w:t> in 10 years. NC only $1,228.</w:t>
      </w:r>
    </w:p>
    <w:p w:rsidR="00CE47B1" w:rsidRDefault="00CE47B1" w:rsidP="00CE47B1">
      <w:pPr>
        <w:pStyle w:val="NormalWeb"/>
        <w:pBdr>
          <w:top w:val="single" w:sz="2" w:space="0" w:color="1F1F1E"/>
          <w:left w:val="single" w:sz="2" w:space="0" w:color="1F1F1E"/>
          <w:bottom w:val="single" w:sz="2" w:space="0" w:color="1F1F1E"/>
          <w:right w:val="single" w:sz="2" w:space="0" w:color="1F1F1E"/>
        </w:pBdr>
        <w:shd w:val="clear" w:color="auto" w:fill="FFFFFF"/>
        <w:spacing w:before="120" w:beforeAutospacing="0" w:after="0" w:afterAutospacing="0"/>
        <w:rPr>
          <w:rFonts w:ascii="Segoe UI" w:hAnsi="Segoe UI" w:cs="Segoe UI"/>
          <w:color w:val="121212"/>
          <w:sz w:val="21"/>
          <w:szCs w:val="21"/>
        </w:rPr>
      </w:pPr>
      <w:r>
        <w:rPr>
          <w:rStyle w:val="Strong"/>
          <w:rFonts w:ascii="Segoe UI" w:hAnsi="Segoe UI" w:cs="Segoe UI"/>
          <w:color w:val="121212"/>
          <w:sz w:val="21"/>
          <w:szCs w:val="21"/>
          <w:bdr w:val="single" w:sz="2" w:space="0" w:color="1F1F1E" w:frame="1"/>
        </w:rPr>
        <w:t>The rent-income crisis opened in 2021:</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62"/>
        <w:gridCol w:w="2326"/>
        <w:gridCol w:w="2463"/>
        <w:gridCol w:w="3227"/>
      </w:tblGrid>
      <w:tr w:rsidR="00CE47B1">
        <w:trPr>
          <w:tblHeader/>
        </w:trPr>
        <w:tc>
          <w:tcPr>
            <w:tcW w:w="0" w:type="auto"/>
            <w:tcBorders>
              <w:top w:val="single" w:sz="2" w:space="0" w:color="auto"/>
              <w:left w:val="single" w:sz="2" w:space="0" w:color="auto"/>
              <w:bottom w:val="single" w:sz="2" w:space="0" w:color="auto"/>
              <w:right w:val="single" w:sz="6" w:space="0" w:color="auto"/>
            </w:tcBorders>
            <w:shd w:val="clear" w:color="auto" w:fill="F4F4F1"/>
            <w:vAlign w:val="center"/>
            <w:hideMark/>
          </w:tcPr>
          <w:p w:rsidR="00CE47B1" w:rsidRDefault="00CE47B1">
            <w:pPr>
              <w:rPr>
                <w:rFonts w:ascii="Times New Roman" w:hAnsi="Times New Roman" w:cs="Times New Roman"/>
                <w:b/>
                <w:bCs/>
                <w:color w:val="373734"/>
                <w:sz w:val="24"/>
                <w:szCs w:val="24"/>
              </w:rPr>
            </w:pPr>
            <w:r>
              <w:rPr>
                <w:b/>
                <w:bCs/>
                <w:color w:val="373734"/>
              </w:rPr>
              <w:t>Year</w:t>
            </w:r>
          </w:p>
        </w:tc>
        <w:tc>
          <w:tcPr>
            <w:tcW w:w="0" w:type="auto"/>
            <w:tcBorders>
              <w:top w:val="single" w:sz="2" w:space="0" w:color="auto"/>
              <w:left w:val="single" w:sz="2" w:space="0" w:color="auto"/>
              <w:bottom w:val="single" w:sz="2" w:space="0" w:color="auto"/>
              <w:right w:val="single" w:sz="6" w:space="0" w:color="auto"/>
            </w:tcBorders>
            <w:shd w:val="clear" w:color="auto" w:fill="F4F4F1"/>
            <w:vAlign w:val="center"/>
            <w:hideMark/>
          </w:tcPr>
          <w:p w:rsidR="00CE47B1" w:rsidRDefault="00CE47B1">
            <w:pPr>
              <w:rPr>
                <w:b/>
                <w:bCs/>
                <w:color w:val="373734"/>
              </w:rPr>
            </w:pPr>
            <w:r>
              <w:rPr>
                <w:b/>
                <w:bCs/>
                <w:color w:val="373734"/>
              </w:rPr>
              <w:t>Renter Median Income</w:t>
            </w:r>
          </w:p>
        </w:tc>
        <w:tc>
          <w:tcPr>
            <w:tcW w:w="0" w:type="auto"/>
            <w:tcBorders>
              <w:top w:val="single" w:sz="2" w:space="0" w:color="auto"/>
              <w:left w:val="single" w:sz="2" w:space="0" w:color="auto"/>
              <w:bottom w:val="single" w:sz="2" w:space="0" w:color="auto"/>
              <w:right w:val="single" w:sz="6" w:space="0" w:color="auto"/>
            </w:tcBorders>
            <w:shd w:val="clear" w:color="auto" w:fill="F4F4F1"/>
            <w:vAlign w:val="center"/>
            <w:hideMark/>
          </w:tcPr>
          <w:p w:rsidR="00CE47B1" w:rsidRDefault="00CE47B1">
            <w:pPr>
              <w:rPr>
                <w:b/>
                <w:bCs/>
                <w:color w:val="373734"/>
              </w:rPr>
            </w:pPr>
            <w:r>
              <w:rPr>
                <w:b/>
                <w:bCs/>
                <w:color w:val="373734"/>
              </w:rPr>
              <w:t>Income Needed for Rent</w:t>
            </w:r>
          </w:p>
        </w:tc>
        <w:tc>
          <w:tcPr>
            <w:tcW w:w="0" w:type="auto"/>
            <w:tcBorders>
              <w:top w:val="single" w:sz="2" w:space="0" w:color="auto"/>
              <w:left w:val="single" w:sz="2" w:space="0" w:color="auto"/>
              <w:bottom w:val="single" w:sz="2" w:space="0" w:color="auto"/>
              <w:right w:val="single" w:sz="2" w:space="0" w:color="auto"/>
            </w:tcBorders>
            <w:shd w:val="clear" w:color="auto" w:fill="F4F4F1"/>
            <w:vAlign w:val="center"/>
            <w:hideMark/>
          </w:tcPr>
          <w:p w:rsidR="00CE47B1" w:rsidRDefault="00CE47B1">
            <w:pPr>
              <w:rPr>
                <w:b/>
                <w:bCs/>
                <w:color w:val="373734"/>
              </w:rPr>
            </w:pPr>
            <w:r>
              <w:rPr>
                <w:b/>
                <w:bCs/>
                <w:color w:val="373734"/>
              </w:rPr>
              <w:t>Gap</w:t>
            </w:r>
          </w:p>
        </w:tc>
      </w:tr>
      <w:tr w:rsidR="00CE47B1">
        <w:tc>
          <w:tcPr>
            <w:tcW w:w="0" w:type="auto"/>
            <w:tcBorders>
              <w:top w:val="single" w:sz="2" w:space="0" w:color="auto"/>
              <w:left w:val="single" w:sz="2" w:space="0" w:color="auto"/>
              <w:bottom w:val="single" w:sz="2" w:space="0" w:color="auto"/>
              <w:right w:val="single" w:sz="6" w:space="0" w:color="auto"/>
            </w:tcBorders>
            <w:vAlign w:val="center"/>
            <w:hideMark/>
          </w:tcPr>
          <w:p w:rsidR="00CE47B1" w:rsidRDefault="00CE47B1">
            <w:pPr>
              <w:rPr>
                <w:color w:val="373734"/>
              </w:rPr>
            </w:pPr>
            <w:r>
              <w:rPr>
                <w:color w:val="373734"/>
              </w:rPr>
              <w:t>2019</w:t>
            </w:r>
          </w:p>
        </w:tc>
        <w:tc>
          <w:tcPr>
            <w:tcW w:w="0" w:type="auto"/>
            <w:tcBorders>
              <w:top w:val="single" w:sz="2" w:space="0" w:color="auto"/>
              <w:left w:val="single" w:sz="2" w:space="0" w:color="auto"/>
              <w:bottom w:val="single" w:sz="2" w:space="0" w:color="auto"/>
              <w:right w:val="single" w:sz="6" w:space="0" w:color="auto"/>
            </w:tcBorders>
            <w:vAlign w:val="center"/>
            <w:hideMark/>
          </w:tcPr>
          <w:p w:rsidR="00CE47B1" w:rsidRDefault="00CE47B1">
            <w:pPr>
              <w:rPr>
                <w:color w:val="373734"/>
              </w:rPr>
            </w:pPr>
            <w:r>
              <w:rPr>
                <w:color w:val="373734"/>
              </w:rPr>
              <w:t>$49,439</w:t>
            </w:r>
          </w:p>
        </w:tc>
        <w:tc>
          <w:tcPr>
            <w:tcW w:w="0" w:type="auto"/>
            <w:tcBorders>
              <w:top w:val="single" w:sz="2" w:space="0" w:color="auto"/>
              <w:left w:val="single" w:sz="2" w:space="0" w:color="auto"/>
              <w:bottom w:val="single" w:sz="2" w:space="0" w:color="auto"/>
              <w:right w:val="single" w:sz="6" w:space="0" w:color="auto"/>
            </w:tcBorders>
            <w:vAlign w:val="center"/>
            <w:hideMark/>
          </w:tcPr>
          <w:p w:rsidR="00CE47B1" w:rsidRDefault="00CE47B1">
            <w:pPr>
              <w:rPr>
                <w:color w:val="373734"/>
              </w:rPr>
            </w:pPr>
            <w:r>
              <w:rPr>
                <w:color w:val="373734"/>
              </w:rPr>
              <w:t>$50,920</w:t>
            </w:r>
          </w:p>
        </w:tc>
        <w:tc>
          <w:tcPr>
            <w:tcW w:w="0" w:type="auto"/>
            <w:tcBorders>
              <w:top w:val="single" w:sz="2" w:space="0" w:color="auto"/>
              <w:left w:val="single" w:sz="2" w:space="0" w:color="auto"/>
              <w:bottom w:val="single" w:sz="2" w:space="0" w:color="auto"/>
              <w:right w:val="single" w:sz="2" w:space="0" w:color="auto"/>
            </w:tcBorders>
            <w:vAlign w:val="center"/>
            <w:hideMark/>
          </w:tcPr>
          <w:p w:rsidR="00CE47B1" w:rsidRDefault="00CE47B1">
            <w:pPr>
              <w:rPr>
                <w:color w:val="373734"/>
              </w:rPr>
            </w:pPr>
            <w:r>
              <w:rPr>
                <w:color w:val="373734"/>
              </w:rPr>
              <w:t>-$1,481</w:t>
            </w:r>
          </w:p>
        </w:tc>
      </w:tr>
      <w:tr w:rsidR="00CE47B1">
        <w:tc>
          <w:tcPr>
            <w:tcW w:w="0" w:type="auto"/>
            <w:tcBorders>
              <w:top w:val="single" w:sz="2" w:space="0" w:color="auto"/>
              <w:left w:val="single" w:sz="2" w:space="0" w:color="auto"/>
              <w:bottom w:val="single" w:sz="2" w:space="0" w:color="auto"/>
              <w:right w:val="single" w:sz="6" w:space="0" w:color="auto"/>
            </w:tcBorders>
            <w:vAlign w:val="center"/>
            <w:hideMark/>
          </w:tcPr>
          <w:p w:rsidR="00CE47B1" w:rsidRDefault="00CE47B1">
            <w:pPr>
              <w:rPr>
                <w:color w:val="373734"/>
              </w:rPr>
            </w:pPr>
            <w:r>
              <w:rPr>
                <w:color w:val="373734"/>
              </w:rPr>
              <w:t>2020</w:t>
            </w:r>
          </w:p>
        </w:tc>
        <w:tc>
          <w:tcPr>
            <w:tcW w:w="0" w:type="auto"/>
            <w:tcBorders>
              <w:top w:val="single" w:sz="2" w:space="0" w:color="auto"/>
              <w:left w:val="single" w:sz="2" w:space="0" w:color="auto"/>
              <w:bottom w:val="single" w:sz="2" w:space="0" w:color="auto"/>
              <w:right w:val="single" w:sz="6" w:space="0" w:color="auto"/>
            </w:tcBorders>
            <w:vAlign w:val="center"/>
            <w:hideMark/>
          </w:tcPr>
          <w:p w:rsidR="00CE47B1" w:rsidRDefault="00CE47B1">
            <w:pPr>
              <w:rPr>
                <w:color w:val="373734"/>
              </w:rPr>
            </w:pPr>
            <w:r>
              <w:rPr>
                <w:color w:val="373734"/>
              </w:rPr>
              <w:t>$51,200</w:t>
            </w:r>
          </w:p>
        </w:tc>
        <w:tc>
          <w:tcPr>
            <w:tcW w:w="0" w:type="auto"/>
            <w:tcBorders>
              <w:top w:val="single" w:sz="2" w:space="0" w:color="auto"/>
              <w:left w:val="single" w:sz="2" w:space="0" w:color="auto"/>
              <w:bottom w:val="single" w:sz="2" w:space="0" w:color="auto"/>
              <w:right w:val="single" w:sz="6" w:space="0" w:color="auto"/>
            </w:tcBorders>
            <w:vAlign w:val="center"/>
            <w:hideMark/>
          </w:tcPr>
          <w:p w:rsidR="00CE47B1" w:rsidRDefault="00CE47B1">
            <w:pPr>
              <w:rPr>
                <w:color w:val="373734"/>
              </w:rPr>
            </w:pPr>
            <w:r>
              <w:rPr>
                <w:color w:val="373734"/>
              </w:rPr>
              <w:t>$52,480</w:t>
            </w:r>
          </w:p>
        </w:tc>
        <w:tc>
          <w:tcPr>
            <w:tcW w:w="0" w:type="auto"/>
            <w:tcBorders>
              <w:top w:val="single" w:sz="2" w:space="0" w:color="auto"/>
              <w:left w:val="single" w:sz="2" w:space="0" w:color="auto"/>
              <w:bottom w:val="single" w:sz="2" w:space="0" w:color="auto"/>
              <w:right w:val="single" w:sz="2" w:space="0" w:color="auto"/>
            </w:tcBorders>
            <w:vAlign w:val="center"/>
            <w:hideMark/>
          </w:tcPr>
          <w:p w:rsidR="00CE47B1" w:rsidRDefault="00CE47B1">
            <w:pPr>
              <w:rPr>
                <w:color w:val="373734"/>
              </w:rPr>
            </w:pPr>
            <w:r>
              <w:rPr>
                <w:color w:val="373734"/>
              </w:rPr>
              <w:t>-$1,280</w:t>
            </w:r>
          </w:p>
        </w:tc>
      </w:tr>
      <w:tr w:rsidR="00CE47B1">
        <w:tc>
          <w:tcPr>
            <w:tcW w:w="0" w:type="auto"/>
            <w:tcBorders>
              <w:top w:val="single" w:sz="2" w:space="0" w:color="auto"/>
              <w:left w:val="single" w:sz="2" w:space="0" w:color="auto"/>
              <w:bottom w:val="single" w:sz="2" w:space="0" w:color="auto"/>
              <w:right w:val="single" w:sz="6" w:space="0" w:color="auto"/>
            </w:tcBorders>
            <w:vAlign w:val="center"/>
            <w:hideMark/>
          </w:tcPr>
          <w:p w:rsidR="00CE47B1" w:rsidRDefault="00CE47B1">
            <w:pPr>
              <w:rPr>
                <w:color w:val="373734"/>
              </w:rPr>
            </w:pPr>
            <w:r>
              <w:rPr>
                <w:rStyle w:val="Strong"/>
                <w:color w:val="373734"/>
                <w:bdr w:val="single" w:sz="2" w:space="0" w:color="1F1F1E" w:frame="1"/>
              </w:rPr>
              <w:t>2021</w:t>
            </w:r>
          </w:p>
        </w:tc>
        <w:tc>
          <w:tcPr>
            <w:tcW w:w="0" w:type="auto"/>
            <w:tcBorders>
              <w:top w:val="single" w:sz="2" w:space="0" w:color="auto"/>
              <w:left w:val="single" w:sz="2" w:space="0" w:color="auto"/>
              <w:bottom w:val="single" w:sz="2" w:space="0" w:color="auto"/>
              <w:right w:val="single" w:sz="6" w:space="0" w:color="auto"/>
            </w:tcBorders>
            <w:vAlign w:val="center"/>
            <w:hideMark/>
          </w:tcPr>
          <w:p w:rsidR="00CE47B1" w:rsidRDefault="00CE47B1">
            <w:pPr>
              <w:rPr>
                <w:color w:val="373734"/>
              </w:rPr>
            </w:pPr>
            <w:r>
              <w:rPr>
                <w:rStyle w:val="Strong"/>
                <w:color w:val="373734"/>
                <w:bdr w:val="single" w:sz="2" w:space="0" w:color="1F1F1E" w:frame="1"/>
              </w:rPr>
              <w:t>$53,128</w:t>
            </w:r>
          </w:p>
        </w:tc>
        <w:tc>
          <w:tcPr>
            <w:tcW w:w="0" w:type="auto"/>
            <w:tcBorders>
              <w:top w:val="single" w:sz="2" w:space="0" w:color="auto"/>
              <w:left w:val="single" w:sz="2" w:space="0" w:color="auto"/>
              <w:bottom w:val="single" w:sz="2" w:space="0" w:color="auto"/>
              <w:right w:val="single" w:sz="6" w:space="0" w:color="auto"/>
            </w:tcBorders>
            <w:vAlign w:val="center"/>
            <w:hideMark/>
          </w:tcPr>
          <w:p w:rsidR="00CE47B1" w:rsidRDefault="00CE47B1">
            <w:pPr>
              <w:rPr>
                <w:color w:val="373734"/>
              </w:rPr>
            </w:pPr>
            <w:r>
              <w:rPr>
                <w:rStyle w:val="Strong"/>
                <w:color w:val="373734"/>
                <w:bdr w:val="single" w:sz="2" w:space="0" w:color="1F1F1E" w:frame="1"/>
              </w:rPr>
              <w:t>$61,400</w:t>
            </w:r>
          </w:p>
        </w:tc>
        <w:tc>
          <w:tcPr>
            <w:tcW w:w="0" w:type="auto"/>
            <w:tcBorders>
              <w:top w:val="single" w:sz="2" w:space="0" w:color="auto"/>
              <w:left w:val="single" w:sz="2" w:space="0" w:color="auto"/>
              <w:bottom w:val="single" w:sz="2" w:space="0" w:color="auto"/>
              <w:right w:val="single" w:sz="2" w:space="0" w:color="auto"/>
            </w:tcBorders>
            <w:vAlign w:val="center"/>
            <w:hideMark/>
          </w:tcPr>
          <w:p w:rsidR="00CE47B1" w:rsidRDefault="00CE47B1">
            <w:pPr>
              <w:rPr>
                <w:color w:val="373734"/>
              </w:rPr>
            </w:pPr>
            <w:r>
              <w:rPr>
                <w:rStyle w:val="Strong"/>
                <w:color w:val="373734"/>
                <w:bdr w:val="single" w:sz="2" w:space="0" w:color="1F1F1E" w:frame="1"/>
              </w:rPr>
              <w:t>-$8,272 ← rents spiked</w:t>
            </w:r>
          </w:p>
        </w:tc>
      </w:tr>
      <w:tr w:rsidR="00CE47B1">
        <w:tc>
          <w:tcPr>
            <w:tcW w:w="0" w:type="auto"/>
            <w:tcBorders>
              <w:top w:val="single" w:sz="2" w:space="0" w:color="auto"/>
              <w:left w:val="single" w:sz="2" w:space="0" w:color="auto"/>
              <w:bottom w:val="single" w:sz="2" w:space="0" w:color="auto"/>
              <w:right w:val="single" w:sz="6" w:space="0" w:color="auto"/>
            </w:tcBorders>
            <w:vAlign w:val="center"/>
            <w:hideMark/>
          </w:tcPr>
          <w:p w:rsidR="00CE47B1" w:rsidRDefault="00CE47B1">
            <w:pPr>
              <w:rPr>
                <w:color w:val="373734"/>
              </w:rPr>
            </w:pPr>
            <w:r>
              <w:rPr>
                <w:color w:val="373734"/>
              </w:rPr>
              <w:t>2022</w:t>
            </w:r>
          </w:p>
        </w:tc>
        <w:tc>
          <w:tcPr>
            <w:tcW w:w="0" w:type="auto"/>
            <w:tcBorders>
              <w:top w:val="single" w:sz="2" w:space="0" w:color="auto"/>
              <w:left w:val="single" w:sz="2" w:space="0" w:color="auto"/>
              <w:bottom w:val="single" w:sz="2" w:space="0" w:color="auto"/>
              <w:right w:val="single" w:sz="6" w:space="0" w:color="auto"/>
            </w:tcBorders>
            <w:vAlign w:val="center"/>
            <w:hideMark/>
          </w:tcPr>
          <w:p w:rsidR="00CE47B1" w:rsidRDefault="00CE47B1">
            <w:pPr>
              <w:rPr>
                <w:color w:val="373734"/>
              </w:rPr>
            </w:pPr>
            <w:r>
              <w:rPr>
                <w:color w:val="373734"/>
              </w:rPr>
              <w:t>$57,972</w:t>
            </w:r>
          </w:p>
        </w:tc>
        <w:tc>
          <w:tcPr>
            <w:tcW w:w="0" w:type="auto"/>
            <w:tcBorders>
              <w:top w:val="single" w:sz="2" w:space="0" w:color="auto"/>
              <w:left w:val="single" w:sz="2" w:space="0" w:color="auto"/>
              <w:bottom w:val="single" w:sz="2" w:space="0" w:color="auto"/>
              <w:right w:val="single" w:sz="6" w:space="0" w:color="auto"/>
            </w:tcBorders>
            <w:vAlign w:val="center"/>
            <w:hideMark/>
          </w:tcPr>
          <w:p w:rsidR="00CE47B1" w:rsidRDefault="00CE47B1">
            <w:pPr>
              <w:rPr>
                <w:color w:val="373734"/>
              </w:rPr>
            </w:pPr>
            <w:r>
              <w:rPr>
                <w:color w:val="373734"/>
              </w:rPr>
              <w:t>$65,360</w:t>
            </w:r>
          </w:p>
        </w:tc>
        <w:tc>
          <w:tcPr>
            <w:tcW w:w="0" w:type="auto"/>
            <w:tcBorders>
              <w:top w:val="single" w:sz="2" w:space="0" w:color="auto"/>
              <w:left w:val="single" w:sz="2" w:space="0" w:color="auto"/>
              <w:bottom w:val="single" w:sz="2" w:space="0" w:color="auto"/>
              <w:right w:val="single" w:sz="2" w:space="0" w:color="auto"/>
            </w:tcBorders>
            <w:vAlign w:val="center"/>
            <w:hideMark/>
          </w:tcPr>
          <w:p w:rsidR="00CE47B1" w:rsidRDefault="00CE47B1">
            <w:pPr>
              <w:rPr>
                <w:color w:val="373734"/>
              </w:rPr>
            </w:pPr>
            <w:r>
              <w:rPr>
                <w:color w:val="373734"/>
              </w:rPr>
              <w:t>-$7,388</w:t>
            </w:r>
          </w:p>
        </w:tc>
      </w:tr>
      <w:tr w:rsidR="00CE47B1">
        <w:tc>
          <w:tcPr>
            <w:tcW w:w="0" w:type="auto"/>
            <w:tcBorders>
              <w:top w:val="single" w:sz="2" w:space="0" w:color="auto"/>
              <w:left w:val="single" w:sz="2" w:space="0" w:color="auto"/>
              <w:bottom w:val="single" w:sz="2" w:space="0" w:color="auto"/>
              <w:right w:val="single" w:sz="6" w:space="0" w:color="auto"/>
            </w:tcBorders>
            <w:vAlign w:val="center"/>
            <w:hideMark/>
          </w:tcPr>
          <w:p w:rsidR="00CE47B1" w:rsidRDefault="00CE47B1">
            <w:pPr>
              <w:rPr>
                <w:color w:val="373734"/>
              </w:rPr>
            </w:pPr>
            <w:r>
              <w:rPr>
                <w:color w:val="373734"/>
              </w:rPr>
              <w:t>2024</w:t>
            </w:r>
          </w:p>
        </w:tc>
        <w:tc>
          <w:tcPr>
            <w:tcW w:w="0" w:type="auto"/>
            <w:tcBorders>
              <w:top w:val="single" w:sz="2" w:space="0" w:color="auto"/>
              <w:left w:val="single" w:sz="2" w:space="0" w:color="auto"/>
              <w:bottom w:val="single" w:sz="2" w:space="0" w:color="auto"/>
              <w:right w:val="single" w:sz="6" w:space="0" w:color="auto"/>
            </w:tcBorders>
            <w:vAlign w:val="center"/>
            <w:hideMark/>
          </w:tcPr>
          <w:p w:rsidR="00CE47B1" w:rsidRDefault="00CE47B1">
            <w:pPr>
              <w:rPr>
                <w:color w:val="373734"/>
              </w:rPr>
            </w:pPr>
            <w:r>
              <w:rPr>
                <w:color w:val="373734"/>
              </w:rPr>
              <w:t>$65,172</w:t>
            </w:r>
          </w:p>
        </w:tc>
        <w:tc>
          <w:tcPr>
            <w:tcW w:w="0" w:type="auto"/>
            <w:tcBorders>
              <w:top w:val="single" w:sz="2" w:space="0" w:color="auto"/>
              <w:left w:val="single" w:sz="2" w:space="0" w:color="auto"/>
              <w:bottom w:val="single" w:sz="2" w:space="0" w:color="auto"/>
              <w:right w:val="single" w:sz="6" w:space="0" w:color="auto"/>
            </w:tcBorders>
            <w:vAlign w:val="center"/>
            <w:hideMark/>
          </w:tcPr>
          <w:p w:rsidR="00CE47B1" w:rsidRDefault="00CE47B1">
            <w:pPr>
              <w:rPr>
                <w:color w:val="373734"/>
              </w:rPr>
            </w:pPr>
            <w:r>
              <w:rPr>
                <w:color w:val="373734"/>
              </w:rPr>
              <w:t>$65,920</w:t>
            </w:r>
          </w:p>
        </w:tc>
        <w:tc>
          <w:tcPr>
            <w:tcW w:w="0" w:type="auto"/>
            <w:tcBorders>
              <w:top w:val="single" w:sz="2" w:space="0" w:color="auto"/>
              <w:left w:val="single" w:sz="2" w:space="0" w:color="auto"/>
              <w:bottom w:val="single" w:sz="2" w:space="0" w:color="auto"/>
              <w:right w:val="single" w:sz="2" w:space="0" w:color="auto"/>
            </w:tcBorders>
            <w:vAlign w:val="center"/>
            <w:hideMark/>
          </w:tcPr>
          <w:p w:rsidR="00CE47B1" w:rsidRDefault="00CE47B1">
            <w:pPr>
              <w:rPr>
                <w:color w:val="373734"/>
              </w:rPr>
            </w:pPr>
            <w:r>
              <w:rPr>
                <w:color w:val="373734"/>
              </w:rPr>
              <w:t>-$748 ← narrowing but not closed</w:t>
            </w:r>
          </w:p>
        </w:tc>
      </w:tr>
    </w:tbl>
    <w:p w:rsidR="00CE47B1" w:rsidRDefault="00CE47B1" w:rsidP="00CE47B1">
      <w:pPr>
        <w:pStyle w:val="NormalWeb"/>
        <w:pBdr>
          <w:top w:val="single" w:sz="2" w:space="0" w:color="1F1F1E"/>
          <w:left w:val="single" w:sz="2" w:space="0" w:color="1F1F1E"/>
          <w:bottom w:val="single" w:sz="2" w:space="0" w:color="1F1F1E"/>
          <w:right w:val="single" w:sz="2" w:space="0" w:color="1F1F1E"/>
        </w:pBdr>
        <w:shd w:val="clear" w:color="auto" w:fill="FFFFFF"/>
        <w:spacing w:before="120" w:beforeAutospacing="0" w:after="0" w:afterAutospacing="0"/>
        <w:rPr>
          <w:rFonts w:ascii="Segoe UI" w:hAnsi="Segoe UI" w:cs="Segoe UI"/>
          <w:color w:val="121212"/>
          <w:sz w:val="21"/>
          <w:szCs w:val="21"/>
        </w:rPr>
      </w:pPr>
      <w:r>
        <w:rPr>
          <w:rStyle w:val="Strong"/>
          <w:rFonts w:ascii="Segoe UI" w:hAnsi="Segoe UI" w:cs="Segoe UI"/>
          <w:color w:val="121212"/>
          <w:sz w:val="21"/>
          <w:szCs w:val="21"/>
          <w:bdr w:val="single" w:sz="2" w:space="0" w:color="1F1F1E" w:frame="1"/>
        </w:rPr>
        <w:t>Cost burden is worsening dramatically across ALL income bands: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27"/>
        <w:gridCol w:w="637"/>
        <w:gridCol w:w="637"/>
        <w:gridCol w:w="2002"/>
      </w:tblGrid>
      <w:tr w:rsidR="00CE47B1">
        <w:trPr>
          <w:tblHeader/>
        </w:trPr>
        <w:tc>
          <w:tcPr>
            <w:tcW w:w="0" w:type="auto"/>
            <w:tcBorders>
              <w:top w:val="single" w:sz="2" w:space="0" w:color="auto"/>
              <w:left w:val="single" w:sz="2" w:space="0" w:color="auto"/>
              <w:bottom w:val="single" w:sz="2" w:space="0" w:color="auto"/>
              <w:right w:val="single" w:sz="6" w:space="0" w:color="auto"/>
            </w:tcBorders>
            <w:shd w:val="clear" w:color="auto" w:fill="F4F4F1"/>
            <w:vAlign w:val="center"/>
            <w:hideMark/>
          </w:tcPr>
          <w:p w:rsidR="00CE47B1" w:rsidRDefault="00CE47B1">
            <w:pPr>
              <w:rPr>
                <w:rFonts w:ascii="Times New Roman" w:hAnsi="Times New Roman" w:cs="Times New Roman"/>
                <w:b/>
                <w:bCs/>
                <w:color w:val="373734"/>
                <w:sz w:val="24"/>
                <w:szCs w:val="24"/>
              </w:rPr>
            </w:pPr>
            <w:r>
              <w:rPr>
                <w:b/>
                <w:bCs/>
                <w:color w:val="373734"/>
              </w:rPr>
              <w:t>Income</w:t>
            </w:r>
          </w:p>
        </w:tc>
        <w:tc>
          <w:tcPr>
            <w:tcW w:w="0" w:type="auto"/>
            <w:tcBorders>
              <w:top w:val="single" w:sz="2" w:space="0" w:color="auto"/>
              <w:left w:val="single" w:sz="2" w:space="0" w:color="auto"/>
              <w:bottom w:val="single" w:sz="2" w:space="0" w:color="auto"/>
              <w:right w:val="single" w:sz="6" w:space="0" w:color="auto"/>
            </w:tcBorders>
            <w:shd w:val="clear" w:color="auto" w:fill="F4F4F1"/>
            <w:vAlign w:val="center"/>
            <w:hideMark/>
          </w:tcPr>
          <w:p w:rsidR="00CE47B1" w:rsidRDefault="00CE47B1">
            <w:pPr>
              <w:rPr>
                <w:b/>
                <w:bCs/>
                <w:color w:val="373734"/>
              </w:rPr>
            </w:pPr>
            <w:r>
              <w:rPr>
                <w:b/>
                <w:bCs/>
                <w:color w:val="373734"/>
              </w:rPr>
              <w:t>2014</w:t>
            </w:r>
          </w:p>
        </w:tc>
        <w:tc>
          <w:tcPr>
            <w:tcW w:w="0" w:type="auto"/>
            <w:tcBorders>
              <w:top w:val="single" w:sz="2" w:space="0" w:color="auto"/>
              <w:left w:val="single" w:sz="2" w:space="0" w:color="auto"/>
              <w:bottom w:val="single" w:sz="2" w:space="0" w:color="auto"/>
              <w:right w:val="single" w:sz="6" w:space="0" w:color="auto"/>
            </w:tcBorders>
            <w:shd w:val="clear" w:color="auto" w:fill="F4F4F1"/>
            <w:vAlign w:val="center"/>
            <w:hideMark/>
          </w:tcPr>
          <w:p w:rsidR="00CE47B1" w:rsidRDefault="00CE47B1">
            <w:pPr>
              <w:rPr>
                <w:b/>
                <w:bCs/>
                <w:color w:val="373734"/>
              </w:rPr>
            </w:pPr>
            <w:r>
              <w:rPr>
                <w:b/>
                <w:bCs/>
                <w:color w:val="373734"/>
              </w:rPr>
              <w:t>2019</w:t>
            </w:r>
          </w:p>
        </w:tc>
        <w:tc>
          <w:tcPr>
            <w:tcW w:w="0" w:type="auto"/>
            <w:tcBorders>
              <w:top w:val="single" w:sz="2" w:space="0" w:color="auto"/>
              <w:left w:val="single" w:sz="2" w:space="0" w:color="auto"/>
              <w:bottom w:val="single" w:sz="2" w:space="0" w:color="auto"/>
              <w:right w:val="single" w:sz="2" w:space="0" w:color="auto"/>
            </w:tcBorders>
            <w:shd w:val="clear" w:color="auto" w:fill="F4F4F1"/>
            <w:vAlign w:val="center"/>
            <w:hideMark/>
          </w:tcPr>
          <w:p w:rsidR="00CE47B1" w:rsidRDefault="00CE47B1">
            <w:pPr>
              <w:rPr>
                <w:b/>
                <w:bCs/>
                <w:color w:val="373734"/>
              </w:rPr>
            </w:pPr>
            <w:r>
              <w:rPr>
                <w:b/>
                <w:bCs/>
                <w:color w:val="373734"/>
              </w:rPr>
              <w:t>2024</w:t>
            </w:r>
          </w:p>
        </w:tc>
      </w:tr>
      <w:tr w:rsidR="00CE47B1">
        <w:tc>
          <w:tcPr>
            <w:tcW w:w="0" w:type="auto"/>
            <w:tcBorders>
              <w:top w:val="single" w:sz="2" w:space="0" w:color="auto"/>
              <w:left w:val="single" w:sz="2" w:space="0" w:color="auto"/>
              <w:bottom w:val="single" w:sz="2" w:space="0" w:color="auto"/>
              <w:right w:val="single" w:sz="6" w:space="0" w:color="auto"/>
            </w:tcBorders>
            <w:vAlign w:val="center"/>
            <w:hideMark/>
          </w:tcPr>
          <w:p w:rsidR="00CE47B1" w:rsidRDefault="00CE47B1">
            <w:pPr>
              <w:rPr>
                <w:color w:val="373734"/>
              </w:rPr>
            </w:pPr>
            <w:r>
              <w:rPr>
                <w:color w:val="373734"/>
              </w:rPr>
              <w:t>&lt;$20K</w:t>
            </w:r>
          </w:p>
        </w:tc>
        <w:tc>
          <w:tcPr>
            <w:tcW w:w="0" w:type="auto"/>
            <w:tcBorders>
              <w:top w:val="single" w:sz="2" w:space="0" w:color="auto"/>
              <w:left w:val="single" w:sz="2" w:space="0" w:color="auto"/>
              <w:bottom w:val="single" w:sz="2" w:space="0" w:color="auto"/>
              <w:right w:val="single" w:sz="6" w:space="0" w:color="auto"/>
            </w:tcBorders>
            <w:vAlign w:val="center"/>
            <w:hideMark/>
          </w:tcPr>
          <w:p w:rsidR="00CE47B1" w:rsidRDefault="00CE47B1">
            <w:pPr>
              <w:rPr>
                <w:color w:val="373734"/>
              </w:rPr>
            </w:pPr>
            <w:r>
              <w:rPr>
                <w:color w:val="373734"/>
              </w:rPr>
              <w:t>93.4%</w:t>
            </w:r>
          </w:p>
        </w:tc>
        <w:tc>
          <w:tcPr>
            <w:tcW w:w="0" w:type="auto"/>
            <w:tcBorders>
              <w:top w:val="single" w:sz="2" w:space="0" w:color="auto"/>
              <w:left w:val="single" w:sz="2" w:space="0" w:color="auto"/>
              <w:bottom w:val="single" w:sz="2" w:space="0" w:color="auto"/>
              <w:right w:val="single" w:sz="6" w:space="0" w:color="auto"/>
            </w:tcBorders>
            <w:vAlign w:val="center"/>
            <w:hideMark/>
          </w:tcPr>
          <w:p w:rsidR="00CE47B1" w:rsidRDefault="00CE47B1">
            <w:pPr>
              <w:rPr>
                <w:color w:val="373734"/>
              </w:rPr>
            </w:pPr>
            <w:r>
              <w:rPr>
                <w:color w:val="373734"/>
              </w:rPr>
              <w:t>91.0%</w:t>
            </w:r>
          </w:p>
        </w:tc>
        <w:tc>
          <w:tcPr>
            <w:tcW w:w="0" w:type="auto"/>
            <w:tcBorders>
              <w:top w:val="single" w:sz="2" w:space="0" w:color="auto"/>
              <w:left w:val="single" w:sz="2" w:space="0" w:color="auto"/>
              <w:bottom w:val="single" w:sz="2" w:space="0" w:color="auto"/>
              <w:right w:val="single" w:sz="2" w:space="0" w:color="auto"/>
            </w:tcBorders>
            <w:vAlign w:val="center"/>
            <w:hideMark/>
          </w:tcPr>
          <w:p w:rsidR="00CE47B1" w:rsidRDefault="00CE47B1">
            <w:pPr>
              <w:rPr>
                <w:color w:val="373734"/>
              </w:rPr>
            </w:pPr>
            <w:r>
              <w:rPr>
                <w:rStyle w:val="Strong"/>
                <w:color w:val="373734"/>
                <w:bdr w:val="single" w:sz="2" w:space="0" w:color="1F1F1E" w:frame="1"/>
              </w:rPr>
              <w:t>96.0%</w:t>
            </w:r>
          </w:p>
        </w:tc>
      </w:tr>
      <w:tr w:rsidR="00CE47B1">
        <w:tc>
          <w:tcPr>
            <w:tcW w:w="0" w:type="auto"/>
            <w:tcBorders>
              <w:top w:val="single" w:sz="2" w:space="0" w:color="auto"/>
              <w:left w:val="single" w:sz="2" w:space="0" w:color="auto"/>
              <w:bottom w:val="single" w:sz="2" w:space="0" w:color="auto"/>
              <w:right w:val="single" w:sz="6" w:space="0" w:color="auto"/>
            </w:tcBorders>
            <w:vAlign w:val="center"/>
            <w:hideMark/>
          </w:tcPr>
          <w:p w:rsidR="00CE47B1" w:rsidRDefault="00CE47B1">
            <w:pPr>
              <w:rPr>
                <w:color w:val="373734"/>
              </w:rPr>
            </w:pPr>
            <w:r>
              <w:rPr>
                <w:color w:val="373734"/>
              </w:rPr>
              <w:t>$20K–$35K</w:t>
            </w:r>
          </w:p>
        </w:tc>
        <w:tc>
          <w:tcPr>
            <w:tcW w:w="0" w:type="auto"/>
            <w:tcBorders>
              <w:top w:val="single" w:sz="2" w:space="0" w:color="auto"/>
              <w:left w:val="single" w:sz="2" w:space="0" w:color="auto"/>
              <w:bottom w:val="single" w:sz="2" w:space="0" w:color="auto"/>
              <w:right w:val="single" w:sz="6" w:space="0" w:color="auto"/>
            </w:tcBorders>
            <w:vAlign w:val="center"/>
            <w:hideMark/>
          </w:tcPr>
          <w:p w:rsidR="00CE47B1" w:rsidRDefault="00CE47B1">
            <w:pPr>
              <w:rPr>
                <w:color w:val="373734"/>
              </w:rPr>
            </w:pPr>
            <w:r>
              <w:rPr>
                <w:color w:val="373734"/>
              </w:rPr>
              <w:t>80.4%</w:t>
            </w:r>
          </w:p>
        </w:tc>
        <w:tc>
          <w:tcPr>
            <w:tcW w:w="0" w:type="auto"/>
            <w:tcBorders>
              <w:top w:val="single" w:sz="2" w:space="0" w:color="auto"/>
              <w:left w:val="single" w:sz="2" w:space="0" w:color="auto"/>
              <w:bottom w:val="single" w:sz="2" w:space="0" w:color="auto"/>
              <w:right w:val="single" w:sz="6" w:space="0" w:color="auto"/>
            </w:tcBorders>
            <w:vAlign w:val="center"/>
            <w:hideMark/>
          </w:tcPr>
          <w:p w:rsidR="00CE47B1" w:rsidRDefault="00CE47B1">
            <w:pPr>
              <w:rPr>
                <w:color w:val="373734"/>
              </w:rPr>
            </w:pPr>
            <w:r>
              <w:rPr>
                <w:color w:val="373734"/>
              </w:rPr>
              <w:t>89.4%</w:t>
            </w:r>
          </w:p>
        </w:tc>
        <w:tc>
          <w:tcPr>
            <w:tcW w:w="0" w:type="auto"/>
            <w:tcBorders>
              <w:top w:val="single" w:sz="2" w:space="0" w:color="auto"/>
              <w:left w:val="single" w:sz="2" w:space="0" w:color="auto"/>
              <w:bottom w:val="single" w:sz="2" w:space="0" w:color="auto"/>
              <w:right w:val="single" w:sz="2" w:space="0" w:color="auto"/>
            </w:tcBorders>
            <w:vAlign w:val="center"/>
            <w:hideMark/>
          </w:tcPr>
          <w:p w:rsidR="00CE47B1" w:rsidRDefault="00CE47B1">
            <w:pPr>
              <w:rPr>
                <w:color w:val="373734"/>
              </w:rPr>
            </w:pPr>
            <w:r>
              <w:rPr>
                <w:rStyle w:val="Strong"/>
                <w:color w:val="373734"/>
                <w:bdr w:val="single" w:sz="2" w:space="0" w:color="1F1F1E" w:frame="1"/>
              </w:rPr>
              <w:t>94.7%</w:t>
            </w:r>
          </w:p>
        </w:tc>
      </w:tr>
      <w:tr w:rsidR="00CE47B1">
        <w:tc>
          <w:tcPr>
            <w:tcW w:w="0" w:type="auto"/>
            <w:tcBorders>
              <w:top w:val="single" w:sz="2" w:space="0" w:color="auto"/>
              <w:left w:val="single" w:sz="2" w:space="0" w:color="auto"/>
              <w:bottom w:val="single" w:sz="2" w:space="0" w:color="auto"/>
              <w:right w:val="single" w:sz="6" w:space="0" w:color="auto"/>
            </w:tcBorders>
            <w:vAlign w:val="center"/>
            <w:hideMark/>
          </w:tcPr>
          <w:p w:rsidR="00CE47B1" w:rsidRDefault="00CE47B1">
            <w:pPr>
              <w:rPr>
                <w:color w:val="373734"/>
              </w:rPr>
            </w:pPr>
            <w:r>
              <w:rPr>
                <w:color w:val="373734"/>
              </w:rPr>
              <w:t>$35K–$50K</w:t>
            </w:r>
          </w:p>
        </w:tc>
        <w:tc>
          <w:tcPr>
            <w:tcW w:w="0" w:type="auto"/>
            <w:tcBorders>
              <w:top w:val="single" w:sz="2" w:space="0" w:color="auto"/>
              <w:left w:val="single" w:sz="2" w:space="0" w:color="auto"/>
              <w:bottom w:val="single" w:sz="2" w:space="0" w:color="auto"/>
              <w:right w:val="single" w:sz="6" w:space="0" w:color="auto"/>
            </w:tcBorders>
            <w:vAlign w:val="center"/>
            <w:hideMark/>
          </w:tcPr>
          <w:p w:rsidR="00CE47B1" w:rsidRDefault="00CE47B1">
            <w:pPr>
              <w:rPr>
                <w:color w:val="373734"/>
              </w:rPr>
            </w:pPr>
            <w:r>
              <w:rPr>
                <w:color w:val="373734"/>
              </w:rPr>
              <w:t>34.5%</w:t>
            </w:r>
          </w:p>
        </w:tc>
        <w:tc>
          <w:tcPr>
            <w:tcW w:w="0" w:type="auto"/>
            <w:tcBorders>
              <w:top w:val="single" w:sz="2" w:space="0" w:color="auto"/>
              <w:left w:val="single" w:sz="2" w:space="0" w:color="auto"/>
              <w:bottom w:val="single" w:sz="2" w:space="0" w:color="auto"/>
              <w:right w:val="single" w:sz="6" w:space="0" w:color="auto"/>
            </w:tcBorders>
            <w:vAlign w:val="center"/>
            <w:hideMark/>
          </w:tcPr>
          <w:p w:rsidR="00CE47B1" w:rsidRDefault="00CE47B1">
            <w:pPr>
              <w:rPr>
                <w:color w:val="373734"/>
              </w:rPr>
            </w:pPr>
            <w:r>
              <w:rPr>
                <w:color w:val="373734"/>
              </w:rPr>
              <w:t>55.5%</w:t>
            </w:r>
          </w:p>
        </w:tc>
        <w:tc>
          <w:tcPr>
            <w:tcW w:w="0" w:type="auto"/>
            <w:tcBorders>
              <w:top w:val="single" w:sz="2" w:space="0" w:color="auto"/>
              <w:left w:val="single" w:sz="2" w:space="0" w:color="auto"/>
              <w:bottom w:val="single" w:sz="2" w:space="0" w:color="auto"/>
              <w:right w:val="single" w:sz="2" w:space="0" w:color="auto"/>
            </w:tcBorders>
            <w:vAlign w:val="center"/>
            <w:hideMark/>
          </w:tcPr>
          <w:p w:rsidR="00CE47B1" w:rsidRDefault="00CE47B1">
            <w:pPr>
              <w:rPr>
                <w:color w:val="373734"/>
              </w:rPr>
            </w:pPr>
            <w:r>
              <w:rPr>
                <w:rStyle w:val="Strong"/>
                <w:color w:val="373734"/>
                <w:bdr w:val="single" w:sz="2" w:space="0" w:color="1F1F1E" w:frame="1"/>
              </w:rPr>
              <w:t>88.9%</w:t>
            </w:r>
            <w:r>
              <w:rPr>
                <w:color w:val="373734"/>
              </w:rPr>
              <w:t> ← alarming</w:t>
            </w:r>
          </w:p>
        </w:tc>
      </w:tr>
      <w:tr w:rsidR="00CE47B1">
        <w:tc>
          <w:tcPr>
            <w:tcW w:w="0" w:type="auto"/>
            <w:tcBorders>
              <w:top w:val="single" w:sz="2" w:space="0" w:color="auto"/>
              <w:left w:val="single" w:sz="2" w:space="0" w:color="auto"/>
              <w:bottom w:val="single" w:sz="2" w:space="0" w:color="auto"/>
              <w:right w:val="single" w:sz="6" w:space="0" w:color="auto"/>
            </w:tcBorders>
            <w:vAlign w:val="center"/>
            <w:hideMark/>
          </w:tcPr>
          <w:p w:rsidR="00CE47B1" w:rsidRDefault="00CE47B1">
            <w:pPr>
              <w:rPr>
                <w:color w:val="373734"/>
              </w:rPr>
            </w:pPr>
            <w:r>
              <w:rPr>
                <w:color w:val="373734"/>
              </w:rPr>
              <w:lastRenderedPageBreak/>
              <w:t>$50K–$75K</w:t>
            </w:r>
          </w:p>
        </w:tc>
        <w:tc>
          <w:tcPr>
            <w:tcW w:w="0" w:type="auto"/>
            <w:tcBorders>
              <w:top w:val="single" w:sz="2" w:space="0" w:color="auto"/>
              <w:left w:val="single" w:sz="2" w:space="0" w:color="auto"/>
              <w:bottom w:val="single" w:sz="2" w:space="0" w:color="auto"/>
              <w:right w:val="single" w:sz="6" w:space="0" w:color="auto"/>
            </w:tcBorders>
            <w:vAlign w:val="center"/>
            <w:hideMark/>
          </w:tcPr>
          <w:p w:rsidR="00CE47B1" w:rsidRDefault="00CE47B1">
            <w:pPr>
              <w:rPr>
                <w:color w:val="373734"/>
              </w:rPr>
            </w:pPr>
            <w:r>
              <w:rPr>
                <w:color w:val="373734"/>
              </w:rPr>
              <w:t>9.8%</w:t>
            </w:r>
          </w:p>
        </w:tc>
        <w:tc>
          <w:tcPr>
            <w:tcW w:w="0" w:type="auto"/>
            <w:tcBorders>
              <w:top w:val="single" w:sz="2" w:space="0" w:color="auto"/>
              <w:left w:val="single" w:sz="2" w:space="0" w:color="auto"/>
              <w:bottom w:val="single" w:sz="2" w:space="0" w:color="auto"/>
              <w:right w:val="single" w:sz="6" w:space="0" w:color="auto"/>
            </w:tcBorders>
            <w:vAlign w:val="center"/>
            <w:hideMark/>
          </w:tcPr>
          <w:p w:rsidR="00CE47B1" w:rsidRDefault="00CE47B1">
            <w:pPr>
              <w:rPr>
                <w:color w:val="373734"/>
              </w:rPr>
            </w:pPr>
            <w:r>
              <w:rPr>
                <w:color w:val="373734"/>
              </w:rPr>
              <w:t>19.2%</w:t>
            </w:r>
          </w:p>
        </w:tc>
        <w:tc>
          <w:tcPr>
            <w:tcW w:w="0" w:type="auto"/>
            <w:tcBorders>
              <w:top w:val="single" w:sz="2" w:space="0" w:color="auto"/>
              <w:left w:val="single" w:sz="2" w:space="0" w:color="auto"/>
              <w:bottom w:val="single" w:sz="2" w:space="0" w:color="auto"/>
              <w:right w:val="single" w:sz="2" w:space="0" w:color="auto"/>
            </w:tcBorders>
            <w:vAlign w:val="center"/>
            <w:hideMark/>
          </w:tcPr>
          <w:p w:rsidR="00CE47B1" w:rsidRDefault="00CE47B1">
            <w:pPr>
              <w:rPr>
                <w:color w:val="373734"/>
              </w:rPr>
            </w:pPr>
            <w:r>
              <w:rPr>
                <w:rStyle w:val="Strong"/>
                <w:color w:val="373734"/>
                <w:bdr w:val="single" w:sz="2" w:space="0" w:color="1F1F1E" w:frame="1"/>
              </w:rPr>
              <w:t>55.8%</w:t>
            </w:r>
            <w:r>
              <w:rPr>
                <w:color w:val="373734"/>
              </w:rPr>
              <w:t> ← major shift</w:t>
            </w:r>
          </w:p>
        </w:tc>
      </w:tr>
    </w:tbl>
    <w:p w:rsidR="00CE47B1" w:rsidRDefault="00CE47B1" w:rsidP="00CE47B1">
      <w:pPr>
        <w:spacing w:before="120"/>
        <w:rPr>
          <w:rFonts w:ascii="Segoe UI" w:hAnsi="Segoe UI" w:cs="Segoe UI"/>
          <w:sz w:val="21"/>
          <w:szCs w:val="21"/>
        </w:rPr>
      </w:pPr>
      <w:r>
        <w:rPr>
          <w:noProof/>
        </w:rPr>
      </w:r>
      <w:r w:rsidR="00CE47B1">
        <w:rPr>
          <w:noProof/>
        </w:rPr>
        <w:pict>
          <v:rect id="_x0000_i1028" alt="" style="width:468pt;height:.05pt;mso-width-percent:0;mso-height-percent:0;mso-width-percent:0;mso-height-percent:0" o:hralign="center" o:hrstd="t" o:hr="t" fillcolor="#a0a0a0" stroked="f"/>
        </w:pict>
      </w:r>
    </w:p>
    <w:p w:rsidR="00CE47B1" w:rsidRDefault="00CE47B1" w:rsidP="00CE47B1">
      <w:pPr>
        <w:pStyle w:val="Heading2"/>
        <w:pBdr>
          <w:top w:val="single" w:sz="2" w:space="0" w:color="1F1F1E"/>
          <w:left w:val="single" w:sz="2" w:space="0" w:color="1F1F1E"/>
          <w:bottom w:val="single" w:sz="2" w:space="0" w:color="1F1F1E"/>
          <w:right w:val="single" w:sz="2" w:space="0" w:color="1F1F1E"/>
        </w:pBdr>
        <w:shd w:val="clear" w:color="auto" w:fill="FFFFFF"/>
        <w:spacing w:before="120"/>
        <w:rPr>
          <w:rFonts w:ascii="Segoe UI" w:hAnsi="Segoe UI" w:cs="Segoe UI"/>
          <w:color w:val="121212"/>
          <w:sz w:val="36"/>
          <w:szCs w:val="36"/>
        </w:rPr>
      </w:pPr>
      <w:r>
        <w:rPr>
          <w:rFonts w:ascii="Segoe UI" w:hAnsi="Segoe UI" w:cs="Segoe UI"/>
          <w:color w:val="121212"/>
        </w:rPr>
        <w:t>The 3 Most Powerful Insights Across All Files</w:t>
      </w:r>
    </w:p>
    <w:p w:rsidR="00CE47B1" w:rsidRDefault="00CE47B1" w:rsidP="00CE47B1">
      <w:pPr>
        <w:pStyle w:val="NormalWeb"/>
        <w:numPr>
          <w:ilvl w:val="0"/>
          <w:numId w:val="10"/>
        </w:numPr>
        <w:pBdr>
          <w:top w:val="single" w:sz="2" w:space="0" w:color="1F1F1E"/>
          <w:left w:val="single" w:sz="2" w:space="0" w:color="1F1F1E"/>
          <w:bottom w:val="single" w:sz="2" w:space="0" w:color="1F1F1E"/>
          <w:right w:val="single" w:sz="2" w:space="0" w:color="1F1F1E"/>
        </w:pBdr>
        <w:shd w:val="clear" w:color="auto" w:fill="FFFFFF"/>
        <w:spacing w:before="0" w:beforeAutospacing="0" w:after="0" w:afterAutospacing="0"/>
        <w:rPr>
          <w:rFonts w:ascii="Segoe UI" w:hAnsi="Segoe UI" w:cs="Segoe UI"/>
          <w:color w:val="121212"/>
          <w:sz w:val="21"/>
          <w:szCs w:val="21"/>
        </w:rPr>
      </w:pPr>
      <w:r>
        <w:rPr>
          <w:rStyle w:val="Strong"/>
          <w:rFonts w:ascii="Segoe UI" w:hAnsi="Segoe UI" w:cs="Segoe UI"/>
          <w:color w:val="121212"/>
          <w:sz w:val="21"/>
          <w:szCs w:val="21"/>
          <w:bdr w:val="single" w:sz="2" w:space="0" w:color="1F1F1E" w:frame="1"/>
        </w:rPr>
        <w:t>Cost burden spread to middle-income renters</w:t>
      </w:r>
      <w:r>
        <w:rPr>
          <w:rFonts w:ascii="Segoe UI" w:hAnsi="Segoe UI" w:cs="Segoe UI"/>
          <w:color w:val="121212"/>
          <w:sz w:val="21"/>
          <w:szCs w:val="21"/>
        </w:rPr>
        <w:t> — $35–$50K earners went from 34% burdened (2014) to </w:t>
      </w:r>
      <w:r>
        <w:rPr>
          <w:rStyle w:val="Strong"/>
          <w:rFonts w:ascii="Segoe UI" w:hAnsi="Segoe UI" w:cs="Segoe UI"/>
          <w:color w:val="121212"/>
          <w:sz w:val="21"/>
          <w:szCs w:val="21"/>
          <w:bdr w:val="single" w:sz="2" w:space="0" w:color="1F1F1E" w:frame="1"/>
        </w:rPr>
        <w:t>89% burdened (2024)</w:t>
      </w:r>
      <w:r>
        <w:rPr>
          <w:rFonts w:ascii="Segoe UI" w:hAnsi="Segoe UI" w:cs="Segoe UI"/>
          <w:color w:val="121212"/>
          <w:sz w:val="21"/>
          <w:szCs w:val="21"/>
        </w:rPr>
        <w:t>. This is the most shocking number in the data and directly justifies HACR's expanded mission.</w:t>
      </w:r>
    </w:p>
    <w:p w:rsidR="00CE47B1" w:rsidRDefault="00CE47B1" w:rsidP="00CE47B1">
      <w:pPr>
        <w:pStyle w:val="NormalWeb"/>
        <w:numPr>
          <w:ilvl w:val="0"/>
          <w:numId w:val="10"/>
        </w:numPr>
        <w:pBdr>
          <w:top w:val="single" w:sz="2" w:space="0" w:color="1F1F1E"/>
          <w:left w:val="single" w:sz="2" w:space="0" w:color="1F1F1E"/>
          <w:bottom w:val="single" w:sz="2" w:space="0" w:color="1F1F1E"/>
          <w:right w:val="single" w:sz="2" w:space="0" w:color="1F1F1E"/>
        </w:pBdr>
        <w:shd w:val="clear" w:color="auto" w:fill="FFFFFF"/>
        <w:spacing w:before="0" w:beforeAutospacing="0" w:after="0" w:afterAutospacing="0"/>
        <w:rPr>
          <w:rFonts w:ascii="Segoe UI" w:hAnsi="Segoe UI" w:cs="Segoe UI"/>
          <w:color w:val="121212"/>
          <w:sz w:val="21"/>
          <w:szCs w:val="21"/>
        </w:rPr>
      </w:pPr>
      <w:r>
        <w:rPr>
          <w:rStyle w:val="Strong"/>
          <w:rFonts w:ascii="Segoe UI" w:hAnsi="Segoe UI" w:cs="Segoe UI"/>
          <w:color w:val="121212"/>
          <w:sz w:val="21"/>
          <w:szCs w:val="21"/>
          <w:bdr w:val="single" w:sz="2" w:space="0" w:color="1F1F1E" w:frame="1"/>
        </w:rPr>
        <w:t>Income polarization is erasing the middle</w:t>
      </w:r>
      <w:r>
        <w:rPr>
          <w:rFonts w:ascii="Segoe UI" w:hAnsi="Segoe UI" w:cs="Segoe UI"/>
          <w:color w:val="121212"/>
          <w:sz w:val="21"/>
          <w:szCs w:val="21"/>
        </w:rPr>
        <w:t> — Wake added 100K+ households earning $150K+ while losing 30K households under $50K. New housing supply serves the top, not the bottom.</w:t>
      </w:r>
    </w:p>
    <w:p w:rsidR="00CE47B1" w:rsidRDefault="00CE47B1" w:rsidP="00CE47B1">
      <w:pPr>
        <w:pStyle w:val="NormalWeb"/>
        <w:numPr>
          <w:ilvl w:val="0"/>
          <w:numId w:val="10"/>
        </w:numPr>
        <w:pBdr>
          <w:top w:val="single" w:sz="2" w:space="0" w:color="1F1F1E"/>
          <w:left w:val="single" w:sz="2" w:space="0" w:color="1F1F1E"/>
          <w:bottom w:val="single" w:sz="2" w:space="0" w:color="1F1F1E"/>
          <w:right w:val="single" w:sz="2" w:space="0" w:color="1F1F1E"/>
        </w:pBdr>
        <w:shd w:val="clear" w:color="auto" w:fill="FFFFFF"/>
        <w:spacing w:before="0" w:beforeAutospacing="0" w:after="0" w:afterAutospacing="0"/>
        <w:rPr>
          <w:rFonts w:ascii="Segoe UI" w:hAnsi="Segoe UI" w:cs="Segoe UI"/>
          <w:color w:val="121212"/>
          <w:sz w:val="21"/>
          <w:szCs w:val="21"/>
        </w:rPr>
      </w:pPr>
      <w:r>
        <w:rPr>
          <w:rStyle w:val="Strong"/>
          <w:rFonts w:ascii="Segoe UI" w:hAnsi="Segoe UI" w:cs="Segoe UI"/>
          <w:color w:val="121212"/>
          <w:sz w:val="21"/>
          <w:szCs w:val="21"/>
          <w:bdr w:val="single" w:sz="2" w:space="0" w:color="1F1F1E" w:frame="1"/>
        </w:rPr>
        <w:t>2021 was the inflection point</w:t>
      </w:r>
      <w:r>
        <w:rPr>
          <w:rFonts w:ascii="Segoe UI" w:hAnsi="Segoe UI" w:cs="Segoe UI"/>
          <w:color w:val="121212"/>
          <w:sz w:val="21"/>
          <w:szCs w:val="21"/>
        </w:rPr>
        <w:t> — rents jumped $250/</w:t>
      </w:r>
      <w:proofErr w:type="spellStart"/>
      <w:r>
        <w:rPr>
          <w:rFonts w:ascii="Segoe UI" w:hAnsi="Segoe UI" w:cs="Segoe UI"/>
          <w:color w:val="121212"/>
          <w:sz w:val="21"/>
          <w:szCs w:val="21"/>
        </w:rPr>
        <w:t>mo</w:t>
      </w:r>
      <w:proofErr w:type="spellEnd"/>
      <w:r>
        <w:rPr>
          <w:rFonts w:ascii="Segoe UI" w:hAnsi="Segoe UI" w:cs="Segoe UI"/>
          <w:color w:val="121212"/>
          <w:sz w:val="21"/>
          <w:szCs w:val="21"/>
        </w:rPr>
        <w:t xml:space="preserve"> in one year while income grew normally. The gap that opened that year still hasn't fully closed.</w:t>
      </w:r>
    </w:p>
    <w:p w:rsidR="00CE47B1" w:rsidRDefault="00CE47B1" w:rsidP="00CE47B1">
      <w:pPr>
        <w:rPr>
          <w:rFonts w:ascii="Times New Roman" w:hAnsi="Times New Roman" w:cs="Times New Roman"/>
          <w:sz w:val="24"/>
          <w:szCs w:val="24"/>
        </w:rPr>
      </w:pPr>
    </w:p>
    <w:p w:rsidR="00CE47B1" w:rsidRPr="00CE47B1" w:rsidRDefault="00CE47B1" w:rsidP="00CE47B1">
      <w:pPr>
        <w:tabs>
          <w:tab w:val="left" w:pos="2880"/>
        </w:tabs>
        <w:rPr>
          <w:rFonts w:ascii="Calibri" w:hAnsi="Calibri"/>
          <w:sz w:val="16"/>
        </w:rPr>
      </w:pPr>
    </w:p>
    <w:p>
      <w:br w:type="page"/>
    </w:p>
    <w:p>
      <w:pPr>
        <w:spacing w:before="0" w:after="40"/>
        <w:jc w:val="center"/>
        <w:shd w:val="clear" w:color="auto" w:fill="1B3A6B"/>
      </w:pPr>
      <w:r>
        <w:rPr>
          <w:rFonts w:ascii="Calibri" w:hAnsi="Calibri"/>
          <w:b/>
          <w:color w:val="FFFFFF"/>
          <w:sz w:val="30"/>
        </w:rPr>
        <w:t>SECTION 7 — Data Model &amp; Table Relationships</w:t>
      </w:r>
    </w:p>
    <w:p>
      <w:pPr>
        <w:spacing w:after="200"/>
        <w:jc w:val="center"/>
        <w:shd w:val="clear" w:color="auto" w:fill="007A87"/>
      </w:pPr>
      <w:r>
        <w:rPr>
          <w:rFonts w:ascii="Calibri" w:hAnsi="Calibri"/>
          <w:b/>
          <w:color w:val="FFFFFF"/>
          <w:sz w:val="20"/>
        </w:rPr>
        <w:t>How the 4 wakehousingdata.org Excel files connect to each other</w:t>
      </w:r>
    </w:p>
    <w:p>
      <w:pPr>
        <w:spacing w:before="320" w:after="80"/>
        <w:pBdr>
          <w:bottom w:val="single" w:sz="8" w:space="1" w:color="007A87"/>
        </w:pBdr>
      </w:pPr>
      <w:r>
        <w:rPr>
          <w:rFonts w:ascii="Calibri" w:hAnsi="Calibri"/>
          <w:b/>
          <w:color w:val="1B3A6B"/>
          <w:sz w:val="28"/>
        </w:rPr>
        <w:t>7.1  Overview — The 4 Source Files</w:t>
      </w:r>
    </w:p>
    <w:p>
      <w:pPr>
        <w:spacing w:after="120"/>
      </w:pPr>
      <w:r>
        <w:rPr>
          <w:rFonts w:ascii="Calibri" w:hAnsi="Calibri"/>
          <w:i w:val="0"/>
          <w:color w:val="1A1A2E"/>
          <w:sz w:val="21"/>
        </w:rPr>
        <w:t>All data in this dashboard comes from four Excel files published by Wake County HACR at wakehousingdata.org. Think of each file as a subject area. They are not formally joined like a SQL database, but they share common dimensions — year, income band, and geography — that allow them to be analysed together.</w:t>
      </w:r>
    </w:p>
    <w:tbl>
      <w:tblPr>
        <w:tblStyle w:val="TableGrid"/>
        <w:tblW w:type="auto" w:w="0"/>
        <w:tblLook w:firstColumn="1" w:firstRow="1" w:lastColumn="0" w:lastRow="0" w:noHBand="0" w:noVBand="1" w:val="04A0"/>
      </w:tblPr>
      <w:tblGrid>
        <w:gridCol w:w="2340"/>
        <w:gridCol w:w="2340"/>
        <w:gridCol w:w="2340"/>
        <w:gridCol w:w="2340"/>
      </w:tblGrid>
      <w:tr>
        <w:tc>
          <w:tcPr>
            <w:tcW w:type="dxa" w:w="2160"/>
            <w:shd w:val="clear" w:color="auto" w:fill="1B3A6B"/>
            <w:tcBorders>
              <w:top w:val="single" w:sz="4" w:space="0" w:color="FFFFFF"/>
              <w:left w:val="single" w:sz="4" w:space="0" w:color="FFFFFF"/>
              <w:bottom w:val="single" w:sz="4" w:space="0" w:color="FFFFFF"/>
              <w:right w:val="single" w:sz="4" w:space="0" w:color="FFFFFF"/>
            </w:tcBorders>
          </w:tcPr>
          <w:p>
            <w:pPr>
              <w:spacing w:before="80" w:after="80"/>
            </w:pPr>
            <w:r>
              <w:rPr>
                <w:rFonts w:ascii="Calibri" w:hAnsi="Calibri"/>
                <w:b/>
                <w:color w:val="FFFFFF"/>
                <w:sz w:val="18"/>
              </w:rPr>
              <w:t>File / Subject Area</w:t>
            </w:r>
          </w:p>
        </w:tc>
        <w:tc>
          <w:tcPr>
            <w:tcW w:type="dxa" w:w="2160"/>
            <w:shd w:val="clear" w:color="auto" w:fill="1B3A6B"/>
            <w:tcBorders>
              <w:top w:val="single" w:sz="4" w:space="0" w:color="FFFFFF"/>
              <w:left w:val="single" w:sz="4" w:space="0" w:color="FFFFFF"/>
              <w:bottom w:val="single" w:sz="4" w:space="0" w:color="FFFFFF"/>
              <w:right w:val="single" w:sz="4" w:space="0" w:color="FFFFFF"/>
            </w:tcBorders>
          </w:tcPr>
          <w:p>
            <w:pPr>
              <w:spacing w:before="80" w:after="80"/>
            </w:pPr>
            <w:r>
              <w:rPr>
                <w:rFonts w:ascii="Calibri" w:hAnsi="Calibri"/>
                <w:b/>
                <w:color w:val="FFFFFF"/>
                <w:sz w:val="18"/>
              </w:rPr>
              <w:t>What It Covers</w:t>
            </w:r>
          </w:p>
        </w:tc>
        <w:tc>
          <w:tcPr>
            <w:tcW w:type="dxa" w:w="3600"/>
            <w:shd w:val="clear" w:color="auto" w:fill="1B3A6B"/>
            <w:tcBorders>
              <w:top w:val="single" w:sz="4" w:space="0" w:color="FFFFFF"/>
              <w:left w:val="single" w:sz="4" w:space="0" w:color="FFFFFF"/>
              <w:bottom w:val="single" w:sz="4" w:space="0" w:color="FFFFFF"/>
              <w:right w:val="single" w:sz="4" w:space="0" w:color="FFFFFF"/>
            </w:tcBorders>
          </w:tcPr>
          <w:p>
            <w:pPr>
              <w:spacing w:before="80" w:after="80"/>
            </w:pPr>
            <w:r>
              <w:rPr>
                <w:rFonts w:ascii="Calibri" w:hAnsi="Calibri"/>
                <w:b/>
                <w:color w:val="FFFFFF"/>
                <w:sz w:val="18"/>
              </w:rPr>
              <w:t>Key Tables Inside</w:t>
            </w:r>
          </w:p>
        </w:tc>
        <w:tc>
          <w:tcPr>
            <w:tcW w:type="dxa" w:w="2592"/>
            <w:shd w:val="clear" w:color="auto" w:fill="1B3A6B"/>
            <w:tcBorders>
              <w:top w:val="single" w:sz="4" w:space="0" w:color="FFFFFF"/>
              <w:left w:val="single" w:sz="4" w:space="0" w:color="FFFFFF"/>
              <w:bottom w:val="single" w:sz="4" w:space="0" w:color="FFFFFF"/>
              <w:right w:val="single" w:sz="4" w:space="0" w:color="FFFFFF"/>
            </w:tcBorders>
          </w:tcPr>
          <w:p>
            <w:pPr>
              <w:spacing w:before="80" w:after="80"/>
            </w:pPr>
            <w:r>
              <w:rPr>
                <w:rFonts w:ascii="Calibri" w:hAnsi="Calibri"/>
                <w:b/>
                <w:color w:val="FFFFFF"/>
                <w:sz w:val="18"/>
              </w:rPr>
              <w:t>Shared Dimensions</w:t>
            </w:r>
          </w:p>
        </w:tc>
      </w:tr>
      <w:tr>
        <w:tc>
          <w:tcPr>
            <w:tcW w:type="dxa" w:w="2160"/>
            <w:shd w:val="clear" w:color="auto" w:fill="E8F4F8"/>
            <w:tcBorders>
              <w:top w:val="single" w:sz="4" w:space="0" w:color="B8D8E8"/>
              <w:left w:val="single" w:sz="4" w:space="0" w:color="B8D8E8"/>
              <w:bottom w:val="single" w:sz="4" w:space="0" w:color="B8D8E8"/>
              <w:right w:val="single" w:sz="4" w:space="0" w:color="B8D8E8"/>
            </w:tcBorders>
          </w:tcPr>
          <w:p>
            <w:pPr>
              <w:spacing w:before="60" w:after="60"/>
            </w:pPr>
            <w:r>
              <w:rPr>
                <w:rFonts w:ascii="Calibri" w:hAnsi="Calibri"/>
                <w:b/>
                <w:color w:val="1B3A6B"/>
                <w:sz w:val="18"/>
              </w:rPr>
              <w:t>Demographics</w:t>
            </w:r>
          </w:p>
        </w:tc>
        <w:tc>
          <w:tcPr>
            <w:tcW w:type="dxa" w:w="2160"/>
            <w:shd w:val="clear" w:color="auto" w:fill="E8F4F8"/>
            <w:tcBorders>
              <w:top w:val="single" w:sz="4" w:space="0" w:color="B8D8E8"/>
              <w:left w:val="single" w:sz="4" w:space="0" w:color="B8D8E8"/>
              <w:bottom w:val="single" w:sz="4" w:space="0" w:color="B8D8E8"/>
              <w:right w:val="single" w:sz="4" w:space="0" w:color="B8D8E8"/>
            </w:tcBorders>
          </w:tcPr>
          <w:p>
            <w:pPr>
              <w:spacing w:before="60" w:after="60"/>
            </w:pPr>
            <w:r>
              <w:rPr>
                <w:rFonts w:ascii="Calibri" w:hAnsi="Calibri"/>
                <w:b w:val="0"/>
                <w:color w:val="1A1A2E"/>
                <w:sz w:val="18"/>
              </w:rPr>
              <w:t>Who lives in Wake County</w:t>
            </w:r>
          </w:p>
        </w:tc>
        <w:tc>
          <w:tcPr>
            <w:tcW w:type="dxa" w:w="3600"/>
            <w:shd w:val="clear" w:color="auto" w:fill="E8F4F8"/>
            <w:tcBorders>
              <w:top w:val="single" w:sz="4" w:space="0" w:color="B8D8E8"/>
              <w:left w:val="single" w:sz="4" w:space="0" w:color="B8D8E8"/>
              <w:bottom w:val="single" w:sz="4" w:space="0" w:color="B8D8E8"/>
              <w:right w:val="single" w:sz="4" w:space="0" w:color="B8D8E8"/>
            </w:tcBorders>
          </w:tcPr>
          <w:p>
            <w:pPr>
              <w:spacing w:before="60" w:after="60"/>
            </w:pPr>
            <w:r>
              <w:rPr>
                <w:rFonts w:ascii="Calibri" w:hAnsi="Calibri"/>
                <w:b w:val="0"/>
                <w:color w:val="555555"/>
                <w:sz w:val="18"/>
              </w:rPr>
              <w:t>Population, household income, race/ethnicity, age, education, household size</w:t>
            </w:r>
          </w:p>
        </w:tc>
        <w:tc>
          <w:tcPr>
            <w:tcW w:type="dxa" w:w="2592"/>
            <w:shd w:val="clear" w:color="auto" w:fill="E8F4F8"/>
            <w:tcBorders>
              <w:top w:val="single" w:sz="4" w:space="0" w:color="B8D8E8"/>
              <w:left w:val="single" w:sz="4" w:space="0" w:color="B8D8E8"/>
              <w:bottom w:val="single" w:sz="4" w:space="0" w:color="B8D8E8"/>
              <w:right w:val="single" w:sz="4" w:space="0" w:color="B8D8E8"/>
            </w:tcBorders>
          </w:tcPr>
          <w:p>
            <w:pPr>
              <w:spacing w:before="60" w:after="60"/>
            </w:pPr>
            <w:r>
              <w:rPr>
                <w:rFonts w:ascii="Calibri" w:hAnsi="Calibri"/>
                <w:b w:val="0"/>
                <w:color w:val="1A7A3C"/>
                <w:sz w:val="18"/>
              </w:rPr>
              <w:t>Year  |  Income band  |  Race  |  Age group</w:t>
            </w:r>
          </w:p>
        </w:tc>
      </w:tr>
      <w:tr>
        <w:tc>
          <w:tcPr>
            <w:tcW w:type="dxa" w:w="2160"/>
            <w:shd w:val="clear" w:color="auto" w:fill="F7FBFD"/>
            <w:tcBorders>
              <w:top w:val="single" w:sz="4" w:space="0" w:color="B8D8E8"/>
              <w:left w:val="single" w:sz="4" w:space="0" w:color="B8D8E8"/>
              <w:bottom w:val="single" w:sz="4" w:space="0" w:color="B8D8E8"/>
              <w:right w:val="single" w:sz="4" w:space="0" w:color="B8D8E8"/>
            </w:tcBorders>
          </w:tcPr>
          <w:p>
            <w:pPr>
              <w:spacing w:before="60" w:after="60"/>
            </w:pPr>
            <w:r>
              <w:rPr>
                <w:rFonts w:ascii="Calibri" w:hAnsi="Calibri"/>
                <w:b/>
                <w:color w:val="1B3A6B"/>
                <w:sz w:val="18"/>
              </w:rPr>
              <w:t>Homeownership</w:t>
            </w:r>
          </w:p>
        </w:tc>
        <w:tc>
          <w:tcPr>
            <w:tcW w:type="dxa" w:w="2160"/>
            <w:shd w:val="clear" w:color="auto" w:fill="F7FBFD"/>
            <w:tcBorders>
              <w:top w:val="single" w:sz="4" w:space="0" w:color="B8D8E8"/>
              <w:left w:val="single" w:sz="4" w:space="0" w:color="B8D8E8"/>
              <w:bottom w:val="single" w:sz="4" w:space="0" w:color="B8D8E8"/>
              <w:right w:val="single" w:sz="4" w:space="0" w:color="B8D8E8"/>
            </w:tcBorders>
          </w:tcPr>
          <w:p>
            <w:pPr>
              <w:spacing w:before="60" w:after="60"/>
            </w:pPr>
            <w:r>
              <w:rPr>
                <w:rFonts w:ascii="Calibri" w:hAnsi="Calibri"/>
                <w:b w:val="0"/>
                <w:color w:val="1A1A2E"/>
                <w:sz w:val="18"/>
              </w:rPr>
              <w:t>Can residents buy a home?</w:t>
            </w:r>
          </w:p>
        </w:tc>
        <w:tc>
          <w:tcPr>
            <w:tcW w:type="dxa" w:w="3600"/>
            <w:shd w:val="clear" w:color="auto" w:fill="F7FBFD"/>
            <w:tcBorders>
              <w:top w:val="single" w:sz="4" w:space="0" w:color="B8D8E8"/>
              <w:left w:val="single" w:sz="4" w:space="0" w:color="B8D8E8"/>
              <w:bottom w:val="single" w:sz="4" w:space="0" w:color="B8D8E8"/>
              <w:right w:val="single" w:sz="4" w:space="0" w:color="B8D8E8"/>
            </w:tcBorders>
          </w:tcPr>
          <w:p>
            <w:pPr>
              <w:spacing w:before="60" w:after="60"/>
            </w:pPr>
            <w:r>
              <w:rPr>
                <w:rFonts w:ascii="Calibri" w:hAnsi="Calibri"/>
                <w:b w:val="0"/>
                <w:color w:val="555555"/>
                <w:sz w:val="18"/>
              </w:rPr>
              <w:t>Home values, homeownership rates, owner cost burden, entry-level sales, vacancy</w:t>
            </w:r>
          </w:p>
        </w:tc>
        <w:tc>
          <w:tcPr>
            <w:tcW w:type="dxa" w:w="2592"/>
            <w:shd w:val="clear" w:color="auto" w:fill="F7FBFD"/>
            <w:tcBorders>
              <w:top w:val="single" w:sz="4" w:space="0" w:color="B8D8E8"/>
              <w:left w:val="single" w:sz="4" w:space="0" w:color="B8D8E8"/>
              <w:bottom w:val="single" w:sz="4" w:space="0" w:color="B8D8E8"/>
              <w:right w:val="single" w:sz="4" w:space="0" w:color="B8D8E8"/>
            </w:tcBorders>
          </w:tcPr>
          <w:p>
            <w:pPr>
              <w:spacing w:before="60" w:after="60"/>
            </w:pPr>
            <w:r>
              <w:rPr>
                <w:rFonts w:ascii="Calibri" w:hAnsi="Calibri"/>
                <w:b w:val="0"/>
                <w:color w:val="1A7A3C"/>
                <w:sz w:val="18"/>
              </w:rPr>
              <w:t>Year  |  Income band  |  Race</w:t>
            </w:r>
          </w:p>
        </w:tc>
      </w:tr>
      <w:tr>
        <w:tc>
          <w:tcPr>
            <w:tcW w:type="dxa" w:w="2160"/>
            <w:shd w:val="clear" w:color="auto" w:fill="E8F4F8"/>
            <w:tcBorders>
              <w:top w:val="single" w:sz="4" w:space="0" w:color="B8D8E8"/>
              <w:left w:val="single" w:sz="4" w:space="0" w:color="B8D8E8"/>
              <w:bottom w:val="single" w:sz="4" w:space="0" w:color="B8D8E8"/>
              <w:right w:val="single" w:sz="4" w:space="0" w:color="B8D8E8"/>
            </w:tcBorders>
          </w:tcPr>
          <w:p>
            <w:pPr>
              <w:spacing w:before="60" w:after="60"/>
            </w:pPr>
            <w:r>
              <w:rPr>
                <w:rFonts w:ascii="Calibri" w:hAnsi="Calibri"/>
                <w:b/>
                <w:color w:val="1B3A6B"/>
                <w:sz w:val="18"/>
              </w:rPr>
              <w:t>Rental Affordability</w:t>
            </w:r>
          </w:p>
        </w:tc>
        <w:tc>
          <w:tcPr>
            <w:tcW w:type="dxa" w:w="2160"/>
            <w:shd w:val="clear" w:color="auto" w:fill="E8F4F8"/>
            <w:tcBorders>
              <w:top w:val="single" w:sz="4" w:space="0" w:color="B8D8E8"/>
              <w:left w:val="single" w:sz="4" w:space="0" w:color="B8D8E8"/>
              <w:bottom w:val="single" w:sz="4" w:space="0" w:color="B8D8E8"/>
              <w:right w:val="single" w:sz="4" w:space="0" w:color="B8D8E8"/>
            </w:tcBorders>
          </w:tcPr>
          <w:p>
            <w:pPr>
              <w:spacing w:before="60" w:after="60"/>
            </w:pPr>
            <w:r>
              <w:rPr>
                <w:rFonts w:ascii="Calibri" w:hAnsi="Calibri"/>
                <w:b w:val="0"/>
                <w:color w:val="1A1A2E"/>
                <w:sz w:val="18"/>
              </w:rPr>
              <w:t>Can residents rent a home?</w:t>
            </w:r>
          </w:p>
        </w:tc>
        <w:tc>
          <w:tcPr>
            <w:tcW w:type="dxa" w:w="3600"/>
            <w:shd w:val="clear" w:color="auto" w:fill="E8F4F8"/>
            <w:tcBorders>
              <w:top w:val="single" w:sz="4" w:space="0" w:color="B8D8E8"/>
              <w:left w:val="single" w:sz="4" w:space="0" w:color="B8D8E8"/>
              <w:bottom w:val="single" w:sz="4" w:space="0" w:color="B8D8E8"/>
              <w:right w:val="single" w:sz="4" w:space="0" w:color="B8D8E8"/>
            </w:tcBorders>
          </w:tcPr>
          <w:p>
            <w:pPr>
              <w:spacing w:before="60" w:after="60"/>
            </w:pPr>
            <w:r>
              <w:rPr>
                <w:rFonts w:ascii="Calibri" w:hAnsi="Calibri"/>
                <w:b w:val="0"/>
                <w:color w:val="555555"/>
                <w:sz w:val="18"/>
              </w:rPr>
              <w:t>Median rent, rental deficit, affordable units per 100, renter cost burden, income vs. rent</w:t>
            </w:r>
          </w:p>
        </w:tc>
        <w:tc>
          <w:tcPr>
            <w:tcW w:type="dxa" w:w="2592"/>
            <w:shd w:val="clear" w:color="auto" w:fill="E8F4F8"/>
            <w:tcBorders>
              <w:top w:val="single" w:sz="4" w:space="0" w:color="B8D8E8"/>
              <w:left w:val="single" w:sz="4" w:space="0" w:color="B8D8E8"/>
              <w:bottom w:val="single" w:sz="4" w:space="0" w:color="B8D8E8"/>
              <w:right w:val="single" w:sz="4" w:space="0" w:color="B8D8E8"/>
            </w:tcBorders>
          </w:tcPr>
          <w:p>
            <w:pPr>
              <w:spacing w:before="60" w:after="60"/>
            </w:pPr>
            <w:r>
              <w:rPr>
                <w:rFonts w:ascii="Calibri" w:hAnsi="Calibri"/>
                <w:b w:val="0"/>
                <w:color w:val="1A7A3C"/>
                <w:sz w:val="18"/>
              </w:rPr>
              <w:t>Year  |  Income band  |  Education</w:t>
            </w:r>
          </w:p>
        </w:tc>
      </w:tr>
      <w:tr>
        <w:tc>
          <w:tcPr>
            <w:tcW w:type="dxa" w:w="2160"/>
            <w:shd w:val="clear" w:color="auto" w:fill="F7FBFD"/>
            <w:tcBorders>
              <w:top w:val="single" w:sz="4" w:space="0" w:color="B8D8E8"/>
              <w:left w:val="single" w:sz="4" w:space="0" w:color="B8D8E8"/>
              <w:bottom w:val="single" w:sz="4" w:space="0" w:color="B8D8E8"/>
              <w:right w:val="single" w:sz="4" w:space="0" w:color="B8D8E8"/>
            </w:tcBorders>
          </w:tcPr>
          <w:p>
            <w:pPr>
              <w:spacing w:before="60" w:after="60"/>
            </w:pPr>
            <w:r>
              <w:rPr>
                <w:rFonts w:ascii="Calibri" w:hAnsi="Calibri"/>
                <w:b/>
                <w:color w:val="1B3A6B"/>
                <w:sz w:val="18"/>
              </w:rPr>
              <w:t>Housing Supply</w:t>
            </w:r>
          </w:p>
        </w:tc>
        <w:tc>
          <w:tcPr>
            <w:tcW w:type="dxa" w:w="2160"/>
            <w:shd w:val="clear" w:color="auto" w:fill="F7FBFD"/>
            <w:tcBorders>
              <w:top w:val="single" w:sz="4" w:space="0" w:color="B8D8E8"/>
              <w:left w:val="single" w:sz="4" w:space="0" w:color="B8D8E8"/>
              <w:bottom w:val="single" w:sz="4" w:space="0" w:color="B8D8E8"/>
              <w:right w:val="single" w:sz="4" w:space="0" w:color="B8D8E8"/>
            </w:tcBorders>
          </w:tcPr>
          <w:p>
            <w:pPr>
              <w:spacing w:before="60" w:after="60"/>
            </w:pPr>
            <w:r>
              <w:rPr>
                <w:rFonts w:ascii="Calibri" w:hAnsi="Calibri"/>
                <w:b w:val="0"/>
                <w:color w:val="1A1A2E"/>
                <w:sz w:val="18"/>
              </w:rPr>
              <w:t>Is enough housing being built?</w:t>
            </w:r>
          </w:p>
        </w:tc>
        <w:tc>
          <w:tcPr>
            <w:tcW w:type="dxa" w:w="3600"/>
            <w:shd w:val="clear" w:color="auto" w:fill="F7FBFD"/>
            <w:tcBorders>
              <w:top w:val="single" w:sz="4" w:space="0" w:color="B8D8E8"/>
              <w:left w:val="single" w:sz="4" w:space="0" w:color="B8D8E8"/>
              <w:bottom w:val="single" w:sz="4" w:space="0" w:color="B8D8E8"/>
              <w:right w:val="single" w:sz="4" w:space="0" w:color="B8D8E8"/>
            </w:tcBorders>
          </w:tcPr>
          <w:p>
            <w:pPr>
              <w:spacing w:before="60" w:after="60"/>
            </w:pPr>
            <w:r>
              <w:rPr>
                <w:rFonts w:ascii="Calibri" w:hAnsi="Calibri"/>
                <w:b w:val="0"/>
                <w:color w:val="555555"/>
                <w:sz w:val="18"/>
              </w:rPr>
              <w:t>Building permits, vacancy rate, stock by tenure, demand vs. supply by income</w:t>
            </w:r>
          </w:p>
        </w:tc>
        <w:tc>
          <w:tcPr>
            <w:tcW w:type="dxa" w:w="2592"/>
            <w:shd w:val="clear" w:color="auto" w:fill="F7FBFD"/>
            <w:tcBorders>
              <w:top w:val="single" w:sz="4" w:space="0" w:color="B8D8E8"/>
              <w:left w:val="single" w:sz="4" w:space="0" w:color="B8D8E8"/>
              <w:bottom w:val="single" w:sz="4" w:space="0" w:color="B8D8E8"/>
              <w:right w:val="single" w:sz="4" w:space="0" w:color="B8D8E8"/>
            </w:tcBorders>
          </w:tcPr>
          <w:p>
            <w:pPr>
              <w:spacing w:before="60" w:after="60"/>
            </w:pPr>
            <w:r>
              <w:rPr>
                <w:rFonts w:ascii="Calibri" w:hAnsi="Calibri"/>
                <w:b w:val="0"/>
                <w:color w:val="1A7A3C"/>
                <w:sz w:val="18"/>
              </w:rPr>
              <w:t>Year  |  Income band  |  Building type</w:t>
            </w:r>
          </w:p>
        </w:tc>
      </w:tr>
    </w:tbl>
    <w:p/>
    <w:p>
      <w:pPr>
        <w:spacing w:before="320" w:after="80"/>
        <w:pBdr>
          <w:bottom w:val="single" w:sz="8" w:space="1" w:color="007A87"/>
        </w:pBdr>
      </w:pPr>
      <w:r>
        <w:rPr>
          <w:rFonts w:ascii="Calibri" w:hAnsi="Calibri"/>
          <w:b/>
          <w:color w:val="1B3A6B"/>
          <w:sz w:val="28"/>
        </w:rPr>
        <w:t>7.2  The 3 Shared Dimensions (How Tables Talk to Each Other)</w:t>
      </w:r>
    </w:p>
    <w:p>
      <w:pPr>
        <w:spacing w:after="120"/>
      </w:pPr>
      <w:r>
        <w:rPr>
          <w:rFonts w:ascii="Calibri" w:hAnsi="Calibri"/>
          <w:i w:val="0"/>
          <w:color w:val="1A1A2E"/>
          <w:sz w:val="21"/>
        </w:rPr>
        <w:t>Even though these are separate Excel files, three common dimensions act as the glue that links them. When you compare numbers across files, you always join on one of these:</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7A87"/>
            <w:tcBorders>
              <w:top w:val="single" w:sz="4" w:space="0" w:color="FFFFFF"/>
              <w:left w:val="single" w:sz="4" w:space="0" w:color="FFFFFF"/>
              <w:bottom w:val="single" w:sz="4" w:space="0" w:color="FFFFFF"/>
              <w:right w:val="single" w:sz="4" w:space="0" w:color="FFFFFF"/>
            </w:tcBorders>
          </w:tcPr>
          <w:p>
            <w:pPr>
              <w:spacing w:before="80" w:after="80"/>
            </w:pPr>
            <w:r>
              <w:rPr>
                <w:rFonts w:ascii="Calibri" w:hAnsi="Calibri"/>
                <w:b/>
                <w:color w:val="FFFFFF"/>
                <w:sz w:val="19"/>
              </w:rPr>
              <w:t>Dimension</w:t>
            </w:r>
          </w:p>
        </w:tc>
        <w:tc>
          <w:tcPr>
            <w:tcW w:type="dxa" w:w="3120"/>
            <w:shd w:val="clear" w:color="auto" w:fill="007A87"/>
            <w:tcBorders>
              <w:top w:val="single" w:sz="4" w:space="0" w:color="FFFFFF"/>
              <w:left w:val="single" w:sz="4" w:space="0" w:color="FFFFFF"/>
              <w:bottom w:val="single" w:sz="4" w:space="0" w:color="FFFFFF"/>
              <w:right w:val="single" w:sz="4" w:space="0" w:color="FFFFFF"/>
            </w:tcBorders>
          </w:tcPr>
          <w:p>
            <w:pPr>
              <w:spacing w:before="80" w:after="80"/>
            </w:pPr>
            <w:r>
              <w:rPr>
                <w:rFonts w:ascii="Calibri" w:hAnsi="Calibri"/>
                <w:b/>
                <w:color w:val="FFFFFF"/>
                <w:sz w:val="19"/>
              </w:rPr>
              <w:t>Values in the Data</w:t>
            </w:r>
          </w:p>
        </w:tc>
        <w:tc>
          <w:tcPr>
            <w:tcW w:type="dxa" w:w="3120"/>
            <w:shd w:val="clear" w:color="auto" w:fill="007A87"/>
            <w:tcBorders>
              <w:top w:val="single" w:sz="4" w:space="0" w:color="FFFFFF"/>
              <w:left w:val="single" w:sz="4" w:space="0" w:color="FFFFFF"/>
              <w:bottom w:val="single" w:sz="4" w:space="0" w:color="FFFFFF"/>
              <w:right w:val="single" w:sz="4" w:space="0" w:color="FFFFFF"/>
            </w:tcBorders>
          </w:tcPr>
          <w:p>
            <w:pPr>
              <w:spacing w:before="80" w:after="80"/>
            </w:pPr>
            <w:r>
              <w:rPr>
                <w:rFonts w:ascii="Calibri" w:hAnsi="Calibri"/>
                <w:b/>
                <w:color w:val="FFFFFF"/>
                <w:sz w:val="19"/>
              </w:rPr>
              <w:t>Which Files Use It</w:t>
            </w:r>
          </w:p>
        </w:tc>
      </w:tr>
      <w:tr>
        <w:tc>
          <w:tcPr>
            <w:tcW w:type="dxa" w:w="1872"/>
            <w:shd w:val="clear" w:color="auto" w:fill="E8F4F8"/>
            <w:tcBorders>
              <w:top w:val="single" w:sz="4" w:space="0" w:color="B8D8E8"/>
              <w:left w:val="single" w:sz="4" w:space="0" w:color="B8D8E8"/>
              <w:bottom w:val="single" w:sz="4" w:space="0" w:color="B8D8E8"/>
              <w:right w:val="single" w:sz="4" w:space="0" w:color="B8D8E8"/>
            </w:tcBorders>
          </w:tcPr>
          <w:p>
            <w:pPr>
              <w:spacing w:before="60" w:after="60"/>
            </w:pPr>
            <w:r>
              <w:rPr>
                <w:rFonts w:ascii="Calibri" w:hAnsi="Calibri"/>
                <w:b/>
                <w:color w:val="1B3A6B"/>
                <w:sz w:val="18"/>
              </w:rPr>
              <w:t>Year</w:t>
            </w:r>
          </w:p>
        </w:tc>
        <w:tc>
          <w:tcPr>
            <w:tcW w:type="dxa" w:w="4608"/>
            <w:shd w:val="clear" w:color="auto" w:fill="E8F4F8"/>
            <w:tcBorders>
              <w:top w:val="single" w:sz="4" w:space="0" w:color="B8D8E8"/>
              <w:left w:val="single" w:sz="4" w:space="0" w:color="B8D8E8"/>
              <w:bottom w:val="single" w:sz="4" w:space="0" w:color="B8D8E8"/>
              <w:right w:val="single" w:sz="4" w:space="0" w:color="B8D8E8"/>
            </w:tcBorders>
          </w:tcPr>
          <w:p>
            <w:pPr>
              <w:spacing w:before="60" w:after="60"/>
            </w:pPr>
            <w:r>
              <w:rPr>
                <w:rFonts w:ascii="Calibri" w:hAnsi="Calibri"/>
                <w:b w:val="0"/>
                <w:color w:val="1A1A2E"/>
                <w:sz w:val="18"/>
              </w:rPr>
              <w:t>2013–2025 (varies by table; most run 2014–2024)</w:t>
            </w:r>
          </w:p>
        </w:tc>
        <w:tc>
          <w:tcPr>
            <w:tcW w:type="dxa" w:w="4032"/>
            <w:shd w:val="clear" w:color="auto" w:fill="E8F4F8"/>
            <w:tcBorders>
              <w:top w:val="single" w:sz="4" w:space="0" w:color="B8D8E8"/>
              <w:left w:val="single" w:sz="4" w:space="0" w:color="B8D8E8"/>
              <w:bottom w:val="single" w:sz="4" w:space="0" w:color="B8D8E8"/>
              <w:right w:val="single" w:sz="4" w:space="0" w:color="B8D8E8"/>
            </w:tcBorders>
          </w:tcPr>
          <w:p>
            <w:pPr>
              <w:spacing w:before="60" w:after="60"/>
            </w:pPr>
            <w:r>
              <w:rPr>
                <w:rFonts w:ascii="Calibri" w:hAnsi="Calibri"/>
                <w:b w:val="0"/>
                <w:color w:val="555555"/>
                <w:sz w:val="18"/>
              </w:rPr>
              <w:t>All 4 files — time-series data in every file uses Year as the row key</w:t>
            </w:r>
          </w:p>
        </w:tc>
      </w:tr>
      <w:tr>
        <w:tc>
          <w:tcPr>
            <w:tcW w:type="dxa" w:w="1872"/>
            <w:shd w:val="clear" w:color="auto" w:fill="F7FBFD"/>
            <w:tcBorders>
              <w:top w:val="single" w:sz="4" w:space="0" w:color="B8D8E8"/>
              <w:left w:val="single" w:sz="4" w:space="0" w:color="B8D8E8"/>
              <w:bottom w:val="single" w:sz="4" w:space="0" w:color="B8D8E8"/>
              <w:right w:val="single" w:sz="4" w:space="0" w:color="B8D8E8"/>
            </w:tcBorders>
          </w:tcPr>
          <w:p>
            <w:pPr>
              <w:spacing w:before="60" w:after="60"/>
            </w:pPr>
            <w:r>
              <w:rPr>
                <w:rFonts w:ascii="Calibri" w:hAnsi="Calibri"/>
                <w:b/>
                <w:color w:val="1B3A6B"/>
                <w:sz w:val="18"/>
              </w:rPr>
              <w:t>Income Band</w:t>
            </w:r>
          </w:p>
        </w:tc>
        <w:tc>
          <w:tcPr>
            <w:tcW w:type="dxa" w:w="4608"/>
            <w:shd w:val="clear" w:color="auto" w:fill="F7FBFD"/>
            <w:tcBorders>
              <w:top w:val="single" w:sz="4" w:space="0" w:color="B8D8E8"/>
              <w:left w:val="single" w:sz="4" w:space="0" w:color="B8D8E8"/>
              <w:bottom w:val="single" w:sz="4" w:space="0" w:color="B8D8E8"/>
              <w:right w:val="single" w:sz="4" w:space="0" w:color="B8D8E8"/>
            </w:tcBorders>
          </w:tcPr>
          <w:p>
            <w:pPr>
              <w:spacing w:before="60" w:after="60"/>
            </w:pPr>
            <w:r>
              <w:rPr>
                <w:rFonts w:ascii="Calibri" w:hAnsi="Calibri"/>
                <w:b w:val="0"/>
                <w:color w:val="1A1A2E"/>
                <w:sz w:val="18"/>
              </w:rPr>
              <w:t>&lt;$20K  |  $20K–$35K  |  $35K–$50K  |  $50K–$75K  |  $75K–$100K  |  $100K–$150K  |  $150K+</w:t>
            </w:r>
          </w:p>
        </w:tc>
        <w:tc>
          <w:tcPr>
            <w:tcW w:type="dxa" w:w="4032"/>
            <w:shd w:val="clear" w:color="auto" w:fill="F7FBFD"/>
            <w:tcBorders>
              <w:top w:val="single" w:sz="4" w:space="0" w:color="B8D8E8"/>
              <w:left w:val="single" w:sz="4" w:space="0" w:color="B8D8E8"/>
              <w:bottom w:val="single" w:sz="4" w:space="0" w:color="B8D8E8"/>
              <w:right w:val="single" w:sz="4" w:space="0" w:color="B8D8E8"/>
            </w:tcBorders>
          </w:tcPr>
          <w:p>
            <w:pPr>
              <w:spacing w:before="60" w:after="60"/>
            </w:pPr>
            <w:r>
              <w:rPr>
                <w:rFonts w:ascii="Calibri" w:hAnsi="Calibri"/>
                <w:b w:val="0"/>
                <w:color w:val="555555"/>
                <w:sz w:val="18"/>
              </w:rPr>
              <w:t>Demographics (income distribution, tenure) · Rental (deficit, cost burden) · Homeownership (cost burden, ownership rate) · Housing Supply (demand vs. supply)</w:t>
            </w:r>
          </w:p>
        </w:tc>
      </w:tr>
      <w:tr>
        <w:tc>
          <w:tcPr>
            <w:tcW w:type="dxa" w:w="1872"/>
            <w:shd w:val="clear" w:color="auto" w:fill="E8F4F8"/>
            <w:tcBorders>
              <w:top w:val="single" w:sz="4" w:space="0" w:color="B8D8E8"/>
              <w:left w:val="single" w:sz="4" w:space="0" w:color="B8D8E8"/>
              <w:bottom w:val="single" w:sz="4" w:space="0" w:color="B8D8E8"/>
              <w:right w:val="single" w:sz="4" w:space="0" w:color="B8D8E8"/>
            </w:tcBorders>
          </w:tcPr>
          <w:p>
            <w:pPr>
              <w:spacing w:before="60" w:after="60"/>
            </w:pPr>
            <w:r>
              <w:rPr>
                <w:rFonts w:ascii="Calibri" w:hAnsi="Calibri"/>
                <w:b/>
                <w:color w:val="1B3A6B"/>
                <w:sz w:val="18"/>
              </w:rPr>
              <w:t>Race / Ethnicity</w:t>
            </w:r>
          </w:p>
        </w:tc>
        <w:tc>
          <w:tcPr>
            <w:tcW w:type="dxa" w:w="4608"/>
            <w:shd w:val="clear" w:color="auto" w:fill="E8F4F8"/>
            <w:tcBorders>
              <w:top w:val="single" w:sz="4" w:space="0" w:color="B8D8E8"/>
              <w:left w:val="single" w:sz="4" w:space="0" w:color="B8D8E8"/>
              <w:bottom w:val="single" w:sz="4" w:space="0" w:color="B8D8E8"/>
              <w:right w:val="single" w:sz="4" w:space="0" w:color="B8D8E8"/>
            </w:tcBorders>
          </w:tcPr>
          <w:p>
            <w:pPr>
              <w:spacing w:before="60" w:after="60"/>
            </w:pPr>
            <w:r>
              <w:rPr>
                <w:rFonts w:ascii="Calibri" w:hAnsi="Calibri"/>
                <w:b w:val="0"/>
                <w:color w:val="1A1A2E"/>
                <w:sz w:val="18"/>
              </w:rPr>
              <w:t>White  |  Black  |  Asian  |  Hispanic/Latino  |  AI/AN  |  NH/PI  |  Other</w:t>
            </w:r>
          </w:p>
        </w:tc>
        <w:tc>
          <w:tcPr>
            <w:tcW w:type="dxa" w:w="4032"/>
            <w:shd w:val="clear" w:color="auto" w:fill="E8F4F8"/>
            <w:tcBorders>
              <w:top w:val="single" w:sz="4" w:space="0" w:color="B8D8E8"/>
              <w:left w:val="single" w:sz="4" w:space="0" w:color="B8D8E8"/>
              <w:bottom w:val="single" w:sz="4" w:space="0" w:color="B8D8E8"/>
              <w:right w:val="single" w:sz="4" w:space="0" w:color="B8D8E8"/>
            </w:tcBorders>
          </w:tcPr>
          <w:p>
            <w:pPr>
              <w:spacing w:before="60" w:after="60"/>
            </w:pPr>
            <w:r>
              <w:rPr>
                <w:rFonts w:ascii="Calibri" w:hAnsi="Calibri"/>
                <w:b w:val="0"/>
                <w:color w:val="555555"/>
                <w:sz w:val="18"/>
              </w:rPr>
              <w:t>Demographics (households by race) · Homeownership (ownership rate by race)</w:t>
            </w:r>
          </w:p>
        </w:tc>
      </w:tr>
    </w:tbl>
    <w:p/>
    <w:p>
      <w:pPr>
        <w:spacing w:before="320" w:after="80"/>
        <w:pBdr>
          <w:bottom w:val="single" w:sz="8" w:space="1" w:color="007A87"/>
        </w:pBdr>
      </w:pPr>
      <w:r>
        <w:rPr>
          <w:rFonts w:ascii="Calibri" w:hAnsi="Calibri"/>
          <w:b/>
          <w:color w:val="1B3A6B"/>
          <w:sz w:val="28"/>
        </w:rPr>
        <w:t>7.3  Every Table and What It Measures</w:t>
      </w:r>
    </w:p>
    <w:p>
      <w:pPr>
        <w:spacing w:after="120"/>
      </w:pPr>
      <w:r>
        <w:rPr>
          <w:rFonts w:ascii="Calibri" w:hAnsi="Calibri"/>
          <w:i w:val="0"/>
          <w:color w:val="1A1A2E"/>
          <w:sz w:val="21"/>
        </w:rPr>
        <w:t>Below is every individual data table in the four files, what it measures, its grain (one row = one what?), and which other tables it connects to.</w:t>
      </w:r>
    </w:p>
    <w:p>
      <w:pPr>
        <w:spacing w:before="200" w:after="60"/>
        <w:shd w:val="clear" w:color="auto" w:fill="1B3A6B"/>
      </w:pPr>
      <w:r>
        <w:rPr>
          <w:rFonts w:ascii="Calibri" w:hAnsi="Calibri"/>
          <w:b/>
          <w:color w:val="FFFFFF"/>
          <w:sz w:val="22"/>
        </w:rPr>
        <w:t xml:space="preserve">  Demographics File</w:t>
      </w:r>
    </w:p>
    <w:tbl>
      <w:tblPr>
        <w:tblStyle w:val="TableGrid"/>
        <w:tblW w:type="auto" w:w="0"/>
        <w:tblLook w:firstColumn="1" w:firstRow="1" w:lastColumn="0" w:lastRow="0" w:noHBand="0" w:noVBand="1" w:val="04A0"/>
      </w:tblPr>
      <w:tblGrid>
        <w:gridCol w:w="2340"/>
        <w:gridCol w:w="2340"/>
        <w:gridCol w:w="2340"/>
        <w:gridCol w:w="2340"/>
      </w:tblGrid>
      <w:tr>
        <w:tc>
          <w:tcPr>
            <w:tcW w:type="dxa" w:w="2304"/>
            <w:shd w:val="clear" w:color="auto" w:fill="1B3A6B"/>
            <w:tcBorders>
              <w:top w:val="single" w:sz="4" w:space="0" w:color="FFFFFF"/>
              <w:left w:val="single" w:sz="4" w:space="0" w:color="FFFFFF"/>
              <w:bottom w:val="single" w:sz="4" w:space="0" w:color="FFFFFF"/>
              <w:right w:val="single" w:sz="4" w:space="0" w:color="FFFFFF"/>
            </w:tcBorders>
          </w:tcPr>
          <w:p>
            <w:pPr>
              <w:spacing w:before="60" w:after="60"/>
            </w:pPr>
            <w:r>
              <w:rPr>
                <w:rFonts w:ascii="Calibri" w:hAnsi="Calibri"/>
                <w:b/>
                <w:color w:val="FFFFFF"/>
                <w:sz w:val="17"/>
              </w:rPr>
              <w:t>Table Name</w:t>
            </w:r>
          </w:p>
        </w:tc>
        <w:tc>
          <w:tcPr>
            <w:tcW w:type="dxa" w:w="3456"/>
            <w:shd w:val="clear" w:color="auto" w:fill="1B3A6B"/>
            <w:tcBorders>
              <w:top w:val="single" w:sz="4" w:space="0" w:color="FFFFFF"/>
              <w:left w:val="single" w:sz="4" w:space="0" w:color="FFFFFF"/>
              <w:bottom w:val="single" w:sz="4" w:space="0" w:color="FFFFFF"/>
              <w:right w:val="single" w:sz="4" w:space="0" w:color="FFFFFF"/>
            </w:tcBorders>
          </w:tcPr>
          <w:p>
            <w:pPr>
              <w:spacing w:before="60" w:after="60"/>
            </w:pPr>
            <w:r>
              <w:rPr>
                <w:rFonts w:ascii="Calibri" w:hAnsi="Calibri"/>
                <w:b/>
                <w:color w:val="FFFFFF"/>
                <w:sz w:val="17"/>
              </w:rPr>
              <w:t>What It Measures</w:t>
            </w:r>
          </w:p>
        </w:tc>
        <w:tc>
          <w:tcPr>
            <w:tcW w:type="dxa" w:w="2304"/>
            <w:shd w:val="clear" w:color="auto" w:fill="1B3A6B"/>
            <w:tcBorders>
              <w:top w:val="single" w:sz="4" w:space="0" w:color="FFFFFF"/>
              <w:left w:val="single" w:sz="4" w:space="0" w:color="FFFFFF"/>
              <w:bottom w:val="single" w:sz="4" w:space="0" w:color="FFFFFF"/>
              <w:right w:val="single" w:sz="4" w:space="0" w:color="FFFFFF"/>
            </w:tcBorders>
          </w:tcPr>
          <w:p>
            <w:pPr>
              <w:spacing w:before="60" w:after="60"/>
            </w:pPr>
            <w:r>
              <w:rPr>
                <w:rFonts w:ascii="Calibri" w:hAnsi="Calibri"/>
                <w:b/>
                <w:color w:val="FFFFFF"/>
                <w:sz w:val="17"/>
              </w:rPr>
              <w:t>Grain (1 row = ...)</w:t>
            </w:r>
          </w:p>
        </w:tc>
        <w:tc>
          <w:tcPr>
            <w:tcW w:type="dxa" w:w="2448"/>
            <w:shd w:val="clear" w:color="auto" w:fill="1B3A6B"/>
            <w:tcBorders>
              <w:top w:val="single" w:sz="4" w:space="0" w:color="FFFFFF"/>
              <w:left w:val="single" w:sz="4" w:space="0" w:color="FFFFFF"/>
              <w:bottom w:val="single" w:sz="4" w:space="0" w:color="FFFFFF"/>
              <w:right w:val="single" w:sz="4" w:space="0" w:color="FFFFFF"/>
            </w:tcBorders>
          </w:tcPr>
          <w:p>
            <w:pPr>
              <w:spacing w:before="60" w:after="60"/>
            </w:pPr>
            <w:r>
              <w:rPr>
                <w:rFonts w:ascii="Calibri" w:hAnsi="Calibri"/>
                <w:b/>
                <w:color w:val="FFFFFF"/>
                <w:sz w:val="17"/>
              </w:rPr>
              <w:t>Connects To</w:t>
            </w:r>
          </w:p>
        </w:tc>
      </w:tr>
      <w:tr>
        <w:tc>
          <w:tcPr>
            <w:tcW w:type="dxa" w:w="2304"/>
            <w:shd w:val="clear" w:color="auto" w:fill="E8EEF8"/>
            <w:tcBorders>
              <w:top w:val="single" w:sz="4" w:space="0" w:color="CCDDEE"/>
              <w:left w:val="single" w:sz="4" w:space="0" w:color="CCDDEE"/>
              <w:bottom w:val="single" w:sz="4" w:space="0" w:color="CCDDEE"/>
              <w:right w:val="single" w:sz="4" w:space="0" w:color="CCDDEE"/>
            </w:tcBorders>
          </w:tcPr>
          <w:p>
            <w:pPr>
              <w:spacing w:before="40" w:after="40"/>
            </w:pPr>
            <w:r>
              <w:rPr>
                <w:rFonts w:ascii="Calibri" w:hAnsi="Calibri"/>
                <w:b/>
                <w:color w:val="1B3A6B"/>
                <w:sz w:val="17"/>
              </w:rPr>
              <w:t>Population Over Time</w:t>
            </w:r>
          </w:p>
        </w:tc>
        <w:tc>
          <w:tcPr>
            <w:tcW w:type="dxa" w:w="3456"/>
            <w:shd w:val="clear" w:color="auto" w:fill="E8EEF8"/>
            <w:tcBorders>
              <w:top w:val="single" w:sz="4" w:space="0" w:color="CCDDEE"/>
              <w:left w:val="single" w:sz="4" w:space="0" w:color="CCDDEE"/>
              <w:bottom w:val="single" w:sz="4" w:space="0" w:color="CCDDEE"/>
              <w:right w:val="single" w:sz="4" w:space="0" w:color="CCDDEE"/>
            </w:tcBorders>
          </w:tcPr>
          <w:p>
            <w:pPr>
              <w:spacing w:before="40" w:after="40"/>
            </w:pPr>
            <w:r>
              <w:rPr>
                <w:rFonts w:ascii="Calibri" w:hAnsi="Calibri"/>
                <w:b w:val="0"/>
                <w:color w:val="1A1A2E"/>
                <w:sz w:val="17"/>
              </w:rPr>
              <w:t>Total Wake County population by year</w:t>
            </w:r>
          </w:p>
        </w:tc>
        <w:tc>
          <w:tcPr>
            <w:tcW w:type="dxa" w:w="2304"/>
            <w:shd w:val="clear" w:color="auto" w:fill="E8EEF8"/>
            <w:tcBorders>
              <w:top w:val="single" w:sz="4" w:space="0" w:color="CCDDEE"/>
              <w:left w:val="single" w:sz="4" w:space="0" w:color="CCDDEE"/>
              <w:bottom w:val="single" w:sz="4" w:space="0" w:color="CCDDEE"/>
              <w:right w:val="single" w:sz="4" w:space="0" w:color="CCDDEE"/>
            </w:tcBorders>
          </w:tcPr>
          <w:p>
            <w:pPr>
              <w:spacing w:before="40" w:after="40"/>
            </w:pPr>
            <w:r>
              <w:rPr>
                <w:rFonts w:ascii="Calibri" w:hAnsi="Calibri"/>
                <w:b w:val="0"/>
                <w:color w:val="555555"/>
                <w:sz w:val="17"/>
              </w:rPr>
              <w:t>1 row = 1 year</w:t>
            </w:r>
          </w:p>
        </w:tc>
        <w:tc>
          <w:tcPr>
            <w:tcW w:type="dxa" w:w="2448"/>
            <w:shd w:val="clear" w:color="auto" w:fill="E8EEF8"/>
            <w:tcBorders>
              <w:top w:val="single" w:sz="4" w:space="0" w:color="CCDDEE"/>
              <w:left w:val="single" w:sz="4" w:space="0" w:color="CCDDEE"/>
              <w:bottom w:val="single" w:sz="4" w:space="0" w:color="CCDDEE"/>
              <w:right w:val="single" w:sz="4" w:space="0" w:color="CCDDEE"/>
            </w:tcBorders>
          </w:tcPr>
          <w:p>
            <w:pPr>
              <w:spacing w:before="40" w:after="40"/>
            </w:pPr>
            <w:r>
              <w:rPr>
                <w:rFonts w:ascii="Calibri" w:hAnsi="Calibri"/>
                <w:b w:val="0"/>
                <w:color w:val="1A7A3C"/>
                <w:sz w:val="17"/>
              </w:rPr>
              <w:t>Building Permits (supply keeps pace?); Net HH Change (growth context)</w:t>
            </w:r>
          </w:p>
        </w:tc>
      </w:tr>
      <w:tr>
        <w:tc>
          <w:tcPr>
            <w:tcW w:type="dxa" w:w="2304"/>
            <w:shd w:val="clear" w:color="auto" w:fill="FAFCFF"/>
            <w:tcBorders>
              <w:top w:val="single" w:sz="4" w:space="0" w:color="CCDDEE"/>
              <w:left w:val="single" w:sz="4" w:space="0" w:color="CCDDEE"/>
              <w:bottom w:val="single" w:sz="4" w:space="0" w:color="CCDDEE"/>
              <w:right w:val="single" w:sz="4" w:space="0" w:color="CCDDEE"/>
            </w:tcBorders>
          </w:tcPr>
          <w:p>
            <w:pPr>
              <w:spacing w:before="40" w:after="40"/>
            </w:pPr>
            <w:r>
              <w:rPr>
                <w:rFonts w:ascii="Calibri" w:hAnsi="Calibri"/>
                <w:b/>
                <w:color w:val="1B3A6B"/>
                <w:sz w:val="17"/>
              </w:rPr>
              <w:t>% Change in Population</w:t>
            </w:r>
          </w:p>
        </w:tc>
        <w:tc>
          <w:tcPr>
            <w:tcW w:type="dxa" w:w="3456"/>
            <w:shd w:val="clear" w:color="auto" w:fill="FAFCFF"/>
            <w:tcBorders>
              <w:top w:val="single" w:sz="4" w:space="0" w:color="CCDDEE"/>
              <w:left w:val="single" w:sz="4" w:space="0" w:color="CCDDEE"/>
              <w:bottom w:val="single" w:sz="4" w:space="0" w:color="CCDDEE"/>
              <w:right w:val="single" w:sz="4" w:space="0" w:color="CCDDEE"/>
            </w:tcBorders>
          </w:tcPr>
          <w:p>
            <w:pPr>
              <w:spacing w:before="40" w:after="40"/>
            </w:pPr>
            <w:r>
              <w:rPr>
                <w:rFonts w:ascii="Calibri" w:hAnsi="Calibri"/>
                <w:b w:val="0"/>
                <w:color w:val="1A1A2E"/>
                <w:sz w:val="17"/>
              </w:rPr>
              <w:t>Population growth rate — Wake vs. NC</w:t>
            </w:r>
          </w:p>
        </w:tc>
        <w:tc>
          <w:tcPr>
            <w:tcW w:type="dxa" w:w="2304"/>
            <w:shd w:val="clear" w:color="auto" w:fill="FAFCFF"/>
            <w:tcBorders>
              <w:top w:val="single" w:sz="4" w:space="0" w:color="CCDDEE"/>
              <w:left w:val="single" w:sz="4" w:space="0" w:color="CCDDEE"/>
              <w:bottom w:val="single" w:sz="4" w:space="0" w:color="CCDDEE"/>
              <w:right w:val="single" w:sz="4" w:space="0" w:color="CCDDEE"/>
            </w:tcBorders>
          </w:tcPr>
          <w:p>
            <w:pPr>
              <w:spacing w:before="40" w:after="40"/>
            </w:pPr>
            <w:r>
              <w:rPr>
                <w:rFonts w:ascii="Calibri" w:hAnsi="Calibri"/>
                <w:b w:val="0"/>
                <w:color w:val="555555"/>
                <w:sz w:val="17"/>
              </w:rPr>
              <w:t>1 row = 1 year × 2 geographies</w:t>
            </w:r>
          </w:p>
        </w:tc>
        <w:tc>
          <w:tcPr>
            <w:tcW w:type="dxa" w:w="2448"/>
            <w:shd w:val="clear" w:color="auto" w:fill="FAFCFF"/>
            <w:tcBorders>
              <w:top w:val="single" w:sz="4" w:space="0" w:color="CCDDEE"/>
              <w:left w:val="single" w:sz="4" w:space="0" w:color="CCDDEE"/>
              <w:bottom w:val="single" w:sz="4" w:space="0" w:color="CCDDEE"/>
              <w:right w:val="single" w:sz="4" w:space="0" w:color="CCDDEE"/>
            </w:tcBorders>
          </w:tcPr>
          <w:p>
            <w:pPr>
              <w:spacing w:before="40" w:after="40"/>
            </w:pPr>
            <w:r>
              <w:rPr>
                <w:rFonts w:ascii="Calibri" w:hAnsi="Calibri"/>
                <w:b w:val="0"/>
                <w:color w:val="1A7A3C"/>
                <w:sz w:val="17"/>
              </w:rPr>
              <w:t>Vacancy Rate (demand pressure); Median Rent trend</w:t>
            </w:r>
          </w:p>
        </w:tc>
      </w:tr>
      <w:tr>
        <w:tc>
          <w:tcPr>
            <w:tcW w:type="dxa" w:w="2304"/>
            <w:shd w:val="clear" w:color="auto" w:fill="E8EEF8"/>
            <w:tcBorders>
              <w:top w:val="single" w:sz="4" w:space="0" w:color="CCDDEE"/>
              <w:left w:val="single" w:sz="4" w:space="0" w:color="CCDDEE"/>
              <w:bottom w:val="single" w:sz="4" w:space="0" w:color="CCDDEE"/>
              <w:right w:val="single" w:sz="4" w:space="0" w:color="CCDDEE"/>
            </w:tcBorders>
          </w:tcPr>
          <w:p>
            <w:pPr>
              <w:spacing w:before="40" w:after="40"/>
            </w:pPr>
            <w:r>
              <w:rPr>
                <w:rFonts w:ascii="Calibri" w:hAnsi="Calibri"/>
                <w:b/>
                <w:color w:val="1B3A6B"/>
                <w:sz w:val="17"/>
              </w:rPr>
              <w:t>Household Income Distribution</w:t>
            </w:r>
          </w:p>
        </w:tc>
        <w:tc>
          <w:tcPr>
            <w:tcW w:type="dxa" w:w="3456"/>
            <w:shd w:val="clear" w:color="auto" w:fill="E8EEF8"/>
            <w:tcBorders>
              <w:top w:val="single" w:sz="4" w:space="0" w:color="CCDDEE"/>
              <w:left w:val="single" w:sz="4" w:space="0" w:color="CCDDEE"/>
              <w:bottom w:val="single" w:sz="4" w:space="0" w:color="CCDDEE"/>
              <w:right w:val="single" w:sz="4" w:space="0" w:color="CCDDEE"/>
            </w:tcBorders>
          </w:tcPr>
          <w:p>
            <w:pPr>
              <w:spacing w:before="40" w:after="40"/>
            </w:pPr>
            <w:r>
              <w:rPr>
                <w:rFonts w:ascii="Calibri" w:hAnsi="Calibri"/>
                <w:b w:val="0"/>
                <w:color w:val="1A1A2E"/>
                <w:sz w:val="17"/>
              </w:rPr>
              <w:t>Share of households in each income band — 2014 vs 2024</w:t>
            </w:r>
          </w:p>
        </w:tc>
        <w:tc>
          <w:tcPr>
            <w:tcW w:type="dxa" w:w="2304"/>
            <w:shd w:val="clear" w:color="auto" w:fill="E8EEF8"/>
            <w:tcBorders>
              <w:top w:val="single" w:sz="4" w:space="0" w:color="CCDDEE"/>
              <w:left w:val="single" w:sz="4" w:space="0" w:color="CCDDEE"/>
              <w:bottom w:val="single" w:sz="4" w:space="0" w:color="CCDDEE"/>
              <w:right w:val="single" w:sz="4" w:space="0" w:color="CCDDEE"/>
            </w:tcBorders>
          </w:tcPr>
          <w:p>
            <w:pPr>
              <w:spacing w:before="40" w:after="40"/>
            </w:pPr>
            <w:r>
              <w:rPr>
                <w:rFonts w:ascii="Calibri" w:hAnsi="Calibri"/>
                <w:b w:val="0"/>
                <w:color w:val="555555"/>
                <w:sz w:val="17"/>
              </w:rPr>
              <w:t>1 row = 1 income band</w:t>
            </w:r>
          </w:p>
        </w:tc>
        <w:tc>
          <w:tcPr>
            <w:tcW w:type="dxa" w:w="2448"/>
            <w:shd w:val="clear" w:color="auto" w:fill="E8EEF8"/>
            <w:tcBorders>
              <w:top w:val="single" w:sz="4" w:space="0" w:color="CCDDEE"/>
              <w:left w:val="single" w:sz="4" w:space="0" w:color="CCDDEE"/>
              <w:bottom w:val="single" w:sz="4" w:space="0" w:color="CCDDEE"/>
              <w:right w:val="single" w:sz="4" w:space="0" w:color="CCDDEE"/>
            </w:tcBorders>
          </w:tcPr>
          <w:p>
            <w:pPr>
              <w:spacing w:before="40" w:after="40"/>
            </w:pPr>
            <w:r>
              <w:rPr>
                <w:rFonts w:ascii="Calibri" w:hAnsi="Calibri"/>
                <w:b w:val="0"/>
                <w:color w:val="1A7A3C"/>
                <w:sz w:val="17"/>
              </w:rPr>
              <w:t>Rental Deficit by Income; Owner Cost Burden by Income</w:t>
            </w:r>
          </w:p>
        </w:tc>
      </w:tr>
      <w:tr>
        <w:tc>
          <w:tcPr>
            <w:tcW w:type="dxa" w:w="2304"/>
            <w:shd w:val="clear" w:color="auto" w:fill="FAFCFF"/>
            <w:tcBorders>
              <w:top w:val="single" w:sz="4" w:space="0" w:color="CCDDEE"/>
              <w:left w:val="single" w:sz="4" w:space="0" w:color="CCDDEE"/>
              <w:bottom w:val="single" w:sz="4" w:space="0" w:color="CCDDEE"/>
              <w:right w:val="single" w:sz="4" w:space="0" w:color="CCDDEE"/>
            </w:tcBorders>
          </w:tcPr>
          <w:p>
            <w:pPr>
              <w:spacing w:before="40" w:after="40"/>
            </w:pPr>
            <w:r>
              <w:rPr>
                <w:rFonts w:ascii="Calibri" w:hAnsi="Calibri"/>
                <w:b/>
                <w:color w:val="1B3A6B"/>
                <w:sz w:val="17"/>
              </w:rPr>
              <w:t>Net Change in HH by Income Band</w:t>
            </w:r>
          </w:p>
        </w:tc>
        <w:tc>
          <w:tcPr>
            <w:tcW w:type="dxa" w:w="3456"/>
            <w:shd w:val="clear" w:color="auto" w:fill="FAFCFF"/>
            <w:tcBorders>
              <w:top w:val="single" w:sz="4" w:space="0" w:color="CCDDEE"/>
              <w:left w:val="single" w:sz="4" w:space="0" w:color="CCDDEE"/>
              <w:bottom w:val="single" w:sz="4" w:space="0" w:color="CCDDEE"/>
              <w:right w:val="single" w:sz="4" w:space="0" w:color="CCDDEE"/>
            </w:tcBorders>
          </w:tcPr>
          <w:p>
            <w:pPr>
              <w:spacing w:before="40" w:after="40"/>
            </w:pPr>
            <w:r>
              <w:rPr>
                <w:rFonts w:ascii="Calibri" w:hAnsi="Calibri"/>
                <w:b w:val="0"/>
                <w:color w:val="1A1A2E"/>
                <w:sz w:val="17"/>
              </w:rPr>
              <w:t>How many more/fewer households at each income level 2014→2024</w:t>
            </w:r>
          </w:p>
        </w:tc>
        <w:tc>
          <w:tcPr>
            <w:tcW w:type="dxa" w:w="2304"/>
            <w:shd w:val="clear" w:color="auto" w:fill="FAFCFF"/>
            <w:tcBorders>
              <w:top w:val="single" w:sz="4" w:space="0" w:color="CCDDEE"/>
              <w:left w:val="single" w:sz="4" w:space="0" w:color="CCDDEE"/>
              <w:bottom w:val="single" w:sz="4" w:space="0" w:color="CCDDEE"/>
              <w:right w:val="single" w:sz="4" w:space="0" w:color="CCDDEE"/>
            </w:tcBorders>
          </w:tcPr>
          <w:p>
            <w:pPr>
              <w:spacing w:before="40" w:after="40"/>
            </w:pPr>
            <w:r>
              <w:rPr>
                <w:rFonts w:ascii="Calibri" w:hAnsi="Calibri"/>
                <w:b w:val="0"/>
                <w:color w:val="555555"/>
                <w:sz w:val="17"/>
              </w:rPr>
              <w:t>1 row = 1 income band</w:t>
            </w:r>
          </w:p>
        </w:tc>
        <w:tc>
          <w:tcPr>
            <w:tcW w:type="dxa" w:w="2448"/>
            <w:shd w:val="clear" w:color="auto" w:fill="FAFCFF"/>
            <w:tcBorders>
              <w:top w:val="single" w:sz="4" w:space="0" w:color="CCDDEE"/>
              <w:left w:val="single" w:sz="4" w:space="0" w:color="CCDDEE"/>
              <w:bottom w:val="single" w:sz="4" w:space="0" w:color="CCDDEE"/>
              <w:right w:val="single" w:sz="4" w:space="0" w:color="CCDDEE"/>
            </w:tcBorders>
          </w:tcPr>
          <w:p>
            <w:pPr>
              <w:spacing w:before="40" w:after="40"/>
            </w:pPr>
            <w:r>
              <w:rPr>
                <w:rFonts w:ascii="Calibri" w:hAnsi="Calibri"/>
                <w:b w:val="0"/>
                <w:color w:val="1A7A3C"/>
                <w:sz w:val="17"/>
              </w:rPr>
              <w:t>Rental Deficit (disappearing demand vs. priced-out); HH by Income &amp; Tenure</w:t>
            </w:r>
          </w:p>
        </w:tc>
      </w:tr>
      <w:tr>
        <w:tc>
          <w:tcPr>
            <w:tcW w:type="dxa" w:w="2304"/>
            <w:shd w:val="clear" w:color="auto" w:fill="E8EEF8"/>
            <w:tcBorders>
              <w:top w:val="single" w:sz="4" w:space="0" w:color="CCDDEE"/>
              <w:left w:val="single" w:sz="4" w:space="0" w:color="CCDDEE"/>
              <w:bottom w:val="single" w:sz="4" w:space="0" w:color="CCDDEE"/>
              <w:right w:val="single" w:sz="4" w:space="0" w:color="CCDDEE"/>
            </w:tcBorders>
          </w:tcPr>
          <w:p>
            <w:pPr>
              <w:spacing w:before="40" w:after="40"/>
            </w:pPr>
            <w:r>
              <w:rPr>
                <w:rFonts w:ascii="Calibri" w:hAnsi="Calibri"/>
                <w:b/>
                <w:color w:val="1B3A6B"/>
                <w:sz w:val="17"/>
              </w:rPr>
              <w:t>Households by Income &amp; Tenure</w:t>
            </w:r>
          </w:p>
        </w:tc>
        <w:tc>
          <w:tcPr>
            <w:tcW w:type="dxa" w:w="3456"/>
            <w:shd w:val="clear" w:color="auto" w:fill="E8EEF8"/>
            <w:tcBorders>
              <w:top w:val="single" w:sz="4" w:space="0" w:color="CCDDEE"/>
              <w:left w:val="single" w:sz="4" w:space="0" w:color="CCDDEE"/>
              <w:bottom w:val="single" w:sz="4" w:space="0" w:color="CCDDEE"/>
              <w:right w:val="single" w:sz="4" w:space="0" w:color="CCDDEE"/>
            </w:tcBorders>
          </w:tcPr>
          <w:p>
            <w:pPr>
              <w:spacing w:before="40" w:after="40"/>
            </w:pPr>
            <w:r>
              <w:rPr>
                <w:rFonts w:ascii="Calibri" w:hAnsi="Calibri"/>
                <w:b w:val="0"/>
                <w:color w:val="1A1A2E"/>
                <w:sz w:val="17"/>
              </w:rPr>
              <w:t>What % of owners vs. renters fall in each income band</w:t>
            </w:r>
          </w:p>
        </w:tc>
        <w:tc>
          <w:tcPr>
            <w:tcW w:type="dxa" w:w="2304"/>
            <w:shd w:val="clear" w:color="auto" w:fill="E8EEF8"/>
            <w:tcBorders>
              <w:top w:val="single" w:sz="4" w:space="0" w:color="CCDDEE"/>
              <w:left w:val="single" w:sz="4" w:space="0" w:color="CCDDEE"/>
              <w:bottom w:val="single" w:sz="4" w:space="0" w:color="CCDDEE"/>
              <w:right w:val="single" w:sz="4" w:space="0" w:color="CCDDEE"/>
            </w:tcBorders>
          </w:tcPr>
          <w:p>
            <w:pPr>
              <w:spacing w:before="40" w:after="40"/>
            </w:pPr>
            <w:r>
              <w:rPr>
                <w:rFonts w:ascii="Calibri" w:hAnsi="Calibri"/>
                <w:b w:val="0"/>
                <w:color w:val="555555"/>
                <w:sz w:val="17"/>
              </w:rPr>
              <w:t>1 row = 1 income band</w:t>
            </w:r>
          </w:p>
        </w:tc>
        <w:tc>
          <w:tcPr>
            <w:tcW w:type="dxa" w:w="2448"/>
            <w:shd w:val="clear" w:color="auto" w:fill="E8EEF8"/>
            <w:tcBorders>
              <w:top w:val="single" w:sz="4" w:space="0" w:color="CCDDEE"/>
              <w:left w:val="single" w:sz="4" w:space="0" w:color="CCDDEE"/>
              <w:bottom w:val="single" w:sz="4" w:space="0" w:color="CCDDEE"/>
              <w:right w:val="single" w:sz="4" w:space="0" w:color="CCDDEE"/>
            </w:tcBorders>
          </w:tcPr>
          <w:p>
            <w:pPr>
              <w:spacing w:before="40" w:after="40"/>
            </w:pPr>
            <w:r>
              <w:rPr>
                <w:rFonts w:ascii="Calibri" w:hAnsi="Calibri"/>
                <w:b w:val="0"/>
                <w:color w:val="1A7A3C"/>
                <w:sz w:val="17"/>
              </w:rPr>
              <w:t>Renter Cost Burden by Income; Owner Cost Burden by Income</w:t>
            </w:r>
          </w:p>
        </w:tc>
      </w:tr>
      <w:tr>
        <w:tc>
          <w:tcPr>
            <w:tcW w:type="dxa" w:w="2304"/>
            <w:shd w:val="clear" w:color="auto" w:fill="FAFCFF"/>
            <w:tcBorders>
              <w:top w:val="single" w:sz="4" w:space="0" w:color="CCDDEE"/>
              <w:left w:val="single" w:sz="4" w:space="0" w:color="CCDDEE"/>
              <w:bottom w:val="single" w:sz="4" w:space="0" w:color="CCDDEE"/>
              <w:right w:val="single" w:sz="4" w:space="0" w:color="CCDDEE"/>
            </w:tcBorders>
          </w:tcPr>
          <w:p>
            <w:pPr>
              <w:spacing w:before="40" w:after="40"/>
            </w:pPr>
            <w:r>
              <w:rPr>
                <w:rFonts w:ascii="Calibri" w:hAnsi="Calibri"/>
                <w:b/>
                <w:color w:val="1B3A6B"/>
                <w:sz w:val="17"/>
              </w:rPr>
              <w:t>Households by Race/Ethnicity</w:t>
            </w:r>
          </w:p>
        </w:tc>
        <w:tc>
          <w:tcPr>
            <w:tcW w:type="dxa" w:w="3456"/>
            <w:shd w:val="clear" w:color="auto" w:fill="FAFCFF"/>
            <w:tcBorders>
              <w:top w:val="single" w:sz="4" w:space="0" w:color="CCDDEE"/>
              <w:left w:val="single" w:sz="4" w:space="0" w:color="CCDDEE"/>
              <w:bottom w:val="single" w:sz="4" w:space="0" w:color="CCDDEE"/>
              <w:right w:val="single" w:sz="4" w:space="0" w:color="CCDDEE"/>
            </w:tcBorders>
          </w:tcPr>
          <w:p>
            <w:pPr>
              <w:spacing w:before="40" w:after="40"/>
            </w:pPr>
            <w:r>
              <w:rPr>
                <w:rFonts w:ascii="Calibri" w:hAnsi="Calibri"/>
                <w:b w:val="0"/>
                <w:color w:val="1A1A2E"/>
                <w:sz w:val="17"/>
              </w:rPr>
              <w:t>Total household count by racial group</w:t>
            </w:r>
          </w:p>
        </w:tc>
        <w:tc>
          <w:tcPr>
            <w:tcW w:type="dxa" w:w="2304"/>
            <w:shd w:val="clear" w:color="auto" w:fill="FAFCFF"/>
            <w:tcBorders>
              <w:top w:val="single" w:sz="4" w:space="0" w:color="CCDDEE"/>
              <w:left w:val="single" w:sz="4" w:space="0" w:color="CCDDEE"/>
              <w:bottom w:val="single" w:sz="4" w:space="0" w:color="CCDDEE"/>
              <w:right w:val="single" w:sz="4" w:space="0" w:color="CCDDEE"/>
            </w:tcBorders>
          </w:tcPr>
          <w:p>
            <w:pPr>
              <w:spacing w:before="40" w:after="40"/>
            </w:pPr>
            <w:r>
              <w:rPr>
                <w:rFonts w:ascii="Calibri" w:hAnsi="Calibri"/>
                <w:b w:val="0"/>
                <w:color w:val="555555"/>
                <w:sz w:val="17"/>
              </w:rPr>
              <w:t>1 row = 1 race group</w:t>
            </w:r>
          </w:p>
        </w:tc>
        <w:tc>
          <w:tcPr>
            <w:tcW w:type="dxa" w:w="2448"/>
            <w:shd w:val="clear" w:color="auto" w:fill="FAFCFF"/>
            <w:tcBorders>
              <w:top w:val="single" w:sz="4" w:space="0" w:color="CCDDEE"/>
              <w:left w:val="single" w:sz="4" w:space="0" w:color="CCDDEE"/>
              <w:bottom w:val="single" w:sz="4" w:space="0" w:color="CCDDEE"/>
              <w:right w:val="single" w:sz="4" w:space="0" w:color="CCDDEE"/>
            </w:tcBorders>
          </w:tcPr>
          <w:p>
            <w:pPr>
              <w:spacing w:before="40" w:after="40"/>
            </w:pPr>
            <w:r>
              <w:rPr>
                <w:rFonts w:ascii="Calibri" w:hAnsi="Calibri"/>
                <w:b w:val="0"/>
                <w:color w:val="1A7A3C"/>
                <w:sz w:val="17"/>
              </w:rPr>
              <w:t>Homeownership Rate by Race (equity gap)</w:t>
            </w:r>
          </w:p>
        </w:tc>
      </w:tr>
      <w:tr>
        <w:tc>
          <w:tcPr>
            <w:tcW w:type="dxa" w:w="2304"/>
            <w:shd w:val="clear" w:color="auto" w:fill="E8EEF8"/>
            <w:tcBorders>
              <w:top w:val="single" w:sz="4" w:space="0" w:color="CCDDEE"/>
              <w:left w:val="single" w:sz="4" w:space="0" w:color="CCDDEE"/>
              <w:bottom w:val="single" w:sz="4" w:space="0" w:color="CCDDEE"/>
              <w:right w:val="single" w:sz="4" w:space="0" w:color="CCDDEE"/>
            </w:tcBorders>
          </w:tcPr>
          <w:p>
            <w:pPr>
              <w:spacing w:before="40" w:after="40"/>
            </w:pPr>
            <w:r>
              <w:rPr>
                <w:rFonts w:ascii="Calibri" w:hAnsi="Calibri"/>
                <w:b/>
                <w:color w:val="1B3A6B"/>
                <w:sz w:val="17"/>
              </w:rPr>
              <w:t>Population by Age</w:t>
            </w:r>
          </w:p>
        </w:tc>
        <w:tc>
          <w:tcPr>
            <w:tcW w:type="dxa" w:w="3456"/>
            <w:shd w:val="clear" w:color="auto" w:fill="E8EEF8"/>
            <w:tcBorders>
              <w:top w:val="single" w:sz="4" w:space="0" w:color="CCDDEE"/>
              <w:left w:val="single" w:sz="4" w:space="0" w:color="CCDDEE"/>
              <w:bottom w:val="single" w:sz="4" w:space="0" w:color="CCDDEE"/>
              <w:right w:val="single" w:sz="4" w:space="0" w:color="CCDDEE"/>
            </w:tcBorders>
          </w:tcPr>
          <w:p>
            <w:pPr>
              <w:spacing w:before="40" w:after="40"/>
            </w:pPr>
            <w:r>
              <w:rPr>
                <w:rFonts w:ascii="Calibri" w:hAnsi="Calibri"/>
                <w:b w:val="0"/>
                <w:color w:val="1A1A2E"/>
                <w:sz w:val="17"/>
              </w:rPr>
              <w:t>Age group breakdown — 2014, 2019, 2024</w:t>
            </w:r>
          </w:p>
        </w:tc>
        <w:tc>
          <w:tcPr>
            <w:tcW w:type="dxa" w:w="2304"/>
            <w:shd w:val="clear" w:color="auto" w:fill="E8EEF8"/>
            <w:tcBorders>
              <w:top w:val="single" w:sz="4" w:space="0" w:color="CCDDEE"/>
              <w:left w:val="single" w:sz="4" w:space="0" w:color="CCDDEE"/>
              <w:bottom w:val="single" w:sz="4" w:space="0" w:color="CCDDEE"/>
              <w:right w:val="single" w:sz="4" w:space="0" w:color="CCDDEE"/>
            </w:tcBorders>
          </w:tcPr>
          <w:p>
            <w:pPr>
              <w:spacing w:before="40" w:after="40"/>
            </w:pPr>
            <w:r>
              <w:rPr>
                <w:rFonts w:ascii="Calibri" w:hAnsi="Calibri"/>
                <w:b w:val="0"/>
                <w:color w:val="555555"/>
                <w:sz w:val="17"/>
              </w:rPr>
              <w:t>1 row = 1 age group × 3 years</w:t>
            </w:r>
          </w:p>
        </w:tc>
        <w:tc>
          <w:tcPr>
            <w:tcW w:type="dxa" w:w="2448"/>
            <w:shd w:val="clear" w:color="auto" w:fill="E8EEF8"/>
            <w:tcBorders>
              <w:top w:val="single" w:sz="4" w:space="0" w:color="CCDDEE"/>
              <w:left w:val="single" w:sz="4" w:space="0" w:color="CCDDEE"/>
              <w:bottom w:val="single" w:sz="4" w:space="0" w:color="CCDDEE"/>
              <w:right w:val="single" w:sz="4" w:space="0" w:color="CCDDEE"/>
            </w:tcBorders>
          </w:tcPr>
          <w:p>
            <w:pPr>
              <w:spacing w:before="40" w:after="40"/>
            </w:pPr>
            <w:r>
              <w:rPr>
                <w:rFonts w:ascii="Calibri" w:hAnsi="Calibri"/>
                <w:b w:val="0"/>
                <w:color w:val="1A7A3C"/>
                <w:sz w:val="17"/>
              </w:rPr>
              <w:t>Household Size; first-time buyer context</w:t>
            </w:r>
          </w:p>
        </w:tc>
      </w:tr>
      <w:tr>
        <w:tc>
          <w:tcPr>
            <w:tcW w:type="dxa" w:w="2304"/>
            <w:shd w:val="clear" w:color="auto" w:fill="FAFCFF"/>
            <w:tcBorders>
              <w:top w:val="single" w:sz="4" w:space="0" w:color="CCDDEE"/>
              <w:left w:val="single" w:sz="4" w:space="0" w:color="CCDDEE"/>
              <w:bottom w:val="single" w:sz="4" w:space="0" w:color="CCDDEE"/>
              <w:right w:val="single" w:sz="4" w:space="0" w:color="CCDDEE"/>
            </w:tcBorders>
          </w:tcPr>
          <w:p>
            <w:pPr>
              <w:spacing w:before="40" w:after="40"/>
            </w:pPr>
            <w:r>
              <w:rPr>
                <w:rFonts w:ascii="Calibri" w:hAnsi="Calibri"/>
                <w:b/>
                <w:color w:val="1B3A6B"/>
                <w:sz w:val="17"/>
              </w:rPr>
              <w:t>Median Household Income</w:t>
            </w:r>
          </w:p>
        </w:tc>
        <w:tc>
          <w:tcPr>
            <w:tcW w:type="dxa" w:w="3456"/>
            <w:shd w:val="clear" w:color="auto" w:fill="FAFCFF"/>
            <w:tcBorders>
              <w:top w:val="single" w:sz="4" w:space="0" w:color="CCDDEE"/>
              <w:left w:val="single" w:sz="4" w:space="0" w:color="CCDDEE"/>
              <w:bottom w:val="single" w:sz="4" w:space="0" w:color="CCDDEE"/>
              <w:right w:val="single" w:sz="4" w:space="0" w:color="CCDDEE"/>
            </w:tcBorders>
          </w:tcPr>
          <w:p>
            <w:pPr>
              <w:spacing w:before="40" w:after="40"/>
            </w:pPr>
            <w:r>
              <w:rPr>
                <w:rFonts w:ascii="Calibri" w:hAnsi="Calibri"/>
                <w:b w:val="0"/>
                <w:color w:val="1A1A2E"/>
                <w:sz w:val="17"/>
              </w:rPr>
              <w:t>Median income — Wake vs. NC, 2014–2024</w:t>
            </w:r>
          </w:p>
        </w:tc>
        <w:tc>
          <w:tcPr>
            <w:tcW w:type="dxa" w:w="2304"/>
            <w:shd w:val="clear" w:color="auto" w:fill="FAFCFF"/>
            <w:tcBorders>
              <w:top w:val="single" w:sz="4" w:space="0" w:color="CCDDEE"/>
              <w:left w:val="single" w:sz="4" w:space="0" w:color="CCDDEE"/>
              <w:bottom w:val="single" w:sz="4" w:space="0" w:color="CCDDEE"/>
              <w:right w:val="single" w:sz="4" w:space="0" w:color="CCDDEE"/>
            </w:tcBorders>
          </w:tcPr>
          <w:p>
            <w:pPr>
              <w:spacing w:before="40" w:after="40"/>
            </w:pPr>
            <w:r>
              <w:rPr>
                <w:rFonts w:ascii="Calibri" w:hAnsi="Calibri"/>
                <w:b w:val="0"/>
                <w:color w:val="555555"/>
                <w:sz w:val="17"/>
              </w:rPr>
              <w:t>1 row = 1 year × 2 geographies</w:t>
            </w:r>
          </w:p>
        </w:tc>
        <w:tc>
          <w:tcPr>
            <w:tcW w:type="dxa" w:w="2448"/>
            <w:shd w:val="clear" w:color="auto" w:fill="FAFCFF"/>
            <w:tcBorders>
              <w:top w:val="single" w:sz="4" w:space="0" w:color="CCDDEE"/>
              <w:left w:val="single" w:sz="4" w:space="0" w:color="CCDDEE"/>
              <w:bottom w:val="single" w:sz="4" w:space="0" w:color="CCDDEE"/>
              <w:right w:val="single" w:sz="4" w:space="0" w:color="CCDDEE"/>
            </w:tcBorders>
          </w:tcPr>
          <w:p>
            <w:pPr>
              <w:spacing w:before="40" w:after="40"/>
            </w:pPr>
            <w:r>
              <w:rPr>
                <w:rFonts w:ascii="Calibri" w:hAnsi="Calibri"/>
                <w:b w:val="0"/>
                <w:color w:val="1A7A3C"/>
                <w:sz w:val="17"/>
              </w:rPr>
              <w:t>Income Required to Afford Rent (affordability gap)</w:t>
            </w:r>
          </w:p>
        </w:tc>
      </w:tr>
      <w:tr>
        <w:tc>
          <w:tcPr>
            <w:tcW w:type="dxa" w:w="2304"/>
            <w:shd w:val="clear" w:color="auto" w:fill="E8EEF8"/>
            <w:tcBorders>
              <w:top w:val="single" w:sz="4" w:space="0" w:color="CCDDEE"/>
              <w:left w:val="single" w:sz="4" w:space="0" w:color="CCDDEE"/>
              <w:bottom w:val="single" w:sz="4" w:space="0" w:color="CCDDEE"/>
              <w:right w:val="single" w:sz="4" w:space="0" w:color="CCDDEE"/>
            </w:tcBorders>
          </w:tcPr>
          <w:p>
            <w:pPr>
              <w:spacing w:before="40" w:after="40"/>
            </w:pPr>
            <w:r>
              <w:rPr>
                <w:rFonts w:ascii="Calibri" w:hAnsi="Calibri"/>
                <w:b/>
                <w:color w:val="1B3A6B"/>
                <w:sz w:val="17"/>
              </w:rPr>
              <w:t>Educational Attainment</w:t>
            </w:r>
          </w:p>
        </w:tc>
        <w:tc>
          <w:tcPr>
            <w:tcW w:type="dxa" w:w="3456"/>
            <w:shd w:val="clear" w:color="auto" w:fill="E8EEF8"/>
            <w:tcBorders>
              <w:top w:val="single" w:sz="4" w:space="0" w:color="CCDDEE"/>
              <w:left w:val="single" w:sz="4" w:space="0" w:color="CCDDEE"/>
              <w:bottom w:val="single" w:sz="4" w:space="0" w:color="CCDDEE"/>
              <w:right w:val="single" w:sz="4" w:space="0" w:color="CCDDEE"/>
            </w:tcBorders>
          </w:tcPr>
          <w:p>
            <w:pPr>
              <w:spacing w:before="40" w:after="40"/>
            </w:pPr>
            <w:r>
              <w:rPr>
                <w:rFonts w:ascii="Calibri" w:hAnsi="Calibri"/>
                <w:b w:val="0"/>
                <w:color w:val="1A1A2E"/>
                <w:sz w:val="17"/>
              </w:rPr>
              <w:t>Share of population by education level — 2014 vs 2024</w:t>
            </w:r>
          </w:p>
        </w:tc>
        <w:tc>
          <w:tcPr>
            <w:tcW w:type="dxa" w:w="2304"/>
            <w:shd w:val="clear" w:color="auto" w:fill="E8EEF8"/>
            <w:tcBorders>
              <w:top w:val="single" w:sz="4" w:space="0" w:color="CCDDEE"/>
              <w:left w:val="single" w:sz="4" w:space="0" w:color="CCDDEE"/>
              <w:bottom w:val="single" w:sz="4" w:space="0" w:color="CCDDEE"/>
              <w:right w:val="single" w:sz="4" w:space="0" w:color="CCDDEE"/>
            </w:tcBorders>
          </w:tcPr>
          <w:p>
            <w:pPr>
              <w:spacing w:before="40" w:after="40"/>
            </w:pPr>
            <w:r>
              <w:rPr>
                <w:rFonts w:ascii="Calibri" w:hAnsi="Calibri"/>
                <w:b w:val="0"/>
                <w:color w:val="555555"/>
                <w:sz w:val="17"/>
              </w:rPr>
              <w:t>1 row = 1 education level</w:t>
            </w:r>
          </w:p>
        </w:tc>
        <w:tc>
          <w:tcPr>
            <w:tcW w:type="dxa" w:w="2448"/>
            <w:shd w:val="clear" w:color="auto" w:fill="E8EEF8"/>
            <w:tcBorders>
              <w:top w:val="single" w:sz="4" w:space="0" w:color="CCDDEE"/>
              <w:left w:val="single" w:sz="4" w:space="0" w:color="CCDDEE"/>
              <w:bottom w:val="single" w:sz="4" w:space="0" w:color="CCDDEE"/>
              <w:right w:val="single" w:sz="4" w:space="0" w:color="CCDDEE"/>
            </w:tcBorders>
          </w:tcPr>
          <w:p>
            <w:pPr>
              <w:spacing w:before="40" w:after="40"/>
            </w:pPr>
            <w:r>
              <w:rPr>
                <w:rFonts w:ascii="Calibri" w:hAnsi="Calibri"/>
                <w:b w:val="0"/>
                <w:color w:val="1A7A3C"/>
                <w:sz w:val="17"/>
              </w:rPr>
              <w:t>Rent Affordable by Education (Tab 2 chart)</w:t>
            </w:r>
          </w:p>
        </w:tc>
      </w:tr>
    </w:tbl>
    <w:p/>
    <w:p>
      <w:pPr>
        <w:spacing w:before="200" w:after="60"/>
        <w:shd w:val="clear" w:color="auto" w:fill="007A87"/>
      </w:pPr>
      <w:r>
        <w:rPr>
          <w:rFonts w:ascii="Calibri" w:hAnsi="Calibri"/>
          <w:b/>
          <w:color w:val="FFFFFF"/>
          <w:sz w:val="22"/>
        </w:rPr>
        <w:t xml:space="preserve">  Homeownership File</w:t>
      </w:r>
    </w:p>
    <w:tbl>
      <w:tblPr>
        <w:tblStyle w:val="TableGrid"/>
        <w:tblW w:type="auto" w:w="0"/>
        <w:tblLook w:firstColumn="1" w:firstRow="1" w:lastColumn="0" w:lastRow="0" w:noHBand="0" w:noVBand="1" w:val="04A0"/>
      </w:tblPr>
      <w:tblGrid>
        <w:gridCol w:w="2340"/>
        <w:gridCol w:w="2340"/>
        <w:gridCol w:w="2340"/>
        <w:gridCol w:w="2340"/>
      </w:tblGrid>
      <w:tr>
        <w:tc>
          <w:tcPr>
            <w:tcW w:type="dxa" w:w="2304"/>
            <w:shd w:val="clear" w:color="auto" w:fill="007A87"/>
            <w:tcBorders>
              <w:top w:val="single" w:sz="4" w:space="0" w:color="FFFFFF"/>
              <w:left w:val="single" w:sz="4" w:space="0" w:color="FFFFFF"/>
              <w:bottom w:val="single" w:sz="4" w:space="0" w:color="FFFFFF"/>
              <w:right w:val="single" w:sz="4" w:space="0" w:color="FFFFFF"/>
            </w:tcBorders>
          </w:tcPr>
          <w:p>
            <w:pPr>
              <w:spacing w:before="60" w:after="60"/>
            </w:pPr>
            <w:r>
              <w:rPr>
                <w:rFonts w:ascii="Calibri" w:hAnsi="Calibri"/>
                <w:b/>
                <w:color w:val="FFFFFF"/>
                <w:sz w:val="17"/>
              </w:rPr>
              <w:t>Table Name</w:t>
            </w:r>
          </w:p>
        </w:tc>
        <w:tc>
          <w:tcPr>
            <w:tcW w:type="dxa" w:w="3456"/>
            <w:shd w:val="clear" w:color="auto" w:fill="007A87"/>
            <w:tcBorders>
              <w:top w:val="single" w:sz="4" w:space="0" w:color="FFFFFF"/>
              <w:left w:val="single" w:sz="4" w:space="0" w:color="FFFFFF"/>
              <w:bottom w:val="single" w:sz="4" w:space="0" w:color="FFFFFF"/>
              <w:right w:val="single" w:sz="4" w:space="0" w:color="FFFFFF"/>
            </w:tcBorders>
          </w:tcPr>
          <w:p>
            <w:pPr>
              <w:spacing w:before="60" w:after="60"/>
            </w:pPr>
            <w:r>
              <w:rPr>
                <w:rFonts w:ascii="Calibri" w:hAnsi="Calibri"/>
                <w:b/>
                <w:color w:val="FFFFFF"/>
                <w:sz w:val="17"/>
              </w:rPr>
              <w:t>What It Measures</w:t>
            </w:r>
          </w:p>
        </w:tc>
        <w:tc>
          <w:tcPr>
            <w:tcW w:type="dxa" w:w="2304"/>
            <w:shd w:val="clear" w:color="auto" w:fill="007A87"/>
            <w:tcBorders>
              <w:top w:val="single" w:sz="4" w:space="0" w:color="FFFFFF"/>
              <w:left w:val="single" w:sz="4" w:space="0" w:color="FFFFFF"/>
              <w:bottom w:val="single" w:sz="4" w:space="0" w:color="FFFFFF"/>
              <w:right w:val="single" w:sz="4" w:space="0" w:color="FFFFFF"/>
            </w:tcBorders>
          </w:tcPr>
          <w:p>
            <w:pPr>
              <w:spacing w:before="60" w:after="60"/>
            </w:pPr>
            <w:r>
              <w:rPr>
                <w:rFonts w:ascii="Calibri" w:hAnsi="Calibri"/>
                <w:b/>
                <w:color w:val="FFFFFF"/>
                <w:sz w:val="17"/>
              </w:rPr>
              <w:t>Grain (1 row = ...)</w:t>
            </w:r>
          </w:p>
        </w:tc>
        <w:tc>
          <w:tcPr>
            <w:tcW w:type="dxa" w:w="2448"/>
            <w:shd w:val="clear" w:color="auto" w:fill="007A87"/>
            <w:tcBorders>
              <w:top w:val="single" w:sz="4" w:space="0" w:color="FFFFFF"/>
              <w:left w:val="single" w:sz="4" w:space="0" w:color="FFFFFF"/>
              <w:bottom w:val="single" w:sz="4" w:space="0" w:color="FFFFFF"/>
              <w:right w:val="single" w:sz="4" w:space="0" w:color="FFFFFF"/>
            </w:tcBorders>
          </w:tcPr>
          <w:p>
            <w:pPr>
              <w:spacing w:before="60" w:after="60"/>
            </w:pPr>
            <w:r>
              <w:rPr>
                <w:rFonts w:ascii="Calibri" w:hAnsi="Calibri"/>
                <w:b/>
                <w:color w:val="FFFFFF"/>
                <w:sz w:val="17"/>
              </w:rPr>
              <w:t>Connects To</w:t>
            </w:r>
          </w:p>
        </w:tc>
      </w:tr>
      <w:tr>
        <w:tc>
          <w:tcPr>
            <w:tcW w:type="dxa" w:w="2304"/>
            <w:shd w:val="clear" w:color="auto" w:fill="E8F4F8"/>
            <w:tcBorders>
              <w:top w:val="single" w:sz="4" w:space="0" w:color="CCDDEE"/>
              <w:left w:val="single" w:sz="4" w:space="0" w:color="CCDDEE"/>
              <w:bottom w:val="single" w:sz="4" w:space="0" w:color="CCDDEE"/>
              <w:right w:val="single" w:sz="4" w:space="0" w:color="CCDDEE"/>
            </w:tcBorders>
          </w:tcPr>
          <w:p>
            <w:pPr>
              <w:spacing w:before="40" w:after="40"/>
            </w:pPr>
            <w:r>
              <w:rPr>
                <w:rFonts w:ascii="Calibri" w:hAnsi="Calibri"/>
                <w:b/>
                <w:color w:val="1B3A6B"/>
                <w:sz w:val="17"/>
              </w:rPr>
              <w:t>Homeownership Rate</w:t>
            </w:r>
          </w:p>
        </w:tc>
        <w:tc>
          <w:tcPr>
            <w:tcW w:type="dxa" w:w="3456"/>
            <w:shd w:val="clear" w:color="auto" w:fill="E8F4F8"/>
            <w:tcBorders>
              <w:top w:val="single" w:sz="4" w:space="0" w:color="CCDDEE"/>
              <w:left w:val="single" w:sz="4" w:space="0" w:color="CCDDEE"/>
              <w:bottom w:val="single" w:sz="4" w:space="0" w:color="CCDDEE"/>
              <w:right w:val="single" w:sz="4" w:space="0" w:color="CCDDEE"/>
            </w:tcBorders>
          </w:tcPr>
          <w:p>
            <w:pPr>
              <w:spacing w:before="40" w:after="40"/>
            </w:pPr>
            <w:r>
              <w:rPr>
                <w:rFonts w:ascii="Calibri" w:hAnsi="Calibri"/>
                <w:b w:val="0"/>
                <w:color w:val="1A1A2E"/>
                <w:sz w:val="17"/>
              </w:rPr>
              <w:t>% of households that own — Wake vs. NC, 2014–2024</w:t>
            </w:r>
          </w:p>
        </w:tc>
        <w:tc>
          <w:tcPr>
            <w:tcW w:type="dxa" w:w="2304"/>
            <w:shd w:val="clear" w:color="auto" w:fill="E8F4F8"/>
            <w:tcBorders>
              <w:top w:val="single" w:sz="4" w:space="0" w:color="CCDDEE"/>
              <w:left w:val="single" w:sz="4" w:space="0" w:color="CCDDEE"/>
              <w:bottom w:val="single" w:sz="4" w:space="0" w:color="CCDDEE"/>
              <w:right w:val="single" w:sz="4" w:space="0" w:color="CCDDEE"/>
            </w:tcBorders>
          </w:tcPr>
          <w:p>
            <w:pPr>
              <w:spacing w:before="40" w:after="40"/>
            </w:pPr>
            <w:r>
              <w:rPr>
                <w:rFonts w:ascii="Calibri" w:hAnsi="Calibri"/>
                <w:b w:val="0"/>
                <w:color w:val="555555"/>
                <w:sz w:val="17"/>
              </w:rPr>
              <w:t>1 row = 1 year × 2 geographies</w:t>
            </w:r>
          </w:p>
        </w:tc>
        <w:tc>
          <w:tcPr>
            <w:tcW w:type="dxa" w:w="2448"/>
            <w:shd w:val="clear" w:color="auto" w:fill="E8F4F8"/>
            <w:tcBorders>
              <w:top w:val="single" w:sz="4" w:space="0" w:color="CCDDEE"/>
              <w:left w:val="single" w:sz="4" w:space="0" w:color="CCDDEE"/>
              <w:bottom w:val="single" w:sz="4" w:space="0" w:color="CCDDEE"/>
              <w:right w:val="single" w:sz="4" w:space="0" w:color="CCDDEE"/>
            </w:tcBorders>
          </w:tcPr>
          <w:p>
            <w:pPr>
              <w:spacing w:before="40" w:after="40"/>
            </w:pPr>
            <w:r>
              <w:rPr>
                <w:rFonts w:ascii="Calibri" w:hAnsi="Calibri"/>
                <w:b w:val="0"/>
                <w:color w:val="1A7A3C"/>
                <w:sz w:val="17"/>
              </w:rPr>
              <w:t>Homeownership Rate by Income; by Race</w:t>
            </w:r>
          </w:p>
        </w:tc>
      </w:tr>
      <w:tr>
        <w:tc>
          <w:tcPr>
            <w:tcW w:type="dxa" w:w="2304"/>
            <w:shd w:val="clear" w:color="auto" w:fill="FAFCFF"/>
            <w:tcBorders>
              <w:top w:val="single" w:sz="4" w:space="0" w:color="CCDDEE"/>
              <w:left w:val="single" w:sz="4" w:space="0" w:color="CCDDEE"/>
              <w:bottom w:val="single" w:sz="4" w:space="0" w:color="CCDDEE"/>
              <w:right w:val="single" w:sz="4" w:space="0" w:color="CCDDEE"/>
            </w:tcBorders>
          </w:tcPr>
          <w:p>
            <w:pPr>
              <w:spacing w:before="40" w:after="40"/>
            </w:pPr>
            <w:r>
              <w:rPr>
                <w:rFonts w:ascii="Calibri" w:hAnsi="Calibri"/>
                <w:b/>
                <w:color w:val="1B3A6B"/>
                <w:sz w:val="17"/>
              </w:rPr>
              <w:t>Median Home Values</w:t>
            </w:r>
          </w:p>
        </w:tc>
        <w:tc>
          <w:tcPr>
            <w:tcW w:type="dxa" w:w="3456"/>
            <w:shd w:val="clear" w:color="auto" w:fill="FAFCFF"/>
            <w:tcBorders>
              <w:top w:val="single" w:sz="4" w:space="0" w:color="CCDDEE"/>
              <w:left w:val="single" w:sz="4" w:space="0" w:color="CCDDEE"/>
              <w:bottom w:val="single" w:sz="4" w:space="0" w:color="CCDDEE"/>
              <w:right w:val="single" w:sz="4" w:space="0" w:color="CCDDEE"/>
            </w:tcBorders>
          </w:tcPr>
          <w:p>
            <w:pPr>
              <w:spacing w:before="40" w:after="40"/>
            </w:pPr>
            <w:r>
              <w:rPr>
                <w:rFonts w:ascii="Calibri" w:hAnsi="Calibri"/>
                <w:b w:val="0"/>
                <w:color w:val="1A1A2E"/>
                <w:sz w:val="17"/>
              </w:rPr>
              <w:t>Median sale price — Wake vs. NC, 2014–2024</w:t>
            </w:r>
          </w:p>
        </w:tc>
        <w:tc>
          <w:tcPr>
            <w:tcW w:type="dxa" w:w="2304"/>
            <w:shd w:val="clear" w:color="auto" w:fill="FAFCFF"/>
            <w:tcBorders>
              <w:top w:val="single" w:sz="4" w:space="0" w:color="CCDDEE"/>
              <w:left w:val="single" w:sz="4" w:space="0" w:color="CCDDEE"/>
              <w:bottom w:val="single" w:sz="4" w:space="0" w:color="CCDDEE"/>
              <w:right w:val="single" w:sz="4" w:space="0" w:color="CCDDEE"/>
            </w:tcBorders>
          </w:tcPr>
          <w:p>
            <w:pPr>
              <w:spacing w:before="40" w:after="40"/>
            </w:pPr>
            <w:r>
              <w:rPr>
                <w:rFonts w:ascii="Calibri" w:hAnsi="Calibri"/>
                <w:b w:val="0"/>
                <w:color w:val="555555"/>
                <w:sz w:val="17"/>
              </w:rPr>
              <w:t>1 row = 1 year × 2 geographies</w:t>
            </w:r>
          </w:p>
        </w:tc>
        <w:tc>
          <w:tcPr>
            <w:tcW w:type="dxa" w:w="2448"/>
            <w:shd w:val="clear" w:color="auto" w:fill="FAFCFF"/>
            <w:tcBorders>
              <w:top w:val="single" w:sz="4" w:space="0" w:color="CCDDEE"/>
              <w:left w:val="single" w:sz="4" w:space="0" w:color="CCDDEE"/>
              <w:bottom w:val="single" w:sz="4" w:space="0" w:color="CCDDEE"/>
              <w:right w:val="single" w:sz="4" w:space="0" w:color="CCDDEE"/>
            </w:tcBorders>
          </w:tcPr>
          <w:p>
            <w:pPr>
              <w:spacing w:before="40" w:after="40"/>
            </w:pPr>
            <w:r>
              <w:rPr>
                <w:rFonts w:ascii="Calibri" w:hAnsi="Calibri"/>
                <w:b w:val="0"/>
                <w:color w:val="1A7A3C"/>
                <w:sz w:val="17"/>
              </w:rPr>
              <w:t>Household Income (affordability ratio); Entry-Level Sales</w:t>
            </w:r>
          </w:p>
        </w:tc>
      </w:tr>
      <w:tr>
        <w:tc>
          <w:tcPr>
            <w:tcW w:type="dxa" w:w="2304"/>
            <w:shd w:val="clear" w:color="auto" w:fill="E8F4F8"/>
            <w:tcBorders>
              <w:top w:val="single" w:sz="4" w:space="0" w:color="CCDDEE"/>
              <w:left w:val="single" w:sz="4" w:space="0" w:color="CCDDEE"/>
              <w:bottom w:val="single" w:sz="4" w:space="0" w:color="CCDDEE"/>
              <w:right w:val="single" w:sz="4" w:space="0" w:color="CCDDEE"/>
            </w:tcBorders>
          </w:tcPr>
          <w:p>
            <w:pPr>
              <w:spacing w:before="40" w:after="40"/>
            </w:pPr>
            <w:r>
              <w:rPr>
                <w:rFonts w:ascii="Calibri" w:hAnsi="Calibri"/>
                <w:b/>
                <w:color w:val="1B3A6B"/>
                <w:sz w:val="17"/>
              </w:rPr>
              <w:t>Owner Cost Burden by Income</w:t>
            </w:r>
          </w:p>
        </w:tc>
        <w:tc>
          <w:tcPr>
            <w:tcW w:type="dxa" w:w="3456"/>
            <w:shd w:val="clear" w:color="auto" w:fill="E8F4F8"/>
            <w:tcBorders>
              <w:top w:val="single" w:sz="4" w:space="0" w:color="CCDDEE"/>
              <w:left w:val="single" w:sz="4" w:space="0" w:color="CCDDEE"/>
              <w:bottom w:val="single" w:sz="4" w:space="0" w:color="CCDDEE"/>
              <w:right w:val="single" w:sz="4" w:space="0" w:color="CCDDEE"/>
            </w:tcBorders>
          </w:tcPr>
          <w:p>
            <w:pPr>
              <w:spacing w:before="40" w:after="40"/>
            </w:pPr>
            <w:r>
              <w:rPr>
                <w:rFonts w:ascii="Calibri" w:hAnsi="Calibri"/>
                <w:b w:val="0"/>
                <w:color w:val="1A1A2E"/>
                <w:sz w:val="17"/>
              </w:rPr>
              <w:t>% severely cost burdened &amp; cost burdened owners — by income band, 3 years</w:t>
            </w:r>
          </w:p>
        </w:tc>
        <w:tc>
          <w:tcPr>
            <w:tcW w:type="dxa" w:w="2304"/>
            <w:shd w:val="clear" w:color="auto" w:fill="E8F4F8"/>
            <w:tcBorders>
              <w:top w:val="single" w:sz="4" w:space="0" w:color="CCDDEE"/>
              <w:left w:val="single" w:sz="4" w:space="0" w:color="CCDDEE"/>
              <w:bottom w:val="single" w:sz="4" w:space="0" w:color="CCDDEE"/>
              <w:right w:val="single" w:sz="4" w:space="0" w:color="CCDDEE"/>
            </w:tcBorders>
          </w:tcPr>
          <w:p>
            <w:pPr>
              <w:spacing w:before="40" w:after="40"/>
            </w:pPr>
            <w:r>
              <w:rPr>
                <w:rFonts w:ascii="Calibri" w:hAnsi="Calibri"/>
                <w:b w:val="0"/>
                <w:color w:val="555555"/>
                <w:sz w:val="17"/>
              </w:rPr>
              <w:t>1 row = 1 income band × 3 years (2014/2019/2024)</w:t>
            </w:r>
          </w:p>
        </w:tc>
        <w:tc>
          <w:tcPr>
            <w:tcW w:type="dxa" w:w="2448"/>
            <w:shd w:val="clear" w:color="auto" w:fill="E8F4F8"/>
            <w:tcBorders>
              <w:top w:val="single" w:sz="4" w:space="0" w:color="CCDDEE"/>
              <w:left w:val="single" w:sz="4" w:space="0" w:color="CCDDEE"/>
              <w:bottom w:val="single" w:sz="4" w:space="0" w:color="CCDDEE"/>
              <w:right w:val="single" w:sz="4" w:space="0" w:color="CCDDEE"/>
            </w:tcBorders>
          </w:tcPr>
          <w:p>
            <w:pPr>
              <w:spacing w:before="40" w:after="40"/>
            </w:pPr>
            <w:r>
              <w:rPr>
                <w:rFonts w:ascii="Calibri" w:hAnsi="Calibri"/>
                <w:b w:val="0"/>
                <w:color w:val="1A7A3C"/>
                <w:sz w:val="17"/>
              </w:rPr>
              <w:t>Renter Cost Burden by Income (compare owner vs. renter hardship)</w:t>
            </w:r>
          </w:p>
        </w:tc>
      </w:tr>
      <w:tr>
        <w:tc>
          <w:tcPr>
            <w:tcW w:type="dxa" w:w="2304"/>
            <w:shd w:val="clear" w:color="auto" w:fill="FAFCFF"/>
            <w:tcBorders>
              <w:top w:val="single" w:sz="4" w:space="0" w:color="CCDDEE"/>
              <w:left w:val="single" w:sz="4" w:space="0" w:color="CCDDEE"/>
              <w:bottom w:val="single" w:sz="4" w:space="0" w:color="CCDDEE"/>
              <w:right w:val="single" w:sz="4" w:space="0" w:color="CCDDEE"/>
            </w:tcBorders>
          </w:tcPr>
          <w:p>
            <w:pPr>
              <w:spacing w:before="40" w:after="40"/>
            </w:pPr>
            <w:r>
              <w:rPr>
                <w:rFonts w:ascii="Calibri" w:hAnsi="Calibri"/>
                <w:b/>
                <w:color w:val="1B3A6B"/>
                <w:sz w:val="17"/>
              </w:rPr>
              <w:t>Homes Sold by Price Bracket</w:t>
            </w:r>
          </w:p>
        </w:tc>
        <w:tc>
          <w:tcPr>
            <w:tcW w:type="dxa" w:w="3456"/>
            <w:shd w:val="clear" w:color="auto" w:fill="FAFCFF"/>
            <w:tcBorders>
              <w:top w:val="single" w:sz="4" w:space="0" w:color="CCDDEE"/>
              <w:left w:val="single" w:sz="4" w:space="0" w:color="CCDDEE"/>
              <w:bottom w:val="single" w:sz="4" w:space="0" w:color="CCDDEE"/>
              <w:right w:val="single" w:sz="4" w:space="0" w:color="CCDDEE"/>
            </w:tcBorders>
          </w:tcPr>
          <w:p>
            <w:pPr>
              <w:spacing w:before="40" w:after="40"/>
            </w:pPr>
            <w:r>
              <w:rPr>
                <w:rFonts w:ascii="Calibri" w:hAnsi="Calibri"/>
                <w:b w:val="0"/>
                <w:color w:val="1A1A2E"/>
                <w:sz w:val="17"/>
              </w:rPr>
              <w:t>Share of sales in each price range — 2018 vs 2022</w:t>
            </w:r>
          </w:p>
        </w:tc>
        <w:tc>
          <w:tcPr>
            <w:tcW w:type="dxa" w:w="2304"/>
            <w:shd w:val="clear" w:color="auto" w:fill="FAFCFF"/>
            <w:tcBorders>
              <w:top w:val="single" w:sz="4" w:space="0" w:color="CCDDEE"/>
              <w:left w:val="single" w:sz="4" w:space="0" w:color="CCDDEE"/>
              <w:bottom w:val="single" w:sz="4" w:space="0" w:color="CCDDEE"/>
              <w:right w:val="single" w:sz="4" w:space="0" w:color="CCDDEE"/>
            </w:tcBorders>
          </w:tcPr>
          <w:p>
            <w:pPr>
              <w:spacing w:before="40" w:after="40"/>
            </w:pPr>
            <w:r>
              <w:rPr>
                <w:rFonts w:ascii="Calibri" w:hAnsi="Calibri"/>
                <w:b w:val="0"/>
                <w:color w:val="555555"/>
                <w:sz w:val="17"/>
              </w:rPr>
              <w:t>1 row = 1 price bracket × 2 years</w:t>
            </w:r>
          </w:p>
        </w:tc>
        <w:tc>
          <w:tcPr>
            <w:tcW w:type="dxa" w:w="2448"/>
            <w:shd w:val="clear" w:color="auto" w:fill="FAFCFF"/>
            <w:tcBorders>
              <w:top w:val="single" w:sz="4" w:space="0" w:color="CCDDEE"/>
              <w:left w:val="single" w:sz="4" w:space="0" w:color="CCDDEE"/>
              <w:bottom w:val="single" w:sz="4" w:space="0" w:color="CCDDEE"/>
              <w:right w:val="single" w:sz="4" w:space="0" w:color="CCDDEE"/>
            </w:tcBorders>
          </w:tcPr>
          <w:p>
            <w:pPr>
              <w:spacing w:before="40" w:after="40"/>
            </w:pPr>
            <w:r>
              <w:rPr>
                <w:rFonts w:ascii="Calibri" w:hAnsi="Calibri"/>
                <w:b w:val="0"/>
                <w:color w:val="1A7A3C"/>
                <w:sz w:val="17"/>
              </w:rPr>
              <w:t>Median Home Value; Household Income Distribution</w:t>
            </w:r>
          </w:p>
        </w:tc>
      </w:tr>
      <w:tr>
        <w:tc>
          <w:tcPr>
            <w:tcW w:type="dxa" w:w="2304"/>
            <w:shd w:val="clear" w:color="auto" w:fill="E8F4F8"/>
            <w:tcBorders>
              <w:top w:val="single" w:sz="4" w:space="0" w:color="CCDDEE"/>
              <w:left w:val="single" w:sz="4" w:space="0" w:color="CCDDEE"/>
              <w:bottom w:val="single" w:sz="4" w:space="0" w:color="CCDDEE"/>
              <w:right w:val="single" w:sz="4" w:space="0" w:color="CCDDEE"/>
            </w:tcBorders>
          </w:tcPr>
          <w:p>
            <w:pPr>
              <w:spacing w:before="40" w:after="40"/>
            </w:pPr>
            <w:r>
              <w:rPr>
                <w:rFonts w:ascii="Calibri" w:hAnsi="Calibri"/>
                <w:b/>
                <w:color w:val="1B3A6B"/>
                <w:sz w:val="17"/>
              </w:rPr>
              <w:t>Homeownership Rate by Income</w:t>
            </w:r>
          </w:p>
        </w:tc>
        <w:tc>
          <w:tcPr>
            <w:tcW w:type="dxa" w:w="3456"/>
            <w:shd w:val="clear" w:color="auto" w:fill="E8F4F8"/>
            <w:tcBorders>
              <w:top w:val="single" w:sz="4" w:space="0" w:color="CCDDEE"/>
              <w:left w:val="single" w:sz="4" w:space="0" w:color="CCDDEE"/>
              <w:bottom w:val="single" w:sz="4" w:space="0" w:color="CCDDEE"/>
              <w:right w:val="single" w:sz="4" w:space="0" w:color="CCDDEE"/>
            </w:tcBorders>
          </w:tcPr>
          <w:p>
            <w:pPr>
              <w:spacing w:before="40" w:after="40"/>
            </w:pPr>
            <w:r>
              <w:rPr>
                <w:rFonts w:ascii="Calibri" w:hAnsi="Calibri"/>
                <w:b w:val="0"/>
                <w:color w:val="1A1A2E"/>
                <w:sz w:val="17"/>
              </w:rPr>
              <w:t>% who own at each income level — Wake vs. NC</w:t>
            </w:r>
          </w:p>
        </w:tc>
        <w:tc>
          <w:tcPr>
            <w:tcW w:type="dxa" w:w="2304"/>
            <w:shd w:val="clear" w:color="auto" w:fill="E8F4F8"/>
            <w:tcBorders>
              <w:top w:val="single" w:sz="4" w:space="0" w:color="CCDDEE"/>
              <w:left w:val="single" w:sz="4" w:space="0" w:color="CCDDEE"/>
              <w:bottom w:val="single" w:sz="4" w:space="0" w:color="CCDDEE"/>
              <w:right w:val="single" w:sz="4" w:space="0" w:color="CCDDEE"/>
            </w:tcBorders>
          </w:tcPr>
          <w:p>
            <w:pPr>
              <w:spacing w:before="40" w:after="40"/>
            </w:pPr>
            <w:r>
              <w:rPr>
                <w:rFonts w:ascii="Calibri" w:hAnsi="Calibri"/>
                <w:b w:val="0"/>
                <w:color w:val="555555"/>
                <w:sz w:val="17"/>
              </w:rPr>
              <w:t>1 row = 1 income band × 2 geographies</w:t>
            </w:r>
          </w:p>
        </w:tc>
        <w:tc>
          <w:tcPr>
            <w:tcW w:type="dxa" w:w="2448"/>
            <w:shd w:val="clear" w:color="auto" w:fill="E8F4F8"/>
            <w:tcBorders>
              <w:top w:val="single" w:sz="4" w:space="0" w:color="CCDDEE"/>
              <w:left w:val="single" w:sz="4" w:space="0" w:color="CCDDEE"/>
              <w:bottom w:val="single" w:sz="4" w:space="0" w:color="CCDDEE"/>
              <w:right w:val="single" w:sz="4" w:space="0" w:color="CCDDEE"/>
            </w:tcBorders>
          </w:tcPr>
          <w:p>
            <w:pPr>
              <w:spacing w:before="40" w:after="40"/>
            </w:pPr>
            <w:r>
              <w:rPr>
                <w:rFonts w:ascii="Calibri" w:hAnsi="Calibri"/>
                <w:b w:val="0"/>
                <w:color w:val="1A7A3C"/>
                <w:sz w:val="17"/>
              </w:rPr>
              <w:t>Households by Income &amp; Tenure; Rental Deficit (renters who can't buy)</w:t>
            </w:r>
          </w:p>
        </w:tc>
      </w:tr>
      <w:tr>
        <w:tc>
          <w:tcPr>
            <w:tcW w:type="dxa" w:w="2304"/>
            <w:shd w:val="clear" w:color="auto" w:fill="FAFCFF"/>
            <w:tcBorders>
              <w:top w:val="single" w:sz="4" w:space="0" w:color="CCDDEE"/>
              <w:left w:val="single" w:sz="4" w:space="0" w:color="CCDDEE"/>
              <w:bottom w:val="single" w:sz="4" w:space="0" w:color="CCDDEE"/>
              <w:right w:val="single" w:sz="4" w:space="0" w:color="CCDDEE"/>
            </w:tcBorders>
          </w:tcPr>
          <w:p>
            <w:pPr>
              <w:spacing w:before="40" w:after="40"/>
            </w:pPr>
            <w:r>
              <w:rPr>
                <w:rFonts w:ascii="Calibri" w:hAnsi="Calibri"/>
                <w:b/>
                <w:color w:val="1B3A6B"/>
                <w:sz w:val="17"/>
              </w:rPr>
              <w:t>Homeownership Rate by Race</w:t>
            </w:r>
          </w:p>
        </w:tc>
        <w:tc>
          <w:tcPr>
            <w:tcW w:type="dxa" w:w="3456"/>
            <w:shd w:val="clear" w:color="auto" w:fill="FAFCFF"/>
            <w:tcBorders>
              <w:top w:val="single" w:sz="4" w:space="0" w:color="CCDDEE"/>
              <w:left w:val="single" w:sz="4" w:space="0" w:color="CCDDEE"/>
              <w:bottom w:val="single" w:sz="4" w:space="0" w:color="CCDDEE"/>
              <w:right w:val="single" w:sz="4" w:space="0" w:color="CCDDEE"/>
            </w:tcBorders>
          </w:tcPr>
          <w:p>
            <w:pPr>
              <w:spacing w:before="40" w:after="40"/>
            </w:pPr>
            <w:r>
              <w:rPr>
                <w:rFonts w:ascii="Calibri" w:hAnsi="Calibri"/>
                <w:b w:val="0"/>
                <w:color w:val="1A1A2E"/>
                <w:sz w:val="17"/>
              </w:rPr>
              <w:t>% who own by racial group — Wake vs. NC</w:t>
            </w:r>
          </w:p>
        </w:tc>
        <w:tc>
          <w:tcPr>
            <w:tcW w:type="dxa" w:w="2304"/>
            <w:shd w:val="clear" w:color="auto" w:fill="FAFCFF"/>
            <w:tcBorders>
              <w:top w:val="single" w:sz="4" w:space="0" w:color="CCDDEE"/>
              <w:left w:val="single" w:sz="4" w:space="0" w:color="CCDDEE"/>
              <w:bottom w:val="single" w:sz="4" w:space="0" w:color="CCDDEE"/>
              <w:right w:val="single" w:sz="4" w:space="0" w:color="CCDDEE"/>
            </w:tcBorders>
          </w:tcPr>
          <w:p>
            <w:pPr>
              <w:spacing w:before="40" w:after="40"/>
            </w:pPr>
            <w:r>
              <w:rPr>
                <w:rFonts w:ascii="Calibri" w:hAnsi="Calibri"/>
                <w:b w:val="0"/>
                <w:color w:val="555555"/>
                <w:sz w:val="17"/>
              </w:rPr>
              <w:t>1 row = 1 race group × 2 geographies</w:t>
            </w:r>
          </w:p>
        </w:tc>
        <w:tc>
          <w:tcPr>
            <w:tcW w:type="dxa" w:w="2448"/>
            <w:shd w:val="clear" w:color="auto" w:fill="FAFCFF"/>
            <w:tcBorders>
              <w:top w:val="single" w:sz="4" w:space="0" w:color="CCDDEE"/>
              <w:left w:val="single" w:sz="4" w:space="0" w:color="CCDDEE"/>
              <w:bottom w:val="single" w:sz="4" w:space="0" w:color="CCDDEE"/>
              <w:right w:val="single" w:sz="4" w:space="0" w:color="CCDDEE"/>
            </w:tcBorders>
          </w:tcPr>
          <w:p>
            <w:pPr>
              <w:spacing w:before="40" w:after="40"/>
            </w:pPr>
            <w:r>
              <w:rPr>
                <w:rFonts w:ascii="Calibri" w:hAnsi="Calibri"/>
                <w:b w:val="0"/>
                <w:color w:val="1A7A3C"/>
                <w:sz w:val="17"/>
              </w:rPr>
              <w:t>Households by Race/Ethnicity (equity gap analysis)</w:t>
            </w:r>
          </w:p>
        </w:tc>
      </w:tr>
      <w:tr>
        <w:tc>
          <w:tcPr>
            <w:tcW w:type="dxa" w:w="2304"/>
            <w:shd w:val="clear" w:color="auto" w:fill="E8F4F8"/>
            <w:tcBorders>
              <w:top w:val="single" w:sz="4" w:space="0" w:color="CCDDEE"/>
              <w:left w:val="single" w:sz="4" w:space="0" w:color="CCDDEE"/>
              <w:bottom w:val="single" w:sz="4" w:space="0" w:color="CCDDEE"/>
              <w:right w:val="single" w:sz="4" w:space="0" w:color="CCDDEE"/>
            </w:tcBorders>
          </w:tcPr>
          <w:p>
            <w:pPr>
              <w:spacing w:before="40" w:after="40"/>
            </w:pPr>
            <w:r>
              <w:rPr>
                <w:rFonts w:ascii="Calibri" w:hAnsi="Calibri"/>
                <w:b/>
                <w:color w:val="1B3A6B"/>
                <w:sz w:val="17"/>
              </w:rPr>
              <w:t>Homeowner Vacancy Rate</w:t>
            </w:r>
          </w:p>
        </w:tc>
        <w:tc>
          <w:tcPr>
            <w:tcW w:type="dxa" w:w="3456"/>
            <w:shd w:val="clear" w:color="auto" w:fill="E8F4F8"/>
            <w:tcBorders>
              <w:top w:val="single" w:sz="4" w:space="0" w:color="CCDDEE"/>
              <w:left w:val="single" w:sz="4" w:space="0" w:color="CCDDEE"/>
              <w:bottom w:val="single" w:sz="4" w:space="0" w:color="CCDDEE"/>
              <w:right w:val="single" w:sz="4" w:space="0" w:color="CCDDEE"/>
            </w:tcBorders>
          </w:tcPr>
          <w:p>
            <w:pPr>
              <w:spacing w:before="40" w:after="40"/>
            </w:pPr>
            <w:r>
              <w:rPr>
                <w:rFonts w:ascii="Calibri" w:hAnsi="Calibri"/>
                <w:b w:val="0"/>
                <w:color w:val="1A1A2E"/>
                <w:sz w:val="17"/>
              </w:rPr>
              <w:t>% of owner homes vacant — Wake vs. NC, 2014–2024</w:t>
            </w:r>
          </w:p>
        </w:tc>
        <w:tc>
          <w:tcPr>
            <w:tcW w:type="dxa" w:w="2304"/>
            <w:shd w:val="clear" w:color="auto" w:fill="E8F4F8"/>
            <w:tcBorders>
              <w:top w:val="single" w:sz="4" w:space="0" w:color="CCDDEE"/>
              <w:left w:val="single" w:sz="4" w:space="0" w:color="CCDDEE"/>
              <w:bottom w:val="single" w:sz="4" w:space="0" w:color="CCDDEE"/>
              <w:right w:val="single" w:sz="4" w:space="0" w:color="CCDDEE"/>
            </w:tcBorders>
          </w:tcPr>
          <w:p>
            <w:pPr>
              <w:spacing w:before="40" w:after="40"/>
            </w:pPr>
            <w:r>
              <w:rPr>
                <w:rFonts w:ascii="Calibri" w:hAnsi="Calibri"/>
                <w:b w:val="0"/>
                <w:color w:val="555555"/>
                <w:sz w:val="17"/>
              </w:rPr>
              <w:t>1 row = 1 year × 2 geographies</w:t>
            </w:r>
          </w:p>
        </w:tc>
        <w:tc>
          <w:tcPr>
            <w:tcW w:type="dxa" w:w="2448"/>
            <w:shd w:val="clear" w:color="auto" w:fill="E8F4F8"/>
            <w:tcBorders>
              <w:top w:val="single" w:sz="4" w:space="0" w:color="CCDDEE"/>
              <w:left w:val="single" w:sz="4" w:space="0" w:color="CCDDEE"/>
              <w:bottom w:val="single" w:sz="4" w:space="0" w:color="CCDDEE"/>
              <w:right w:val="single" w:sz="4" w:space="0" w:color="CCDDEE"/>
            </w:tcBorders>
          </w:tcPr>
          <w:p>
            <w:pPr>
              <w:spacing w:before="40" w:after="40"/>
            </w:pPr>
            <w:r>
              <w:rPr>
                <w:rFonts w:ascii="Calibri" w:hAnsi="Calibri"/>
                <w:b w:val="0"/>
                <w:color w:val="1A7A3C"/>
                <w:sz w:val="17"/>
              </w:rPr>
              <w:t>Rental Vacancy Rate (overall market tightness)</w:t>
            </w:r>
          </w:p>
        </w:tc>
      </w:tr>
    </w:tbl>
    <w:p/>
    <w:p>
      <w:pPr>
        <w:spacing w:before="200" w:after="60"/>
        <w:shd w:val="clear" w:color="auto" w:fill="5B2D8E"/>
      </w:pPr>
      <w:r>
        <w:rPr>
          <w:rFonts w:ascii="Calibri" w:hAnsi="Calibri"/>
          <w:b/>
          <w:color w:val="FFFFFF"/>
          <w:sz w:val="22"/>
        </w:rPr>
        <w:t xml:space="preserve">  Rental File</w:t>
      </w:r>
    </w:p>
    <w:tbl>
      <w:tblPr>
        <w:tblStyle w:val="TableGrid"/>
        <w:tblW w:type="auto" w:w="0"/>
        <w:tblLook w:firstColumn="1" w:firstRow="1" w:lastColumn="0" w:lastRow="0" w:noHBand="0" w:noVBand="1" w:val="04A0"/>
      </w:tblPr>
      <w:tblGrid>
        <w:gridCol w:w="2340"/>
        <w:gridCol w:w="2340"/>
        <w:gridCol w:w="2340"/>
        <w:gridCol w:w="2340"/>
      </w:tblGrid>
      <w:tr>
        <w:tc>
          <w:tcPr>
            <w:tcW w:type="dxa" w:w="2304"/>
            <w:shd w:val="clear" w:color="auto" w:fill="5B2D8E"/>
            <w:tcBorders>
              <w:top w:val="single" w:sz="4" w:space="0" w:color="FFFFFF"/>
              <w:left w:val="single" w:sz="4" w:space="0" w:color="FFFFFF"/>
              <w:bottom w:val="single" w:sz="4" w:space="0" w:color="FFFFFF"/>
              <w:right w:val="single" w:sz="4" w:space="0" w:color="FFFFFF"/>
            </w:tcBorders>
          </w:tcPr>
          <w:p>
            <w:pPr>
              <w:spacing w:before="60" w:after="60"/>
            </w:pPr>
            <w:r>
              <w:rPr>
                <w:rFonts w:ascii="Calibri" w:hAnsi="Calibri"/>
                <w:b/>
                <w:color w:val="FFFFFF"/>
                <w:sz w:val="17"/>
              </w:rPr>
              <w:t>Table Name</w:t>
            </w:r>
          </w:p>
        </w:tc>
        <w:tc>
          <w:tcPr>
            <w:tcW w:type="dxa" w:w="3456"/>
            <w:shd w:val="clear" w:color="auto" w:fill="5B2D8E"/>
            <w:tcBorders>
              <w:top w:val="single" w:sz="4" w:space="0" w:color="FFFFFF"/>
              <w:left w:val="single" w:sz="4" w:space="0" w:color="FFFFFF"/>
              <w:bottom w:val="single" w:sz="4" w:space="0" w:color="FFFFFF"/>
              <w:right w:val="single" w:sz="4" w:space="0" w:color="FFFFFF"/>
            </w:tcBorders>
          </w:tcPr>
          <w:p>
            <w:pPr>
              <w:spacing w:before="60" w:after="60"/>
            </w:pPr>
            <w:r>
              <w:rPr>
                <w:rFonts w:ascii="Calibri" w:hAnsi="Calibri"/>
                <w:b/>
                <w:color w:val="FFFFFF"/>
                <w:sz w:val="17"/>
              </w:rPr>
              <w:t>What It Measures</w:t>
            </w:r>
          </w:p>
        </w:tc>
        <w:tc>
          <w:tcPr>
            <w:tcW w:type="dxa" w:w="2304"/>
            <w:shd w:val="clear" w:color="auto" w:fill="5B2D8E"/>
            <w:tcBorders>
              <w:top w:val="single" w:sz="4" w:space="0" w:color="FFFFFF"/>
              <w:left w:val="single" w:sz="4" w:space="0" w:color="FFFFFF"/>
              <w:bottom w:val="single" w:sz="4" w:space="0" w:color="FFFFFF"/>
              <w:right w:val="single" w:sz="4" w:space="0" w:color="FFFFFF"/>
            </w:tcBorders>
          </w:tcPr>
          <w:p>
            <w:pPr>
              <w:spacing w:before="60" w:after="60"/>
            </w:pPr>
            <w:r>
              <w:rPr>
                <w:rFonts w:ascii="Calibri" w:hAnsi="Calibri"/>
                <w:b/>
                <w:color w:val="FFFFFF"/>
                <w:sz w:val="17"/>
              </w:rPr>
              <w:t>Grain (1 row = ...)</w:t>
            </w:r>
          </w:p>
        </w:tc>
        <w:tc>
          <w:tcPr>
            <w:tcW w:type="dxa" w:w="2448"/>
            <w:shd w:val="clear" w:color="auto" w:fill="5B2D8E"/>
            <w:tcBorders>
              <w:top w:val="single" w:sz="4" w:space="0" w:color="FFFFFF"/>
              <w:left w:val="single" w:sz="4" w:space="0" w:color="FFFFFF"/>
              <w:bottom w:val="single" w:sz="4" w:space="0" w:color="FFFFFF"/>
              <w:right w:val="single" w:sz="4" w:space="0" w:color="FFFFFF"/>
            </w:tcBorders>
          </w:tcPr>
          <w:p>
            <w:pPr>
              <w:spacing w:before="60" w:after="60"/>
            </w:pPr>
            <w:r>
              <w:rPr>
                <w:rFonts w:ascii="Calibri" w:hAnsi="Calibri"/>
                <w:b/>
                <w:color w:val="FFFFFF"/>
                <w:sz w:val="17"/>
              </w:rPr>
              <w:t>Connects To</w:t>
            </w:r>
          </w:p>
        </w:tc>
      </w:tr>
      <w:tr>
        <w:tc>
          <w:tcPr>
            <w:tcW w:type="dxa" w:w="2304"/>
            <w:shd w:val="clear" w:color="auto" w:fill="F0EAF8"/>
            <w:tcBorders>
              <w:top w:val="single" w:sz="4" w:space="0" w:color="CCDDEE"/>
              <w:left w:val="single" w:sz="4" w:space="0" w:color="CCDDEE"/>
              <w:bottom w:val="single" w:sz="4" w:space="0" w:color="CCDDEE"/>
              <w:right w:val="single" w:sz="4" w:space="0" w:color="CCDDEE"/>
            </w:tcBorders>
          </w:tcPr>
          <w:p>
            <w:pPr>
              <w:spacing w:before="40" w:after="40"/>
            </w:pPr>
            <w:r>
              <w:rPr>
                <w:rFonts w:ascii="Calibri" w:hAnsi="Calibri"/>
                <w:b/>
                <w:color w:val="1B3A6B"/>
                <w:sz w:val="17"/>
              </w:rPr>
              <w:t>Median Rent</w:t>
            </w:r>
          </w:p>
        </w:tc>
        <w:tc>
          <w:tcPr>
            <w:tcW w:type="dxa" w:w="3456"/>
            <w:shd w:val="clear" w:color="auto" w:fill="F0EAF8"/>
            <w:tcBorders>
              <w:top w:val="single" w:sz="4" w:space="0" w:color="CCDDEE"/>
              <w:left w:val="single" w:sz="4" w:space="0" w:color="CCDDEE"/>
              <w:bottom w:val="single" w:sz="4" w:space="0" w:color="CCDDEE"/>
              <w:right w:val="single" w:sz="4" w:space="0" w:color="CCDDEE"/>
            </w:tcBorders>
          </w:tcPr>
          <w:p>
            <w:pPr>
              <w:spacing w:before="40" w:after="40"/>
            </w:pPr>
            <w:r>
              <w:rPr>
                <w:rFonts w:ascii="Calibri" w:hAnsi="Calibri"/>
                <w:b w:val="0"/>
                <w:color w:val="1A1A2E"/>
                <w:sz w:val="17"/>
              </w:rPr>
              <w:t>Median gross rent — Wake vs. NC, 2015–2024</w:t>
            </w:r>
          </w:p>
        </w:tc>
        <w:tc>
          <w:tcPr>
            <w:tcW w:type="dxa" w:w="2304"/>
            <w:shd w:val="clear" w:color="auto" w:fill="F0EAF8"/>
            <w:tcBorders>
              <w:top w:val="single" w:sz="4" w:space="0" w:color="CCDDEE"/>
              <w:left w:val="single" w:sz="4" w:space="0" w:color="CCDDEE"/>
              <w:bottom w:val="single" w:sz="4" w:space="0" w:color="CCDDEE"/>
              <w:right w:val="single" w:sz="4" w:space="0" w:color="CCDDEE"/>
            </w:tcBorders>
          </w:tcPr>
          <w:p>
            <w:pPr>
              <w:spacing w:before="40" w:after="40"/>
            </w:pPr>
            <w:r>
              <w:rPr>
                <w:rFonts w:ascii="Calibri" w:hAnsi="Calibri"/>
                <w:b w:val="0"/>
                <w:color w:val="555555"/>
                <w:sz w:val="17"/>
              </w:rPr>
              <w:t>1 row = 1 year × 2 geographies</w:t>
            </w:r>
          </w:p>
        </w:tc>
        <w:tc>
          <w:tcPr>
            <w:tcW w:type="dxa" w:w="2448"/>
            <w:shd w:val="clear" w:color="auto" w:fill="F0EAF8"/>
            <w:tcBorders>
              <w:top w:val="single" w:sz="4" w:space="0" w:color="CCDDEE"/>
              <w:left w:val="single" w:sz="4" w:space="0" w:color="CCDDEE"/>
              <w:bottom w:val="single" w:sz="4" w:space="0" w:color="CCDDEE"/>
              <w:right w:val="single" w:sz="4" w:space="0" w:color="CCDDEE"/>
            </w:tcBorders>
          </w:tcPr>
          <w:p>
            <w:pPr>
              <w:spacing w:before="40" w:after="40"/>
            </w:pPr>
            <w:r>
              <w:rPr>
                <w:rFonts w:ascii="Calibri" w:hAnsi="Calibri"/>
                <w:b w:val="0"/>
                <w:color w:val="1A7A3C"/>
                <w:sz w:val="17"/>
              </w:rPr>
              <w:t>Median Household Income; Income Required to Afford Rent</w:t>
            </w:r>
          </w:p>
        </w:tc>
      </w:tr>
      <w:tr>
        <w:tc>
          <w:tcPr>
            <w:tcW w:type="dxa" w:w="2304"/>
            <w:shd w:val="clear" w:color="auto" w:fill="FAFCFF"/>
            <w:tcBorders>
              <w:top w:val="single" w:sz="4" w:space="0" w:color="CCDDEE"/>
              <w:left w:val="single" w:sz="4" w:space="0" w:color="CCDDEE"/>
              <w:bottom w:val="single" w:sz="4" w:space="0" w:color="CCDDEE"/>
              <w:right w:val="single" w:sz="4" w:space="0" w:color="CCDDEE"/>
            </w:tcBorders>
          </w:tcPr>
          <w:p>
            <w:pPr>
              <w:spacing w:before="40" w:after="40"/>
            </w:pPr>
            <w:r>
              <w:rPr>
                <w:rFonts w:ascii="Calibri" w:hAnsi="Calibri"/>
                <w:b/>
                <w:color w:val="1B3A6B"/>
                <w:sz w:val="17"/>
              </w:rPr>
              <w:t>Rental Deficit/Surplus by Income</w:t>
            </w:r>
          </w:p>
        </w:tc>
        <w:tc>
          <w:tcPr>
            <w:tcW w:type="dxa" w:w="3456"/>
            <w:shd w:val="clear" w:color="auto" w:fill="FAFCFF"/>
            <w:tcBorders>
              <w:top w:val="single" w:sz="4" w:space="0" w:color="CCDDEE"/>
              <w:left w:val="single" w:sz="4" w:space="0" w:color="CCDDEE"/>
              <w:bottom w:val="single" w:sz="4" w:space="0" w:color="CCDDEE"/>
              <w:right w:val="single" w:sz="4" w:space="0" w:color="CCDDEE"/>
            </w:tcBorders>
          </w:tcPr>
          <w:p>
            <w:pPr>
              <w:spacing w:before="40" w:after="40"/>
            </w:pPr>
            <w:r>
              <w:rPr>
                <w:rFonts w:ascii="Calibri" w:hAnsi="Calibri"/>
                <w:b w:val="0"/>
                <w:color w:val="1A1A2E"/>
                <w:sz w:val="17"/>
              </w:rPr>
              <w:t>Gap between affordable units available and renter households needing them</w:t>
            </w:r>
          </w:p>
        </w:tc>
        <w:tc>
          <w:tcPr>
            <w:tcW w:type="dxa" w:w="2304"/>
            <w:shd w:val="clear" w:color="auto" w:fill="FAFCFF"/>
            <w:tcBorders>
              <w:top w:val="single" w:sz="4" w:space="0" w:color="CCDDEE"/>
              <w:left w:val="single" w:sz="4" w:space="0" w:color="CCDDEE"/>
              <w:bottom w:val="single" w:sz="4" w:space="0" w:color="CCDDEE"/>
              <w:right w:val="single" w:sz="4" w:space="0" w:color="CCDDEE"/>
            </w:tcBorders>
          </w:tcPr>
          <w:p>
            <w:pPr>
              <w:spacing w:before="40" w:after="40"/>
            </w:pPr>
            <w:r>
              <w:rPr>
                <w:rFonts w:ascii="Calibri" w:hAnsi="Calibri"/>
                <w:b w:val="0"/>
                <w:color w:val="555555"/>
                <w:sz w:val="17"/>
              </w:rPr>
              <w:t>1 row = 1 income band (cumulative thresholds)</w:t>
            </w:r>
          </w:p>
        </w:tc>
        <w:tc>
          <w:tcPr>
            <w:tcW w:type="dxa" w:w="2448"/>
            <w:shd w:val="clear" w:color="auto" w:fill="FAFCFF"/>
            <w:tcBorders>
              <w:top w:val="single" w:sz="4" w:space="0" w:color="CCDDEE"/>
              <w:left w:val="single" w:sz="4" w:space="0" w:color="CCDDEE"/>
              <w:bottom w:val="single" w:sz="4" w:space="0" w:color="CCDDEE"/>
              <w:right w:val="single" w:sz="4" w:space="0" w:color="CCDDEE"/>
            </w:tcBorders>
          </w:tcPr>
          <w:p>
            <w:pPr>
              <w:spacing w:before="40" w:after="40"/>
            </w:pPr>
            <w:r>
              <w:rPr>
                <w:rFonts w:ascii="Calibri" w:hAnsi="Calibri"/>
                <w:b w:val="0"/>
                <w:color w:val="1A7A3C"/>
                <w:sz w:val="17"/>
              </w:rPr>
              <w:t>Demand vs. Supply by Income (Housing Supply file — same numbers, different view)</w:t>
            </w:r>
          </w:p>
        </w:tc>
      </w:tr>
      <w:tr>
        <w:tc>
          <w:tcPr>
            <w:tcW w:type="dxa" w:w="2304"/>
            <w:shd w:val="clear" w:color="auto" w:fill="F0EAF8"/>
            <w:tcBorders>
              <w:top w:val="single" w:sz="4" w:space="0" w:color="CCDDEE"/>
              <w:left w:val="single" w:sz="4" w:space="0" w:color="CCDDEE"/>
              <w:bottom w:val="single" w:sz="4" w:space="0" w:color="CCDDEE"/>
              <w:right w:val="single" w:sz="4" w:space="0" w:color="CCDDEE"/>
            </w:tcBorders>
          </w:tcPr>
          <w:p>
            <w:pPr>
              <w:spacing w:before="40" w:after="40"/>
            </w:pPr>
            <w:r>
              <w:rPr>
                <w:rFonts w:ascii="Calibri" w:hAnsi="Calibri"/>
                <w:b/>
                <w:color w:val="1B3A6B"/>
                <w:sz w:val="17"/>
              </w:rPr>
              <w:t>Affordable Units per 100 Renters</w:t>
            </w:r>
          </w:p>
        </w:tc>
        <w:tc>
          <w:tcPr>
            <w:tcW w:type="dxa" w:w="3456"/>
            <w:shd w:val="clear" w:color="auto" w:fill="F0EAF8"/>
            <w:tcBorders>
              <w:top w:val="single" w:sz="4" w:space="0" w:color="CCDDEE"/>
              <w:left w:val="single" w:sz="4" w:space="0" w:color="CCDDEE"/>
              <w:bottom w:val="single" w:sz="4" w:space="0" w:color="CCDDEE"/>
              <w:right w:val="single" w:sz="4" w:space="0" w:color="CCDDEE"/>
            </w:tcBorders>
          </w:tcPr>
          <w:p>
            <w:pPr>
              <w:spacing w:before="40" w:after="40"/>
            </w:pPr>
            <w:r>
              <w:rPr>
                <w:rFonts w:ascii="Calibri" w:hAnsi="Calibri"/>
                <w:b w:val="0"/>
                <w:color w:val="1A1A2E"/>
                <w:sz w:val="17"/>
              </w:rPr>
              <w:t>How many affordable homes exist for every 100 renters at each income level</w:t>
            </w:r>
          </w:p>
        </w:tc>
        <w:tc>
          <w:tcPr>
            <w:tcW w:type="dxa" w:w="2304"/>
            <w:shd w:val="clear" w:color="auto" w:fill="F0EAF8"/>
            <w:tcBorders>
              <w:top w:val="single" w:sz="4" w:space="0" w:color="CCDDEE"/>
              <w:left w:val="single" w:sz="4" w:space="0" w:color="CCDDEE"/>
              <w:bottom w:val="single" w:sz="4" w:space="0" w:color="CCDDEE"/>
              <w:right w:val="single" w:sz="4" w:space="0" w:color="CCDDEE"/>
            </w:tcBorders>
          </w:tcPr>
          <w:p>
            <w:pPr>
              <w:spacing w:before="40" w:after="40"/>
            </w:pPr>
            <w:r>
              <w:rPr>
                <w:rFonts w:ascii="Calibri" w:hAnsi="Calibri"/>
                <w:b w:val="0"/>
                <w:color w:val="555555"/>
                <w:sz w:val="17"/>
              </w:rPr>
              <w:t>1 row = 1 income band</w:t>
            </w:r>
          </w:p>
        </w:tc>
        <w:tc>
          <w:tcPr>
            <w:tcW w:type="dxa" w:w="2448"/>
            <w:shd w:val="clear" w:color="auto" w:fill="F0EAF8"/>
            <w:tcBorders>
              <w:top w:val="single" w:sz="4" w:space="0" w:color="CCDDEE"/>
              <w:left w:val="single" w:sz="4" w:space="0" w:color="CCDDEE"/>
              <w:bottom w:val="single" w:sz="4" w:space="0" w:color="CCDDEE"/>
              <w:right w:val="single" w:sz="4" w:space="0" w:color="CCDDEE"/>
            </w:tcBorders>
          </w:tcPr>
          <w:p>
            <w:pPr>
              <w:spacing w:before="40" w:after="40"/>
            </w:pPr>
            <w:r>
              <w:rPr>
                <w:rFonts w:ascii="Calibri" w:hAnsi="Calibri"/>
                <w:b w:val="0"/>
                <w:color w:val="1A7A3C"/>
                <w:sz w:val="17"/>
              </w:rPr>
              <w:t>Rental Deficit (derived from same source data)</w:t>
            </w:r>
          </w:p>
        </w:tc>
      </w:tr>
      <w:tr>
        <w:tc>
          <w:tcPr>
            <w:tcW w:type="dxa" w:w="2304"/>
            <w:shd w:val="clear" w:color="auto" w:fill="FAFCFF"/>
            <w:tcBorders>
              <w:top w:val="single" w:sz="4" w:space="0" w:color="CCDDEE"/>
              <w:left w:val="single" w:sz="4" w:space="0" w:color="CCDDEE"/>
              <w:bottom w:val="single" w:sz="4" w:space="0" w:color="CCDDEE"/>
              <w:right w:val="single" w:sz="4" w:space="0" w:color="CCDDEE"/>
            </w:tcBorders>
          </w:tcPr>
          <w:p>
            <w:pPr>
              <w:spacing w:before="40" w:after="40"/>
            </w:pPr>
            <w:r>
              <w:rPr>
                <w:rFonts w:ascii="Calibri" w:hAnsi="Calibri"/>
                <w:b/>
                <w:color w:val="1B3A6B"/>
                <w:sz w:val="17"/>
              </w:rPr>
              <w:t>Renter Cost Burden by Income</w:t>
            </w:r>
          </w:p>
        </w:tc>
        <w:tc>
          <w:tcPr>
            <w:tcW w:type="dxa" w:w="3456"/>
            <w:shd w:val="clear" w:color="auto" w:fill="FAFCFF"/>
            <w:tcBorders>
              <w:top w:val="single" w:sz="4" w:space="0" w:color="CCDDEE"/>
              <w:left w:val="single" w:sz="4" w:space="0" w:color="CCDDEE"/>
              <w:bottom w:val="single" w:sz="4" w:space="0" w:color="CCDDEE"/>
              <w:right w:val="single" w:sz="4" w:space="0" w:color="CCDDEE"/>
            </w:tcBorders>
          </w:tcPr>
          <w:p>
            <w:pPr>
              <w:spacing w:before="40" w:after="40"/>
            </w:pPr>
            <w:r>
              <w:rPr>
                <w:rFonts w:ascii="Calibri" w:hAnsi="Calibri"/>
                <w:b w:val="0"/>
                <w:color w:val="1A1A2E"/>
                <w:sz w:val="17"/>
              </w:rPr>
              <w:t>% of renters cost-burdened — by income band — 2014, 2019, 2024</w:t>
            </w:r>
          </w:p>
        </w:tc>
        <w:tc>
          <w:tcPr>
            <w:tcW w:type="dxa" w:w="2304"/>
            <w:shd w:val="clear" w:color="auto" w:fill="FAFCFF"/>
            <w:tcBorders>
              <w:top w:val="single" w:sz="4" w:space="0" w:color="CCDDEE"/>
              <w:left w:val="single" w:sz="4" w:space="0" w:color="CCDDEE"/>
              <w:bottom w:val="single" w:sz="4" w:space="0" w:color="CCDDEE"/>
              <w:right w:val="single" w:sz="4" w:space="0" w:color="CCDDEE"/>
            </w:tcBorders>
          </w:tcPr>
          <w:p>
            <w:pPr>
              <w:spacing w:before="40" w:after="40"/>
            </w:pPr>
            <w:r>
              <w:rPr>
                <w:rFonts w:ascii="Calibri" w:hAnsi="Calibri"/>
                <w:b w:val="0"/>
                <w:color w:val="555555"/>
                <w:sz w:val="17"/>
              </w:rPr>
              <w:t>1 row = 1 income band × 3 years</w:t>
            </w:r>
          </w:p>
        </w:tc>
        <w:tc>
          <w:tcPr>
            <w:tcW w:type="dxa" w:w="2448"/>
            <w:shd w:val="clear" w:color="auto" w:fill="FAFCFF"/>
            <w:tcBorders>
              <w:top w:val="single" w:sz="4" w:space="0" w:color="CCDDEE"/>
              <w:left w:val="single" w:sz="4" w:space="0" w:color="CCDDEE"/>
              <w:bottom w:val="single" w:sz="4" w:space="0" w:color="CCDDEE"/>
              <w:right w:val="single" w:sz="4" w:space="0" w:color="CCDDEE"/>
            </w:tcBorders>
          </w:tcPr>
          <w:p>
            <w:pPr>
              <w:spacing w:before="40" w:after="40"/>
            </w:pPr>
            <w:r>
              <w:rPr>
                <w:rFonts w:ascii="Calibri" w:hAnsi="Calibri"/>
                <w:b w:val="0"/>
                <w:color w:val="1A7A3C"/>
                <w:sz w:val="17"/>
              </w:rPr>
              <w:t>Owner Cost Burden by Income (compare tenures); Net HH Change (bands in crisis)</w:t>
            </w:r>
          </w:p>
        </w:tc>
      </w:tr>
      <w:tr>
        <w:tc>
          <w:tcPr>
            <w:tcW w:type="dxa" w:w="2304"/>
            <w:shd w:val="clear" w:color="auto" w:fill="F0EAF8"/>
            <w:tcBorders>
              <w:top w:val="single" w:sz="4" w:space="0" w:color="CCDDEE"/>
              <w:left w:val="single" w:sz="4" w:space="0" w:color="CCDDEE"/>
              <w:bottom w:val="single" w:sz="4" w:space="0" w:color="CCDDEE"/>
              <w:right w:val="single" w:sz="4" w:space="0" w:color="CCDDEE"/>
            </w:tcBorders>
          </w:tcPr>
          <w:p>
            <w:pPr>
              <w:spacing w:before="40" w:after="40"/>
            </w:pPr>
            <w:r>
              <w:rPr>
                <w:rFonts w:ascii="Calibri" w:hAnsi="Calibri"/>
                <w:b/>
                <w:color w:val="1B3A6B"/>
                <w:sz w:val="17"/>
              </w:rPr>
              <w:t>Rent Affordable by Education</w:t>
            </w:r>
          </w:p>
        </w:tc>
        <w:tc>
          <w:tcPr>
            <w:tcW w:type="dxa" w:w="3456"/>
            <w:shd w:val="clear" w:color="auto" w:fill="F0EAF8"/>
            <w:tcBorders>
              <w:top w:val="single" w:sz="4" w:space="0" w:color="CCDDEE"/>
              <w:left w:val="single" w:sz="4" w:space="0" w:color="CCDDEE"/>
              <w:bottom w:val="single" w:sz="4" w:space="0" w:color="CCDDEE"/>
              <w:right w:val="single" w:sz="4" w:space="0" w:color="CCDDEE"/>
            </w:tcBorders>
          </w:tcPr>
          <w:p>
            <w:pPr>
              <w:spacing w:before="40" w:after="40"/>
            </w:pPr>
            <w:r>
              <w:rPr>
                <w:rFonts w:ascii="Calibri" w:hAnsi="Calibri"/>
                <w:b w:val="0"/>
                <w:color w:val="1A1A2E"/>
                <w:sz w:val="17"/>
              </w:rPr>
              <w:t>What rent can each education level afford vs. actual median rent — 2023</w:t>
            </w:r>
          </w:p>
        </w:tc>
        <w:tc>
          <w:tcPr>
            <w:tcW w:type="dxa" w:w="2304"/>
            <w:shd w:val="clear" w:color="auto" w:fill="F0EAF8"/>
            <w:tcBorders>
              <w:top w:val="single" w:sz="4" w:space="0" w:color="CCDDEE"/>
              <w:left w:val="single" w:sz="4" w:space="0" w:color="CCDDEE"/>
              <w:bottom w:val="single" w:sz="4" w:space="0" w:color="CCDDEE"/>
              <w:right w:val="single" w:sz="4" w:space="0" w:color="CCDDEE"/>
            </w:tcBorders>
          </w:tcPr>
          <w:p>
            <w:pPr>
              <w:spacing w:before="40" w:after="40"/>
            </w:pPr>
            <w:r>
              <w:rPr>
                <w:rFonts w:ascii="Calibri" w:hAnsi="Calibri"/>
                <w:b w:val="0"/>
                <w:color w:val="555555"/>
                <w:sz w:val="17"/>
              </w:rPr>
              <w:t>1 row = 1 education level</w:t>
            </w:r>
          </w:p>
        </w:tc>
        <w:tc>
          <w:tcPr>
            <w:tcW w:type="dxa" w:w="2448"/>
            <w:shd w:val="clear" w:color="auto" w:fill="F0EAF8"/>
            <w:tcBorders>
              <w:top w:val="single" w:sz="4" w:space="0" w:color="CCDDEE"/>
              <w:left w:val="single" w:sz="4" w:space="0" w:color="CCDDEE"/>
              <w:bottom w:val="single" w:sz="4" w:space="0" w:color="CCDDEE"/>
              <w:right w:val="single" w:sz="4" w:space="0" w:color="CCDDEE"/>
            </w:tcBorders>
          </w:tcPr>
          <w:p>
            <w:pPr>
              <w:spacing w:before="40" w:after="40"/>
            </w:pPr>
            <w:r>
              <w:rPr>
                <w:rFonts w:ascii="Calibri" w:hAnsi="Calibri"/>
                <w:b w:val="0"/>
                <w:color w:val="1A7A3C"/>
                <w:sz w:val="17"/>
              </w:rPr>
              <w:t>Educational Attainment (Demographics); Median Rent</w:t>
            </w:r>
          </w:p>
        </w:tc>
      </w:tr>
      <w:tr>
        <w:tc>
          <w:tcPr>
            <w:tcW w:type="dxa" w:w="2304"/>
            <w:shd w:val="clear" w:color="auto" w:fill="FAFCFF"/>
            <w:tcBorders>
              <w:top w:val="single" w:sz="4" w:space="0" w:color="CCDDEE"/>
              <w:left w:val="single" w:sz="4" w:space="0" w:color="CCDDEE"/>
              <w:bottom w:val="single" w:sz="4" w:space="0" w:color="CCDDEE"/>
              <w:right w:val="single" w:sz="4" w:space="0" w:color="CCDDEE"/>
            </w:tcBorders>
          </w:tcPr>
          <w:p>
            <w:pPr>
              <w:spacing w:before="40" w:after="40"/>
            </w:pPr>
            <w:r>
              <w:rPr>
                <w:rFonts w:ascii="Calibri" w:hAnsi="Calibri"/>
                <w:b/>
                <w:color w:val="1B3A6B"/>
                <w:sz w:val="17"/>
              </w:rPr>
              <w:t>Income Required vs. Renter Income</w:t>
            </w:r>
          </w:p>
        </w:tc>
        <w:tc>
          <w:tcPr>
            <w:tcW w:type="dxa" w:w="3456"/>
            <w:shd w:val="clear" w:color="auto" w:fill="FAFCFF"/>
            <w:tcBorders>
              <w:top w:val="single" w:sz="4" w:space="0" w:color="CCDDEE"/>
              <w:left w:val="single" w:sz="4" w:space="0" w:color="CCDDEE"/>
              <w:bottom w:val="single" w:sz="4" w:space="0" w:color="CCDDEE"/>
              <w:right w:val="single" w:sz="4" w:space="0" w:color="CCDDEE"/>
            </w:tcBorders>
          </w:tcPr>
          <w:p>
            <w:pPr>
              <w:spacing w:before="40" w:after="40"/>
            </w:pPr>
            <w:r>
              <w:rPr>
                <w:rFonts w:ascii="Calibri" w:hAnsi="Calibri"/>
                <w:b w:val="0"/>
                <w:color w:val="1A1A2E"/>
                <w:sz w:val="17"/>
              </w:rPr>
              <w:t>Income needed to afford median rent vs. actual median renter income — 2015–2024</w:t>
            </w:r>
          </w:p>
        </w:tc>
        <w:tc>
          <w:tcPr>
            <w:tcW w:type="dxa" w:w="2304"/>
            <w:shd w:val="clear" w:color="auto" w:fill="FAFCFF"/>
            <w:tcBorders>
              <w:top w:val="single" w:sz="4" w:space="0" w:color="CCDDEE"/>
              <w:left w:val="single" w:sz="4" w:space="0" w:color="CCDDEE"/>
              <w:bottom w:val="single" w:sz="4" w:space="0" w:color="CCDDEE"/>
              <w:right w:val="single" w:sz="4" w:space="0" w:color="CCDDEE"/>
            </w:tcBorders>
          </w:tcPr>
          <w:p>
            <w:pPr>
              <w:spacing w:before="40" w:after="40"/>
            </w:pPr>
            <w:r>
              <w:rPr>
                <w:rFonts w:ascii="Calibri" w:hAnsi="Calibri"/>
                <w:b w:val="0"/>
                <w:color w:val="555555"/>
                <w:sz w:val="17"/>
              </w:rPr>
              <w:t>1 row = 1 year</w:t>
            </w:r>
          </w:p>
        </w:tc>
        <w:tc>
          <w:tcPr>
            <w:tcW w:type="dxa" w:w="2448"/>
            <w:shd w:val="clear" w:color="auto" w:fill="FAFCFF"/>
            <w:tcBorders>
              <w:top w:val="single" w:sz="4" w:space="0" w:color="CCDDEE"/>
              <w:left w:val="single" w:sz="4" w:space="0" w:color="CCDDEE"/>
              <w:bottom w:val="single" w:sz="4" w:space="0" w:color="CCDDEE"/>
              <w:right w:val="single" w:sz="4" w:space="0" w:color="CCDDEE"/>
            </w:tcBorders>
          </w:tcPr>
          <w:p>
            <w:pPr>
              <w:spacing w:before="40" w:after="40"/>
            </w:pPr>
            <w:r>
              <w:rPr>
                <w:rFonts w:ascii="Calibri" w:hAnsi="Calibri"/>
                <w:b w:val="0"/>
                <w:color w:val="1A7A3C"/>
                <w:sz w:val="17"/>
              </w:rPr>
              <w:t>Median Household Income; Median Rent (3-way affordability view)</w:t>
            </w:r>
          </w:p>
        </w:tc>
      </w:tr>
    </w:tbl>
    <w:p/>
    <w:p>
      <w:pPr>
        <w:spacing w:before="200" w:after="60"/>
        <w:shd w:val="clear" w:color="auto" w:fill="1A7A3C"/>
      </w:pPr>
      <w:r>
        <w:rPr>
          <w:rFonts w:ascii="Calibri" w:hAnsi="Calibri"/>
          <w:b/>
          <w:color w:val="FFFFFF"/>
          <w:sz w:val="22"/>
        </w:rPr>
        <w:t xml:space="preserve">  Housing Supply File</w:t>
      </w:r>
    </w:p>
    <w:tbl>
      <w:tblPr>
        <w:tblStyle w:val="TableGrid"/>
        <w:tblW w:type="auto" w:w="0"/>
        <w:tblLook w:firstColumn="1" w:firstRow="1" w:lastColumn="0" w:lastRow="0" w:noHBand="0" w:noVBand="1" w:val="04A0"/>
      </w:tblPr>
      <w:tblGrid>
        <w:gridCol w:w="2340"/>
        <w:gridCol w:w="2340"/>
        <w:gridCol w:w="2340"/>
        <w:gridCol w:w="2340"/>
      </w:tblGrid>
      <w:tr>
        <w:tc>
          <w:tcPr>
            <w:tcW w:type="dxa" w:w="2304"/>
            <w:shd w:val="clear" w:color="auto" w:fill="1A7A3C"/>
            <w:tcBorders>
              <w:top w:val="single" w:sz="4" w:space="0" w:color="FFFFFF"/>
              <w:left w:val="single" w:sz="4" w:space="0" w:color="FFFFFF"/>
              <w:bottom w:val="single" w:sz="4" w:space="0" w:color="FFFFFF"/>
              <w:right w:val="single" w:sz="4" w:space="0" w:color="FFFFFF"/>
            </w:tcBorders>
          </w:tcPr>
          <w:p>
            <w:pPr>
              <w:spacing w:before="60" w:after="60"/>
            </w:pPr>
            <w:r>
              <w:rPr>
                <w:rFonts w:ascii="Calibri" w:hAnsi="Calibri"/>
                <w:b/>
                <w:color w:val="FFFFFF"/>
                <w:sz w:val="17"/>
              </w:rPr>
              <w:t>Table Name</w:t>
            </w:r>
          </w:p>
        </w:tc>
        <w:tc>
          <w:tcPr>
            <w:tcW w:type="dxa" w:w="3456"/>
            <w:shd w:val="clear" w:color="auto" w:fill="1A7A3C"/>
            <w:tcBorders>
              <w:top w:val="single" w:sz="4" w:space="0" w:color="FFFFFF"/>
              <w:left w:val="single" w:sz="4" w:space="0" w:color="FFFFFF"/>
              <w:bottom w:val="single" w:sz="4" w:space="0" w:color="FFFFFF"/>
              <w:right w:val="single" w:sz="4" w:space="0" w:color="FFFFFF"/>
            </w:tcBorders>
          </w:tcPr>
          <w:p>
            <w:pPr>
              <w:spacing w:before="60" w:after="60"/>
            </w:pPr>
            <w:r>
              <w:rPr>
                <w:rFonts w:ascii="Calibri" w:hAnsi="Calibri"/>
                <w:b/>
                <w:color w:val="FFFFFF"/>
                <w:sz w:val="17"/>
              </w:rPr>
              <w:t>What It Measures</w:t>
            </w:r>
          </w:p>
        </w:tc>
        <w:tc>
          <w:tcPr>
            <w:tcW w:type="dxa" w:w="2304"/>
            <w:shd w:val="clear" w:color="auto" w:fill="1A7A3C"/>
            <w:tcBorders>
              <w:top w:val="single" w:sz="4" w:space="0" w:color="FFFFFF"/>
              <w:left w:val="single" w:sz="4" w:space="0" w:color="FFFFFF"/>
              <w:bottom w:val="single" w:sz="4" w:space="0" w:color="FFFFFF"/>
              <w:right w:val="single" w:sz="4" w:space="0" w:color="FFFFFF"/>
            </w:tcBorders>
          </w:tcPr>
          <w:p>
            <w:pPr>
              <w:spacing w:before="60" w:after="60"/>
            </w:pPr>
            <w:r>
              <w:rPr>
                <w:rFonts w:ascii="Calibri" w:hAnsi="Calibri"/>
                <w:b/>
                <w:color w:val="FFFFFF"/>
                <w:sz w:val="17"/>
              </w:rPr>
              <w:t>Grain (1 row = ...)</w:t>
            </w:r>
          </w:p>
        </w:tc>
        <w:tc>
          <w:tcPr>
            <w:tcW w:type="dxa" w:w="2448"/>
            <w:shd w:val="clear" w:color="auto" w:fill="1A7A3C"/>
            <w:tcBorders>
              <w:top w:val="single" w:sz="4" w:space="0" w:color="FFFFFF"/>
              <w:left w:val="single" w:sz="4" w:space="0" w:color="FFFFFF"/>
              <w:bottom w:val="single" w:sz="4" w:space="0" w:color="FFFFFF"/>
              <w:right w:val="single" w:sz="4" w:space="0" w:color="FFFFFF"/>
            </w:tcBorders>
          </w:tcPr>
          <w:p>
            <w:pPr>
              <w:spacing w:before="60" w:after="60"/>
            </w:pPr>
            <w:r>
              <w:rPr>
                <w:rFonts w:ascii="Calibri" w:hAnsi="Calibri"/>
                <w:b/>
                <w:color w:val="FFFFFF"/>
                <w:sz w:val="17"/>
              </w:rPr>
              <w:t>Connects To</w:t>
            </w:r>
          </w:p>
        </w:tc>
      </w:tr>
      <w:tr>
        <w:tc>
          <w:tcPr>
            <w:tcW w:type="dxa" w:w="2304"/>
            <w:shd w:val="clear" w:color="auto" w:fill="EAF4EE"/>
            <w:tcBorders>
              <w:top w:val="single" w:sz="4" w:space="0" w:color="CCDDEE"/>
              <w:left w:val="single" w:sz="4" w:space="0" w:color="CCDDEE"/>
              <w:bottom w:val="single" w:sz="4" w:space="0" w:color="CCDDEE"/>
              <w:right w:val="single" w:sz="4" w:space="0" w:color="CCDDEE"/>
            </w:tcBorders>
          </w:tcPr>
          <w:p>
            <w:pPr>
              <w:spacing w:before="40" w:after="40"/>
            </w:pPr>
            <w:r>
              <w:rPr>
                <w:rFonts w:ascii="Calibri" w:hAnsi="Calibri"/>
                <w:b/>
                <w:color w:val="1B3A6B"/>
                <w:sz w:val="17"/>
              </w:rPr>
              <w:t>Building Permits Issued</w:t>
            </w:r>
          </w:p>
        </w:tc>
        <w:tc>
          <w:tcPr>
            <w:tcW w:type="dxa" w:w="3456"/>
            <w:shd w:val="clear" w:color="auto" w:fill="EAF4EE"/>
            <w:tcBorders>
              <w:top w:val="single" w:sz="4" w:space="0" w:color="CCDDEE"/>
              <w:left w:val="single" w:sz="4" w:space="0" w:color="CCDDEE"/>
              <w:bottom w:val="single" w:sz="4" w:space="0" w:color="CCDDEE"/>
              <w:right w:val="single" w:sz="4" w:space="0" w:color="CCDDEE"/>
            </w:tcBorders>
          </w:tcPr>
          <w:p>
            <w:pPr>
              <w:spacing w:before="40" w:after="40"/>
            </w:pPr>
            <w:r>
              <w:rPr>
                <w:rFonts w:ascii="Calibri" w:hAnsi="Calibri"/>
                <w:b w:val="0"/>
                <w:color w:val="1A1A2E"/>
                <w:sz w:val="17"/>
              </w:rPr>
              <w:t>Annual single-family and multifamily permits — Wake, 2014–2024</w:t>
            </w:r>
          </w:p>
        </w:tc>
        <w:tc>
          <w:tcPr>
            <w:tcW w:type="dxa" w:w="2304"/>
            <w:shd w:val="clear" w:color="auto" w:fill="EAF4EE"/>
            <w:tcBorders>
              <w:top w:val="single" w:sz="4" w:space="0" w:color="CCDDEE"/>
              <w:left w:val="single" w:sz="4" w:space="0" w:color="CCDDEE"/>
              <w:bottom w:val="single" w:sz="4" w:space="0" w:color="CCDDEE"/>
              <w:right w:val="single" w:sz="4" w:space="0" w:color="CCDDEE"/>
            </w:tcBorders>
          </w:tcPr>
          <w:p>
            <w:pPr>
              <w:spacing w:before="40" w:after="40"/>
            </w:pPr>
            <w:r>
              <w:rPr>
                <w:rFonts w:ascii="Calibri" w:hAnsi="Calibri"/>
                <w:b w:val="0"/>
                <w:color w:val="555555"/>
                <w:sz w:val="17"/>
              </w:rPr>
              <w:t>1 row = 1 year × 2 permit types</w:t>
            </w:r>
          </w:p>
        </w:tc>
        <w:tc>
          <w:tcPr>
            <w:tcW w:type="dxa" w:w="2448"/>
            <w:shd w:val="clear" w:color="auto" w:fill="EAF4EE"/>
            <w:tcBorders>
              <w:top w:val="single" w:sz="4" w:space="0" w:color="CCDDEE"/>
              <w:left w:val="single" w:sz="4" w:space="0" w:color="CCDDEE"/>
              <w:bottom w:val="single" w:sz="4" w:space="0" w:color="CCDDEE"/>
              <w:right w:val="single" w:sz="4" w:space="0" w:color="CCDDEE"/>
            </w:tcBorders>
          </w:tcPr>
          <w:p>
            <w:pPr>
              <w:spacing w:before="40" w:after="40"/>
            </w:pPr>
            <w:r>
              <w:rPr>
                <w:rFonts w:ascii="Calibri" w:hAnsi="Calibri"/>
                <w:b w:val="0"/>
                <w:color w:val="1A7A3C"/>
                <w:sz w:val="17"/>
              </w:rPr>
              <w:t>% Change in Total Homes; HACR production benchmarks</w:t>
            </w:r>
          </w:p>
        </w:tc>
      </w:tr>
      <w:tr>
        <w:tc>
          <w:tcPr>
            <w:tcW w:type="dxa" w:w="2304"/>
            <w:shd w:val="clear" w:color="auto" w:fill="FAFCFF"/>
            <w:tcBorders>
              <w:top w:val="single" w:sz="4" w:space="0" w:color="CCDDEE"/>
              <w:left w:val="single" w:sz="4" w:space="0" w:color="CCDDEE"/>
              <w:bottom w:val="single" w:sz="4" w:space="0" w:color="CCDDEE"/>
              <w:right w:val="single" w:sz="4" w:space="0" w:color="CCDDEE"/>
            </w:tcBorders>
          </w:tcPr>
          <w:p>
            <w:pPr>
              <w:spacing w:before="40" w:after="40"/>
            </w:pPr>
            <w:r>
              <w:rPr>
                <w:rFonts w:ascii="Calibri" w:hAnsi="Calibri"/>
                <w:b/>
                <w:color w:val="1B3A6B"/>
                <w:sz w:val="17"/>
              </w:rPr>
              <w:t>Vacancy Rate (Rental)</w:t>
            </w:r>
          </w:p>
        </w:tc>
        <w:tc>
          <w:tcPr>
            <w:tcW w:type="dxa" w:w="3456"/>
            <w:shd w:val="clear" w:color="auto" w:fill="FAFCFF"/>
            <w:tcBorders>
              <w:top w:val="single" w:sz="4" w:space="0" w:color="CCDDEE"/>
              <w:left w:val="single" w:sz="4" w:space="0" w:color="CCDDEE"/>
              <w:bottom w:val="single" w:sz="4" w:space="0" w:color="CCDDEE"/>
              <w:right w:val="single" w:sz="4" w:space="0" w:color="CCDDEE"/>
            </w:tcBorders>
          </w:tcPr>
          <w:p>
            <w:pPr>
              <w:spacing w:before="40" w:after="40"/>
            </w:pPr>
            <w:r>
              <w:rPr>
                <w:rFonts w:ascii="Calibri" w:hAnsi="Calibri"/>
                <w:b w:val="0"/>
                <w:color w:val="1A1A2E"/>
                <w:sz w:val="17"/>
              </w:rPr>
              <w:t>% of rental homes vacant and available — Wake vs. NC, 2014–2024</w:t>
            </w:r>
          </w:p>
        </w:tc>
        <w:tc>
          <w:tcPr>
            <w:tcW w:type="dxa" w:w="2304"/>
            <w:shd w:val="clear" w:color="auto" w:fill="FAFCFF"/>
            <w:tcBorders>
              <w:top w:val="single" w:sz="4" w:space="0" w:color="CCDDEE"/>
              <w:left w:val="single" w:sz="4" w:space="0" w:color="CCDDEE"/>
              <w:bottom w:val="single" w:sz="4" w:space="0" w:color="CCDDEE"/>
              <w:right w:val="single" w:sz="4" w:space="0" w:color="CCDDEE"/>
            </w:tcBorders>
          </w:tcPr>
          <w:p>
            <w:pPr>
              <w:spacing w:before="40" w:after="40"/>
            </w:pPr>
            <w:r>
              <w:rPr>
                <w:rFonts w:ascii="Calibri" w:hAnsi="Calibri"/>
                <w:b w:val="0"/>
                <w:color w:val="555555"/>
                <w:sz w:val="17"/>
              </w:rPr>
              <w:t>1 row = 1 year × 2 geographies</w:t>
            </w:r>
          </w:p>
        </w:tc>
        <w:tc>
          <w:tcPr>
            <w:tcW w:type="dxa" w:w="2448"/>
            <w:shd w:val="clear" w:color="auto" w:fill="FAFCFF"/>
            <w:tcBorders>
              <w:top w:val="single" w:sz="4" w:space="0" w:color="CCDDEE"/>
              <w:left w:val="single" w:sz="4" w:space="0" w:color="CCDDEE"/>
              <w:bottom w:val="single" w:sz="4" w:space="0" w:color="CCDDEE"/>
              <w:right w:val="single" w:sz="4" w:space="0" w:color="CCDDEE"/>
            </w:tcBorders>
          </w:tcPr>
          <w:p>
            <w:pPr>
              <w:spacing w:before="40" w:after="40"/>
            </w:pPr>
            <w:r>
              <w:rPr>
                <w:rFonts w:ascii="Calibri" w:hAnsi="Calibri"/>
                <w:b w:val="0"/>
                <w:color w:val="1A7A3C"/>
                <w:sz w:val="17"/>
              </w:rPr>
              <w:t>Median Rent (low vacancy → rent pressure); Homeowner Vacancy Rate</w:t>
            </w:r>
          </w:p>
        </w:tc>
      </w:tr>
      <w:tr>
        <w:tc>
          <w:tcPr>
            <w:tcW w:type="dxa" w:w="2304"/>
            <w:shd w:val="clear" w:color="auto" w:fill="EAF4EE"/>
            <w:tcBorders>
              <w:top w:val="single" w:sz="4" w:space="0" w:color="CCDDEE"/>
              <w:left w:val="single" w:sz="4" w:space="0" w:color="CCDDEE"/>
              <w:bottom w:val="single" w:sz="4" w:space="0" w:color="CCDDEE"/>
              <w:right w:val="single" w:sz="4" w:space="0" w:color="CCDDEE"/>
            </w:tcBorders>
          </w:tcPr>
          <w:p>
            <w:pPr>
              <w:spacing w:before="40" w:after="40"/>
            </w:pPr>
            <w:r>
              <w:rPr>
                <w:rFonts w:ascii="Calibri" w:hAnsi="Calibri"/>
                <w:b/>
                <w:color w:val="1B3A6B"/>
                <w:sz w:val="17"/>
              </w:rPr>
              <w:t>Demand vs. Supply by Income</w:t>
            </w:r>
          </w:p>
        </w:tc>
        <w:tc>
          <w:tcPr>
            <w:tcW w:type="dxa" w:w="3456"/>
            <w:shd w:val="clear" w:color="auto" w:fill="EAF4EE"/>
            <w:tcBorders>
              <w:top w:val="single" w:sz="4" w:space="0" w:color="CCDDEE"/>
              <w:left w:val="single" w:sz="4" w:space="0" w:color="CCDDEE"/>
              <w:bottom w:val="single" w:sz="4" w:space="0" w:color="CCDDEE"/>
              <w:right w:val="single" w:sz="4" w:space="0" w:color="CCDDEE"/>
            </w:tcBorders>
          </w:tcPr>
          <w:p>
            <w:pPr>
              <w:spacing w:before="40" w:after="40"/>
            </w:pPr>
            <w:r>
              <w:rPr>
                <w:rFonts w:ascii="Calibri" w:hAnsi="Calibri"/>
                <w:b w:val="0"/>
                <w:color w:val="1A1A2E"/>
                <w:sz w:val="17"/>
              </w:rPr>
              <w:t>Renter households vs. affordable units available — by income band</w:t>
            </w:r>
          </w:p>
        </w:tc>
        <w:tc>
          <w:tcPr>
            <w:tcW w:type="dxa" w:w="2304"/>
            <w:shd w:val="clear" w:color="auto" w:fill="EAF4EE"/>
            <w:tcBorders>
              <w:top w:val="single" w:sz="4" w:space="0" w:color="CCDDEE"/>
              <w:left w:val="single" w:sz="4" w:space="0" w:color="CCDDEE"/>
              <w:bottom w:val="single" w:sz="4" w:space="0" w:color="CCDDEE"/>
              <w:right w:val="single" w:sz="4" w:space="0" w:color="CCDDEE"/>
            </w:tcBorders>
          </w:tcPr>
          <w:p>
            <w:pPr>
              <w:spacing w:before="40" w:after="40"/>
            </w:pPr>
            <w:r>
              <w:rPr>
                <w:rFonts w:ascii="Calibri" w:hAnsi="Calibri"/>
                <w:b w:val="0"/>
                <w:color w:val="555555"/>
                <w:sz w:val="17"/>
              </w:rPr>
              <w:t>1 row = 1 income band</w:t>
            </w:r>
          </w:p>
        </w:tc>
        <w:tc>
          <w:tcPr>
            <w:tcW w:type="dxa" w:w="2448"/>
            <w:shd w:val="clear" w:color="auto" w:fill="EAF4EE"/>
            <w:tcBorders>
              <w:top w:val="single" w:sz="4" w:space="0" w:color="CCDDEE"/>
              <w:left w:val="single" w:sz="4" w:space="0" w:color="CCDDEE"/>
              <w:bottom w:val="single" w:sz="4" w:space="0" w:color="CCDDEE"/>
              <w:right w:val="single" w:sz="4" w:space="0" w:color="CCDDEE"/>
            </w:tcBorders>
          </w:tcPr>
          <w:p>
            <w:pPr>
              <w:spacing w:before="40" w:after="40"/>
            </w:pPr>
            <w:r>
              <w:rPr>
                <w:rFonts w:ascii="Calibri" w:hAnsi="Calibri"/>
                <w:b w:val="0"/>
                <w:color w:val="1A7A3C"/>
                <w:sz w:val="17"/>
              </w:rPr>
              <w:t>Rental Deficit (identical figures); Renter Cost Burden (explains why burden is high)</w:t>
            </w:r>
          </w:p>
        </w:tc>
      </w:tr>
      <w:tr>
        <w:tc>
          <w:tcPr>
            <w:tcW w:type="dxa" w:w="2304"/>
            <w:shd w:val="clear" w:color="auto" w:fill="FAFCFF"/>
            <w:tcBorders>
              <w:top w:val="single" w:sz="4" w:space="0" w:color="CCDDEE"/>
              <w:left w:val="single" w:sz="4" w:space="0" w:color="CCDDEE"/>
              <w:bottom w:val="single" w:sz="4" w:space="0" w:color="CCDDEE"/>
              <w:right w:val="single" w:sz="4" w:space="0" w:color="CCDDEE"/>
            </w:tcBorders>
          </w:tcPr>
          <w:p>
            <w:pPr>
              <w:spacing w:before="40" w:after="40"/>
            </w:pPr>
            <w:r>
              <w:rPr>
                <w:rFonts w:ascii="Calibri" w:hAnsi="Calibri"/>
                <w:b/>
                <w:color w:val="1B3A6B"/>
                <w:sz w:val="17"/>
              </w:rPr>
              <w:t>Housing Stock by Tenure</w:t>
            </w:r>
          </w:p>
        </w:tc>
        <w:tc>
          <w:tcPr>
            <w:tcW w:type="dxa" w:w="3456"/>
            <w:shd w:val="clear" w:color="auto" w:fill="FAFCFF"/>
            <w:tcBorders>
              <w:top w:val="single" w:sz="4" w:space="0" w:color="CCDDEE"/>
              <w:left w:val="single" w:sz="4" w:space="0" w:color="CCDDEE"/>
              <w:bottom w:val="single" w:sz="4" w:space="0" w:color="CCDDEE"/>
              <w:right w:val="single" w:sz="4" w:space="0" w:color="CCDDEE"/>
            </w:tcBorders>
          </w:tcPr>
          <w:p>
            <w:pPr>
              <w:spacing w:before="40" w:after="40"/>
            </w:pPr>
            <w:r>
              <w:rPr>
                <w:rFonts w:ascii="Calibri" w:hAnsi="Calibri"/>
                <w:b w:val="0"/>
                <w:color w:val="1A1A2E"/>
                <w:sz w:val="17"/>
              </w:rPr>
              <w:t>Total occupied, vacant, owner, and renter units — snapshot</w:t>
            </w:r>
          </w:p>
        </w:tc>
        <w:tc>
          <w:tcPr>
            <w:tcW w:type="dxa" w:w="2304"/>
            <w:shd w:val="clear" w:color="auto" w:fill="FAFCFF"/>
            <w:tcBorders>
              <w:top w:val="single" w:sz="4" w:space="0" w:color="CCDDEE"/>
              <w:left w:val="single" w:sz="4" w:space="0" w:color="CCDDEE"/>
              <w:bottom w:val="single" w:sz="4" w:space="0" w:color="CCDDEE"/>
              <w:right w:val="single" w:sz="4" w:space="0" w:color="CCDDEE"/>
            </w:tcBorders>
          </w:tcPr>
          <w:p>
            <w:pPr>
              <w:spacing w:before="40" w:after="40"/>
            </w:pPr>
            <w:r>
              <w:rPr>
                <w:rFonts w:ascii="Calibri" w:hAnsi="Calibri"/>
                <w:b w:val="0"/>
                <w:color w:val="555555"/>
                <w:sz w:val="17"/>
              </w:rPr>
              <w:t>1 row = 1 tenure category</w:t>
            </w:r>
          </w:p>
        </w:tc>
        <w:tc>
          <w:tcPr>
            <w:tcW w:type="dxa" w:w="2448"/>
            <w:shd w:val="clear" w:color="auto" w:fill="FAFCFF"/>
            <w:tcBorders>
              <w:top w:val="single" w:sz="4" w:space="0" w:color="CCDDEE"/>
              <w:left w:val="single" w:sz="4" w:space="0" w:color="CCDDEE"/>
              <w:bottom w:val="single" w:sz="4" w:space="0" w:color="CCDDEE"/>
              <w:right w:val="single" w:sz="4" w:space="0" w:color="CCDDEE"/>
            </w:tcBorders>
          </w:tcPr>
          <w:p>
            <w:pPr>
              <w:spacing w:before="40" w:after="40"/>
            </w:pPr>
            <w:r>
              <w:rPr>
                <w:rFonts w:ascii="Calibri" w:hAnsi="Calibri"/>
                <w:b w:val="0"/>
                <w:color w:val="1A7A3C"/>
                <w:sz w:val="17"/>
              </w:rPr>
              <w:t>Homeownership Rate; Vacancy Rate</w:t>
            </w:r>
          </w:p>
        </w:tc>
      </w:tr>
      <w:tr>
        <w:tc>
          <w:tcPr>
            <w:tcW w:type="dxa" w:w="2304"/>
            <w:shd w:val="clear" w:color="auto" w:fill="EAF4EE"/>
            <w:tcBorders>
              <w:top w:val="single" w:sz="4" w:space="0" w:color="CCDDEE"/>
              <w:left w:val="single" w:sz="4" w:space="0" w:color="CCDDEE"/>
              <w:bottom w:val="single" w:sz="4" w:space="0" w:color="CCDDEE"/>
              <w:right w:val="single" w:sz="4" w:space="0" w:color="CCDDEE"/>
            </w:tcBorders>
          </w:tcPr>
          <w:p>
            <w:pPr>
              <w:spacing w:before="40" w:after="40"/>
            </w:pPr>
            <w:r>
              <w:rPr>
                <w:rFonts w:ascii="Calibri" w:hAnsi="Calibri"/>
                <w:b/>
                <w:color w:val="1B3A6B"/>
                <w:sz w:val="17"/>
              </w:rPr>
              <w:t>Stock by Building Type</w:t>
            </w:r>
          </w:p>
        </w:tc>
        <w:tc>
          <w:tcPr>
            <w:tcW w:type="dxa" w:w="3456"/>
            <w:shd w:val="clear" w:color="auto" w:fill="EAF4EE"/>
            <w:tcBorders>
              <w:top w:val="single" w:sz="4" w:space="0" w:color="CCDDEE"/>
              <w:left w:val="single" w:sz="4" w:space="0" w:color="CCDDEE"/>
              <w:bottom w:val="single" w:sz="4" w:space="0" w:color="CCDDEE"/>
              <w:right w:val="single" w:sz="4" w:space="0" w:color="CCDDEE"/>
            </w:tcBorders>
          </w:tcPr>
          <w:p>
            <w:pPr>
              <w:spacing w:before="40" w:after="40"/>
            </w:pPr>
            <w:r>
              <w:rPr>
                <w:rFonts w:ascii="Calibri" w:hAnsi="Calibri"/>
                <w:b w:val="0"/>
                <w:color w:val="1A1A2E"/>
                <w:sz w:val="17"/>
              </w:rPr>
              <w:t>Owner and renter homes by building typology — Wake vs. NC</w:t>
            </w:r>
          </w:p>
        </w:tc>
        <w:tc>
          <w:tcPr>
            <w:tcW w:type="dxa" w:w="2304"/>
            <w:shd w:val="clear" w:color="auto" w:fill="EAF4EE"/>
            <w:tcBorders>
              <w:top w:val="single" w:sz="4" w:space="0" w:color="CCDDEE"/>
              <w:left w:val="single" w:sz="4" w:space="0" w:color="CCDDEE"/>
              <w:bottom w:val="single" w:sz="4" w:space="0" w:color="CCDDEE"/>
              <w:right w:val="single" w:sz="4" w:space="0" w:color="CCDDEE"/>
            </w:tcBorders>
          </w:tcPr>
          <w:p>
            <w:pPr>
              <w:spacing w:before="40" w:after="40"/>
            </w:pPr>
            <w:r>
              <w:rPr>
                <w:rFonts w:ascii="Calibri" w:hAnsi="Calibri"/>
                <w:b w:val="0"/>
                <w:color w:val="555555"/>
                <w:sz w:val="17"/>
              </w:rPr>
              <w:t>1 row = 1 building type × tenure × 2 geographies</w:t>
            </w:r>
          </w:p>
        </w:tc>
        <w:tc>
          <w:tcPr>
            <w:tcW w:type="dxa" w:w="2448"/>
            <w:shd w:val="clear" w:color="auto" w:fill="EAF4EE"/>
            <w:tcBorders>
              <w:top w:val="single" w:sz="4" w:space="0" w:color="CCDDEE"/>
              <w:left w:val="single" w:sz="4" w:space="0" w:color="CCDDEE"/>
              <w:bottom w:val="single" w:sz="4" w:space="0" w:color="CCDDEE"/>
              <w:right w:val="single" w:sz="4" w:space="0" w:color="CCDDEE"/>
            </w:tcBorders>
          </w:tcPr>
          <w:p>
            <w:pPr>
              <w:spacing w:before="40" w:after="40"/>
            </w:pPr>
            <w:r>
              <w:rPr>
                <w:rFonts w:ascii="Calibri" w:hAnsi="Calibri"/>
                <w:b w:val="0"/>
                <w:color w:val="1A7A3C"/>
                <w:sz w:val="17"/>
              </w:rPr>
              <w:t>Permits by type (single-family vs. multifamily trend)</w:t>
            </w:r>
          </w:p>
        </w:tc>
      </w:tr>
    </w:tbl>
    <w:p/>
    <w:p>
      <w:pPr>
        <w:spacing w:before="320" w:after="80"/>
        <w:pBdr>
          <w:bottom w:val="single" w:sz="8" w:space="1" w:color="007A87"/>
        </w:pBdr>
      </w:pPr>
      <w:r>
        <w:rPr>
          <w:rFonts w:ascii="Calibri" w:hAnsi="Calibri"/>
          <w:b/>
          <w:color w:val="1B3A6B"/>
          <w:sz w:val="28"/>
        </w:rPr>
        <w:t>7.4  Key Cross-File Relationships Explained Simply</w:t>
      </w:r>
    </w:p>
    <w:p>
      <w:pPr>
        <w:spacing w:after="120"/>
      </w:pPr>
      <w:r>
        <w:rPr>
          <w:rFonts w:ascii="Calibri" w:hAnsi="Calibri"/>
          <w:i w:val="0"/>
          <w:color w:val="1A1A2E"/>
          <w:sz w:val="21"/>
        </w:rPr>
        <w:t>These are the six most important connections between tables — the ones the dashboard actually uses to build its charts and findings.</w:t>
      </w:r>
    </w:p>
    <w:p>
      <w:pPr>
        <w:spacing w:before="160" w:after="40"/>
      </w:pPr>
      <w:r>
        <w:rPr>
          <w:rFonts w:ascii="Calibri" w:hAnsi="Calibri"/>
          <w:b/>
          <w:color w:val="1B3A6B"/>
          <w:sz w:val="21"/>
        </w:rPr>
        <w:t>1.  Rental Deficit  ←→  Demand vs. Supply (Housing Supply)</w:t>
      </w:r>
    </w:p>
    <w:p>
      <w:pPr>
        <w:spacing w:after="40"/>
        <w:ind w:left="432"/>
      </w:pPr>
      <w:r>
        <w:rPr>
          <w:rFonts w:ascii="Calibri" w:hAnsi="Calibri"/>
          <w:color w:val="1A1A2E"/>
          <w:sz w:val="20"/>
        </w:rPr>
        <w:t>These two tables show the same gap from two angles. "Rental Deficit" (Rental file) shows just the net gap number. "Demand vs. Supply" (Housing Supply file) shows both sides — how many renter households exist AND how many affordable units exist. Together they explain why the gap is the size it is.</w:t>
      </w:r>
    </w:p>
    <w:p>
      <w:pPr>
        <w:spacing w:after="80"/>
        <w:ind w:left="432"/>
      </w:pPr>
      <w:r>
        <w:rPr>
          <w:rFonts w:ascii="Calibri" w:hAnsi="Calibri"/>
          <w:b/>
          <w:color w:val="007A87"/>
          <w:sz w:val="19"/>
        </w:rPr>
        <w:t xml:space="preserve">▶  Join key: </w:t>
      </w:r>
      <w:r>
        <w:rPr>
          <w:rFonts w:ascii="Calibri" w:hAnsi="Calibri"/>
          <w:i/>
          <w:color w:val="555555"/>
          <w:sz w:val="19"/>
        </w:rPr>
        <w:t>Same income bands (&lt;$20K through &lt;$150K). Join on income band.</w:t>
      </w:r>
    </w:p>
    <w:p>
      <w:pPr>
        <w:spacing w:before="160" w:after="40"/>
      </w:pPr>
      <w:r>
        <w:rPr>
          <w:rFonts w:ascii="Calibri" w:hAnsi="Calibri"/>
          <w:b/>
          <w:color w:val="1B3A6B"/>
          <w:sz w:val="21"/>
        </w:rPr>
        <w:t>2.  Renter Cost Burden  ←→  Net HH Change (Demographics)</w:t>
      </w:r>
    </w:p>
    <w:p>
      <w:pPr>
        <w:spacing w:after="40"/>
        <w:ind w:left="432"/>
      </w:pPr>
      <w:r>
        <w:rPr>
          <w:rFonts w:ascii="Calibri" w:hAnsi="Calibri"/>
          <w:color w:val="1A1A2E"/>
          <w:sz w:val="20"/>
        </w:rPr>
        <w:t>As cost burden rises in a band (Rental file), households at that income level disappear from Wake County (Demographics file). The $35K–$50K band is the clearest example: cost burden jumped from 34.5% to 88.9%, and that band lost 7,177 households.</w:t>
      </w:r>
    </w:p>
    <w:p>
      <w:pPr>
        <w:spacing w:after="80"/>
        <w:ind w:left="432"/>
      </w:pPr>
      <w:r>
        <w:rPr>
          <w:rFonts w:ascii="Calibri" w:hAnsi="Calibri"/>
          <w:b/>
          <w:color w:val="007A87"/>
          <w:sz w:val="19"/>
        </w:rPr>
        <w:t xml:space="preserve">▶  Join key: </w:t>
      </w:r>
      <w:r>
        <w:rPr>
          <w:rFonts w:ascii="Calibri" w:hAnsi="Calibri"/>
          <w:i/>
          <w:color w:val="555555"/>
          <w:sz w:val="19"/>
        </w:rPr>
        <w:t>Same income bands. Join on income band.</w:t>
      </w:r>
    </w:p>
    <w:p>
      <w:pPr>
        <w:spacing w:before="160" w:after="40"/>
      </w:pPr>
      <w:r>
        <w:rPr>
          <w:rFonts w:ascii="Calibri" w:hAnsi="Calibri"/>
          <w:b/>
          <w:color w:val="1B3A6B"/>
          <w:sz w:val="21"/>
        </w:rPr>
        <w:t>3.  Median Rent  ←→  Median Household Income  ←→  Income Required</w:t>
      </w:r>
    </w:p>
    <w:p>
      <w:pPr>
        <w:spacing w:after="40"/>
        <w:ind w:left="432"/>
      </w:pPr>
      <w:r>
        <w:rPr>
          <w:rFonts w:ascii="Calibri" w:hAnsi="Calibri"/>
          <w:color w:val="1A1A2E"/>
          <w:sz w:val="20"/>
        </w:rPr>
        <w:t>Three tables tracking the same affordability squeeze from different angles: actual rent (Rental file), actual renter income (Demographics file), and the income you would need to afford the rent (Rental file). When the gap between lines 2 and 3 widens, more people become cost-burdened.</w:t>
      </w:r>
    </w:p>
    <w:p>
      <w:pPr>
        <w:spacing w:after="80"/>
        <w:ind w:left="432"/>
      </w:pPr>
      <w:r>
        <w:rPr>
          <w:rFonts w:ascii="Calibri" w:hAnsi="Calibri"/>
          <w:b/>
          <w:color w:val="007A87"/>
          <w:sz w:val="19"/>
        </w:rPr>
        <w:t xml:space="preserve">▶  Join key: </w:t>
      </w:r>
      <w:r>
        <w:rPr>
          <w:rFonts w:ascii="Calibri" w:hAnsi="Calibri"/>
          <w:i/>
          <w:color w:val="555555"/>
          <w:sz w:val="19"/>
        </w:rPr>
        <w:t>Same years (2015–2024). Join on year.</w:t>
      </w:r>
    </w:p>
    <w:p>
      <w:pPr>
        <w:spacing w:before="160" w:after="40"/>
      </w:pPr>
      <w:r>
        <w:rPr>
          <w:rFonts w:ascii="Calibri" w:hAnsi="Calibri"/>
          <w:b/>
          <w:color w:val="1B3A6B"/>
          <w:sz w:val="21"/>
        </w:rPr>
        <w:t>4.  Educational Attainment (Demographics)  ←→  Rent by Education (Rental)</w:t>
      </w:r>
    </w:p>
    <w:p>
      <w:pPr>
        <w:spacing w:after="40"/>
        <w:ind w:left="432"/>
      </w:pPr>
      <w:r>
        <w:rPr>
          <w:rFonts w:ascii="Calibri" w:hAnsi="Calibri"/>
          <w:color w:val="1A1A2E"/>
          <w:sz w:val="20"/>
        </w:rPr>
        <w:t>The education split shows what rent each degree level can afford. Combined with how many Wake County residents hold each degree (Demographics file), you can see exactly which education groups cannot afford median rent — and how large that population is.</w:t>
      </w:r>
    </w:p>
    <w:p>
      <w:pPr>
        <w:spacing w:after="80"/>
        <w:ind w:left="432"/>
      </w:pPr>
      <w:r>
        <w:rPr>
          <w:rFonts w:ascii="Calibri" w:hAnsi="Calibri"/>
          <w:b/>
          <w:color w:val="007A87"/>
          <w:sz w:val="19"/>
        </w:rPr>
        <w:t xml:space="preserve">▶  Join key: </w:t>
      </w:r>
      <w:r>
        <w:rPr>
          <w:rFonts w:ascii="Calibri" w:hAnsi="Calibri"/>
          <w:i/>
          <w:color w:val="555555"/>
          <w:sz w:val="19"/>
        </w:rPr>
        <w:t>Same education levels. Join on education category.</w:t>
      </w:r>
    </w:p>
    <w:p>
      <w:pPr>
        <w:spacing w:before="160" w:after="40"/>
      </w:pPr>
      <w:r>
        <w:rPr>
          <w:rFonts w:ascii="Calibri" w:hAnsi="Calibri"/>
          <w:b/>
          <w:color w:val="1B3A6B"/>
          <w:sz w:val="21"/>
        </w:rPr>
        <w:t>5.  Vacancy Rate (Housing Supply)  ←→  Median Rent (Rental)</w:t>
      </w:r>
    </w:p>
    <w:p>
      <w:pPr>
        <w:spacing w:after="40"/>
        <w:ind w:left="432"/>
      </w:pPr>
      <w:r>
        <w:rPr>
          <w:rFonts w:ascii="Calibri" w:hAnsi="Calibri"/>
          <w:color w:val="1A1A2E"/>
          <w:sz w:val="20"/>
        </w:rPr>
        <w:t>Low vacancy means landlords have no pressure to keep rents competitive. Wake County's vacancy rate fell from 3.58% (2014) to 2.74% (2019), exactly the period when rent acceleration began. By 2022 vacancy jumped to 3.77% as multifamily building surged — and rent growth slowed.</w:t>
      </w:r>
    </w:p>
    <w:p>
      <w:pPr>
        <w:spacing w:after="80"/>
        <w:ind w:left="432"/>
      </w:pPr>
      <w:r>
        <w:rPr>
          <w:rFonts w:ascii="Calibri" w:hAnsi="Calibri"/>
          <w:b/>
          <w:color w:val="007A87"/>
          <w:sz w:val="19"/>
        </w:rPr>
        <w:t xml:space="preserve">▶  Join key: </w:t>
      </w:r>
      <w:r>
        <w:rPr>
          <w:rFonts w:ascii="Calibri" w:hAnsi="Calibri"/>
          <w:i/>
          <w:color w:val="555555"/>
          <w:sz w:val="19"/>
        </w:rPr>
        <w:t>Same years. Join on year.</w:t>
      </w:r>
    </w:p>
    <w:p>
      <w:pPr>
        <w:spacing w:before="160" w:after="40"/>
      </w:pPr>
      <w:r>
        <w:rPr>
          <w:rFonts w:ascii="Calibri" w:hAnsi="Calibri"/>
          <w:b/>
          <w:color w:val="1B3A6B"/>
          <w:sz w:val="21"/>
        </w:rPr>
        <w:t>6.  Homeownership Rate by Race (Homeownership)  ←→  Households by Race (Demographics)</w:t>
      </w:r>
    </w:p>
    <w:p>
      <w:pPr>
        <w:spacing w:after="40"/>
        <w:ind w:left="432"/>
      </w:pPr>
      <w:r>
        <w:rPr>
          <w:rFonts w:ascii="Calibri" w:hAnsi="Calibri"/>
          <w:color w:val="1A1A2E"/>
          <w:sz w:val="20"/>
        </w:rPr>
        <w:t>The race gap in homeownership (Black 45.5% vs White 71.4%) is the rate. The Demographics file gives the absolute household counts by race. Multiplying rate × count gives the actual number of households locked out of ownership — the equity gap in real numbers.</w:t>
      </w:r>
    </w:p>
    <w:p>
      <w:pPr>
        <w:spacing w:after="80"/>
        <w:ind w:left="432"/>
      </w:pPr>
      <w:r>
        <w:rPr>
          <w:rFonts w:ascii="Calibri" w:hAnsi="Calibri"/>
          <w:b/>
          <w:color w:val="007A87"/>
          <w:sz w:val="19"/>
        </w:rPr>
        <w:t xml:space="preserve">▶  Join key: </w:t>
      </w:r>
      <w:r>
        <w:rPr>
          <w:rFonts w:ascii="Calibri" w:hAnsi="Calibri"/>
          <w:i/>
          <w:color w:val="555555"/>
          <w:sz w:val="19"/>
        </w:rPr>
        <w:t>Same race categories. Join on race/ethnicity.</w:t>
      </w:r>
    </w:p>
    <w:p>
      <w:pPr>
        <w:spacing w:before="320" w:after="80"/>
        <w:pBdr>
          <w:bottom w:val="single" w:sz="8" w:space="1" w:color="007A87"/>
        </w:pBdr>
      </w:pPr>
      <w:r>
        <w:rPr>
          <w:rFonts w:ascii="Calibri" w:hAnsi="Calibri"/>
          <w:b/>
          <w:color w:val="1B3A6B"/>
          <w:sz w:val="28"/>
        </w:rPr>
        <w:t>7.5  Data Limitations to Know for the Interview</w:t>
      </w:r>
    </w:p>
    <w:tbl>
      <w:tblPr>
        <w:tblStyle w:val="TableGrid"/>
        <w:tblW w:type="auto" w:w="0"/>
        <w:tblLook w:firstColumn="1" w:firstRow="1" w:lastColumn="0" w:lastRow="0" w:noHBand="0" w:noVBand="1" w:val="04A0"/>
      </w:tblPr>
      <w:tblGrid>
        <w:gridCol w:w="4680"/>
        <w:gridCol w:w="4680"/>
      </w:tblGrid>
      <w:tr>
        <w:tc>
          <w:tcPr>
            <w:tcW w:type="dxa" w:w="4680"/>
            <w:shd w:val="clear" w:color="auto" w:fill="1B3A6B"/>
            <w:tcBorders>
              <w:top w:val="single" w:sz="4" w:space="0" w:color="FFFFFF"/>
              <w:left w:val="single" w:sz="4" w:space="0" w:color="FFFFFF"/>
              <w:bottom w:val="single" w:sz="4" w:space="0" w:color="FFFFFF"/>
              <w:right w:val="single" w:sz="4" w:space="0" w:color="FFFFFF"/>
            </w:tcBorders>
          </w:tcPr>
          <w:p>
            <w:pPr>
              <w:spacing w:before="60" w:after="60"/>
            </w:pPr>
            <w:r>
              <w:rPr>
                <w:rFonts w:ascii="Calibri" w:hAnsi="Calibri"/>
                <w:b/>
                <w:color w:val="FFFFFF"/>
                <w:sz w:val="19"/>
              </w:rPr>
              <w:t>Limitation</w:t>
            </w:r>
          </w:p>
        </w:tc>
        <w:tc>
          <w:tcPr>
            <w:tcW w:type="dxa" w:w="4680"/>
            <w:shd w:val="clear" w:color="auto" w:fill="1B3A6B"/>
            <w:tcBorders>
              <w:top w:val="single" w:sz="4" w:space="0" w:color="FFFFFF"/>
              <w:left w:val="single" w:sz="4" w:space="0" w:color="FFFFFF"/>
              <w:bottom w:val="single" w:sz="4" w:space="0" w:color="FFFFFF"/>
              <w:right w:val="single" w:sz="4" w:space="0" w:color="FFFFFF"/>
            </w:tcBorders>
          </w:tcPr>
          <w:p>
            <w:pPr>
              <w:spacing w:before="60" w:after="60"/>
            </w:pPr>
            <w:r>
              <w:rPr>
                <w:rFonts w:ascii="Calibri" w:hAnsi="Calibri"/>
                <w:b/>
                <w:color w:val="FFFFFF"/>
                <w:sz w:val="19"/>
              </w:rPr>
              <w:t>What It Means in Practice</w:t>
            </w:r>
          </w:p>
        </w:tc>
      </w:tr>
      <w:tr>
        <w:tc>
          <w:tcPr>
            <w:tcW w:type="dxa" w:w="2592"/>
            <w:shd w:val="clear" w:color="auto" w:fill="FFF8E8"/>
            <w:tcBorders>
              <w:top w:val="single" w:sz="4" w:space="0" w:color="E0C060"/>
              <w:left w:val="single" w:sz="4" w:space="0" w:color="E0C060"/>
              <w:bottom w:val="single" w:sz="4" w:space="0" w:color="E0C060"/>
              <w:right w:val="single" w:sz="4" w:space="0" w:color="E0C060"/>
            </w:tcBorders>
          </w:tcPr>
          <w:p>
            <w:pPr>
              <w:spacing w:before="60" w:after="60"/>
            </w:pPr>
            <w:r>
              <w:rPr>
                <w:rFonts w:ascii="Calibri" w:hAnsi="Calibri"/>
                <w:b/>
                <w:color w:val="1B3A6B"/>
                <w:sz w:val="18"/>
              </w:rPr>
              <w:t>No unique record IDs</w:t>
            </w:r>
          </w:p>
        </w:tc>
        <w:tc>
          <w:tcPr>
            <w:tcW w:type="dxa" w:w="7920"/>
            <w:shd w:val="clear" w:color="auto" w:fill="FFF8E8"/>
            <w:tcBorders>
              <w:top w:val="single" w:sz="4" w:space="0" w:color="E0C060"/>
              <w:left w:val="single" w:sz="4" w:space="0" w:color="E0C060"/>
              <w:bottom w:val="single" w:sz="4" w:space="0" w:color="E0C060"/>
              <w:right w:val="single" w:sz="4" w:space="0" w:color="E0C060"/>
            </w:tcBorders>
          </w:tcPr>
          <w:p>
            <w:pPr>
              <w:spacing w:before="60" w:after="60"/>
            </w:pPr>
            <w:r>
              <w:rPr>
                <w:rFonts w:ascii="Calibri" w:hAnsi="Calibri"/>
                <w:b w:val="0"/>
                <w:color w:val="1A1A2E"/>
                <w:sz w:val="18"/>
              </w:rPr>
              <w:t>Tables share conceptual dimensions (year, income band) but have no formal primary keys or foreign keys. Joins are done by matching labels — which means label format must match exactly (e.g. '&lt;$35K' vs '$35K–$50K' are different levels).</w:t>
            </w:r>
          </w:p>
        </w:tc>
      </w:tr>
      <w:tr>
        <w:tc>
          <w:tcPr>
            <w:tcW w:type="dxa" w:w="2592"/>
            <w:shd w:val="clear" w:color="auto" w:fill="FFFDF5"/>
            <w:tcBorders>
              <w:top w:val="single" w:sz="4" w:space="0" w:color="E0C060"/>
              <w:left w:val="single" w:sz="4" w:space="0" w:color="E0C060"/>
              <w:bottom w:val="single" w:sz="4" w:space="0" w:color="E0C060"/>
              <w:right w:val="single" w:sz="4" w:space="0" w:color="E0C060"/>
            </w:tcBorders>
          </w:tcPr>
          <w:p>
            <w:pPr>
              <w:spacing w:before="60" w:after="60"/>
            </w:pPr>
            <w:r>
              <w:rPr>
                <w:rFonts w:ascii="Calibri" w:hAnsi="Calibri"/>
                <w:b/>
                <w:color w:val="1B3A6B"/>
                <w:sz w:val="18"/>
              </w:rPr>
              <w:t>Income bands are not consistent across files</w:t>
            </w:r>
          </w:p>
        </w:tc>
        <w:tc>
          <w:tcPr>
            <w:tcW w:type="dxa" w:w="7920"/>
            <w:shd w:val="clear" w:color="auto" w:fill="FFFDF5"/>
            <w:tcBorders>
              <w:top w:val="single" w:sz="4" w:space="0" w:color="E0C060"/>
              <w:left w:val="single" w:sz="4" w:space="0" w:color="E0C060"/>
              <w:bottom w:val="single" w:sz="4" w:space="0" w:color="E0C060"/>
              <w:right w:val="single" w:sz="4" w:space="0" w:color="E0C060"/>
            </w:tcBorders>
          </w:tcPr>
          <w:p>
            <w:pPr>
              <w:spacing w:before="60" w:after="60"/>
            </w:pPr>
            <w:r>
              <w:rPr>
                <w:rFonts w:ascii="Calibri" w:hAnsi="Calibri"/>
                <w:b w:val="0"/>
                <w:color w:val="1A1A2E"/>
                <w:sz w:val="18"/>
              </w:rPr>
              <w:t>Demographics uses '$35K–$50K'. Rental uses '&lt;$50K' (cumulative threshold). These overlap but are not identical. The dashboard handles this, but it is important to note when comparing numbers across files.</w:t>
            </w:r>
          </w:p>
        </w:tc>
      </w:tr>
      <w:tr>
        <w:tc>
          <w:tcPr>
            <w:tcW w:type="dxa" w:w="2592"/>
            <w:shd w:val="clear" w:color="auto" w:fill="FFF8E8"/>
            <w:tcBorders>
              <w:top w:val="single" w:sz="4" w:space="0" w:color="E0C060"/>
              <w:left w:val="single" w:sz="4" w:space="0" w:color="E0C060"/>
              <w:bottom w:val="single" w:sz="4" w:space="0" w:color="E0C060"/>
              <w:right w:val="single" w:sz="4" w:space="0" w:color="E0C060"/>
            </w:tcBorders>
          </w:tcPr>
          <w:p>
            <w:pPr>
              <w:spacing w:before="60" w:after="60"/>
            </w:pPr>
            <w:r>
              <w:rPr>
                <w:rFonts w:ascii="Calibri" w:hAnsi="Calibri"/>
                <w:b/>
                <w:color w:val="1B3A6B"/>
                <w:sz w:val="18"/>
              </w:rPr>
              <w:t>Years covered differ by table</w:t>
            </w:r>
          </w:p>
        </w:tc>
        <w:tc>
          <w:tcPr>
            <w:tcW w:type="dxa" w:w="7920"/>
            <w:shd w:val="clear" w:color="auto" w:fill="FFF8E8"/>
            <w:tcBorders>
              <w:top w:val="single" w:sz="4" w:space="0" w:color="E0C060"/>
              <w:left w:val="single" w:sz="4" w:space="0" w:color="E0C060"/>
              <w:bottom w:val="single" w:sz="4" w:space="0" w:color="E0C060"/>
              <w:right w:val="single" w:sz="4" w:space="0" w:color="E0C060"/>
            </w:tcBorders>
          </w:tcPr>
          <w:p>
            <w:pPr>
              <w:spacing w:before="60" w:after="60"/>
            </w:pPr>
            <w:r>
              <w:rPr>
                <w:rFonts w:ascii="Calibri" w:hAnsi="Calibri"/>
                <w:b w:val="0"/>
                <w:color w:val="1A1A2E"/>
                <w:sz w:val="18"/>
              </w:rPr>
              <w:t>Some tables run 2013–2024, others 2015–2024, others show only 3 snapshot years (2014/2019/2024). You cannot always build a continuous trend from every variable.</w:t>
            </w:r>
          </w:p>
        </w:tc>
      </w:tr>
      <w:tr>
        <w:tc>
          <w:tcPr>
            <w:tcW w:type="dxa" w:w="2592"/>
            <w:shd w:val="clear" w:color="auto" w:fill="FFFDF5"/>
            <w:tcBorders>
              <w:top w:val="single" w:sz="4" w:space="0" w:color="E0C060"/>
              <w:left w:val="single" w:sz="4" w:space="0" w:color="E0C060"/>
              <w:bottom w:val="single" w:sz="4" w:space="0" w:color="E0C060"/>
              <w:right w:val="single" w:sz="4" w:space="0" w:color="E0C060"/>
            </w:tcBorders>
          </w:tcPr>
          <w:p>
            <w:pPr>
              <w:spacing w:before="60" w:after="60"/>
            </w:pPr>
            <w:r>
              <w:rPr>
                <w:rFonts w:ascii="Calibri" w:hAnsi="Calibri"/>
                <w:b/>
                <w:color w:val="1B3A6B"/>
                <w:sz w:val="18"/>
              </w:rPr>
              <w:t>No sub-county geography</w:t>
            </w:r>
          </w:p>
        </w:tc>
        <w:tc>
          <w:tcPr>
            <w:tcW w:type="dxa" w:w="7920"/>
            <w:shd w:val="clear" w:color="auto" w:fill="FFFDF5"/>
            <w:tcBorders>
              <w:top w:val="single" w:sz="4" w:space="0" w:color="E0C060"/>
              <w:left w:val="single" w:sz="4" w:space="0" w:color="E0C060"/>
              <w:bottom w:val="single" w:sz="4" w:space="0" w:color="E0C060"/>
              <w:right w:val="single" w:sz="4" w:space="0" w:color="E0C060"/>
            </w:tcBorders>
          </w:tcPr>
          <w:p>
            <w:pPr>
              <w:spacing w:before="60" w:after="60"/>
            </w:pPr>
            <w:r>
              <w:rPr>
                <w:rFonts w:ascii="Calibri" w:hAnsi="Calibri"/>
                <w:b w:val="0"/>
                <w:color w:val="1A1A2E"/>
                <w:sz w:val="18"/>
              </w:rPr>
              <w:t>All data is at the Wake County level. There is no census tract or zip code breakdown in these files — meaning the data cannot show which neighbourhoods are worst affected.</w:t>
            </w:r>
          </w:p>
        </w:tc>
      </w:tr>
      <w:tr>
        <w:tc>
          <w:tcPr>
            <w:tcW w:type="dxa" w:w="2592"/>
            <w:shd w:val="clear" w:color="auto" w:fill="FFF8E8"/>
            <w:tcBorders>
              <w:top w:val="single" w:sz="4" w:space="0" w:color="E0C060"/>
              <w:left w:val="single" w:sz="4" w:space="0" w:color="E0C060"/>
              <w:bottom w:val="single" w:sz="4" w:space="0" w:color="E0C060"/>
              <w:right w:val="single" w:sz="4" w:space="0" w:color="E0C060"/>
            </w:tcBorders>
          </w:tcPr>
          <w:p>
            <w:pPr>
              <w:spacing w:before="60" w:after="60"/>
            </w:pPr>
            <w:r>
              <w:rPr>
                <w:rFonts w:ascii="Calibri" w:hAnsi="Calibri"/>
                <w:b/>
                <w:color w:val="1B3A6B"/>
                <w:sz w:val="18"/>
              </w:rPr>
              <w:t>Cumulative vs. band income thresholds</w:t>
            </w:r>
          </w:p>
        </w:tc>
        <w:tc>
          <w:tcPr>
            <w:tcW w:type="dxa" w:w="7920"/>
            <w:shd w:val="clear" w:color="auto" w:fill="FFF8E8"/>
            <w:tcBorders>
              <w:top w:val="single" w:sz="4" w:space="0" w:color="E0C060"/>
              <w:left w:val="single" w:sz="4" w:space="0" w:color="E0C060"/>
              <w:bottom w:val="single" w:sz="4" w:space="0" w:color="E0C060"/>
              <w:right w:val="single" w:sz="4" w:space="0" w:color="E0C060"/>
            </w:tcBorders>
          </w:tcPr>
          <w:p>
            <w:pPr>
              <w:spacing w:before="60" w:after="60"/>
            </w:pPr>
            <w:r>
              <w:rPr>
                <w:rFonts w:ascii="Calibri" w:hAnsi="Calibri"/>
                <w:b w:val="0"/>
                <w:color w:val="1A1A2E"/>
                <w:sz w:val="18"/>
              </w:rPr>
              <w:t>The rental deficit figures use cumulative thresholds (&lt;$35K means all households earning up to $35K). Demographics income bands are ranges ($20K–$35K). The numbers are not directly comparable without conversion.</w:t>
            </w:r>
          </w:p>
        </w:tc>
      </w:tr>
    </w:tbl>
    <w:p/>
    <w:p>
      <w:pPr>
        <w:spacing w:before="160"/>
        <w:shd w:val="clear" w:color="auto" w:fill="1B3A6B"/>
        <w:jc w:val="center"/>
      </w:pPr>
      <w:r>
        <w:rPr>
          <w:rFonts w:ascii="Calibri" w:hAnsi="Calibri"/>
          <w:i/>
          <w:color w:val="FFFFFF"/>
          <w:sz w:val="16"/>
        </w:rPr>
        <w:t>Section 7 added April 2026  —  Data model covers all 26 tables across 4 wakehousingdata.org Excel files</w:t>
      </w:r>
    </w:p>
    <w:sectPr w:rsidR="00CE47B1" w:rsidRPr="00CE47B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6881275"/>
    <w:multiLevelType w:val="multilevel"/>
    <w:tmpl w:val="A6F0E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8162744">
    <w:abstractNumId w:val="8"/>
  </w:num>
  <w:num w:numId="2" w16cid:durableId="1862931765">
    <w:abstractNumId w:val="6"/>
  </w:num>
  <w:num w:numId="3" w16cid:durableId="823163172">
    <w:abstractNumId w:val="5"/>
  </w:num>
  <w:num w:numId="4" w16cid:durableId="811823014">
    <w:abstractNumId w:val="4"/>
  </w:num>
  <w:num w:numId="5" w16cid:durableId="1254901578">
    <w:abstractNumId w:val="7"/>
  </w:num>
  <w:num w:numId="6" w16cid:durableId="407725997">
    <w:abstractNumId w:val="3"/>
  </w:num>
  <w:num w:numId="7" w16cid:durableId="1275021605">
    <w:abstractNumId w:val="2"/>
  </w:num>
  <w:num w:numId="8" w16cid:durableId="1078675644">
    <w:abstractNumId w:val="1"/>
  </w:num>
  <w:num w:numId="9" w16cid:durableId="1065223553">
    <w:abstractNumId w:val="0"/>
  </w:num>
  <w:num w:numId="10" w16cid:durableId="3274448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6BAB"/>
    <w:rsid w:val="00A64F45"/>
    <w:rsid w:val="00AA1D8D"/>
    <w:rsid w:val="00B47730"/>
    <w:rsid w:val="00CB0664"/>
    <w:rsid w:val="00CE47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6356ED"/>
  <w14:defaultImageDpi w14:val="300"/>
  <w15:docId w15:val="{6FCAB651-9893-5449-938C-CD490DE6D4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CE47B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1808</Words>
  <Characters>10312</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Yamini Bellam</cp:lastModifiedBy>
  <cp:revision>2</cp:revision>
  <dcterms:created xsi:type="dcterms:W3CDTF">2013-12-23T23:15:00Z</dcterms:created>
  <dcterms:modified xsi:type="dcterms:W3CDTF">2026-04-12T21:51:00Z</dcterms:modified>
  <cp:category/>
</cp:coreProperties>
</file>