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before="400" w:after="0"/>
        <w:jc w:val="center"/>
      </w:pPr>
      <w:r>
        <w:rPr>
          <w:rFonts w:ascii="Arial" w:cs="Arial" w:eastAsia="Arial" w:hAnsi="Arial"/>
          <w:b/>
          <w:bCs/>
          <w:caps/>
          <w:color w:val="FFFFFF"/>
          <w:sz w:val="52"/>
          <w:szCs w:val="52"/>
        </w:rPr>
        <w:t xml:space="preserve">CMO QUALITY AUDIT REPORT</w:t>
      </w:r>
    </w:p>
    <w:p>
      <w:pPr>
        <w:shd w:fill="1F3864" w:val="clear"/>
        <w:spacing w:before="0" w:after="0"/>
        <w:jc w:val="center"/>
      </w:pPr>
      <w:r>
        <w:rPr>
          <w:rFonts w:ascii="Arial" w:cs="Arial" w:eastAsia="Arial" w:hAnsi="Arial"/>
          <w:color w:val="D6E4F0"/>
          <w:sz w:val="26"/>
          <w:szCs w:val="26"/>
        </w:rPr>
        <w:t xml:space="preserve">Contract Manufacturing Organisation Evaluation</w:t>
      </w:r>
    </w:p>
    <w:p>
      <w:pPr>
        <w:shd w:fill="1F3864" w:val="clear"/>
        <w:spacing w:before="0" w:after="60"/>
        <w:jc w:val="center"/>
      </w:pPr>
      <w:r>
        <w:rPr>
          <w:sz w:val="20"/>
          <w:szCs w:val="20"/>
        </w:rPr>
        <w:t xml:space="preserve"> </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6"/>
              <w:left w:val="single" w:color="AAAAAA" w:sz="6"/>
              <w:bottom w:val="single" w:color="AAAAAA" w:sz="6"/>
              <w:right w:val="single" w:color="AAAAAA" w:sz="6"/>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Auditee</w:t>
            </w:r>
          </w:p>
        </w:tc>
        <w:tc>
          <w:tcPr>
            <w:tcW w:type="dxa" w:w="6560"/>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tcPr>
          <w:p>
            <w:r>
              <w:rPr>
                <w:rFonts w:ascii="Arial" w:cs="Arial" w:eastAsia="Arial" w:hAnsi="Arial"/>
                <w:sz w:val="18"/>
                <w:szCs w:val="18"/>
              </w:rPr>
              <w:t xml:space="preserve">PPFK PROFARM Sp. z o.o.</w:t>
            </w:r>
          </w:p>
        </w:tc>
      </w:tr>
      <w:tr>
        <w:tc>
          <w:tcPr>
            <w:tcW w:type="dxa" w:w="2800"/>
            <w:tcBorders>
              <w:top w:val="single" w:color="AAAAAA" w:sz="6"/>
              <w:left w:val="single" w:color="AAAAAA" w:sz="6"/>
              <w:bottom w:val="single" w:color="AAAAAA" w:sz="6"/>
              <w:right w:val="single" w:color="AAAAAA" w:sz="6"/>
            </w:tcBorders>
            <w:shd w:fill="E8F4FD" w:val="clear"/>
            <w:tcMar>
              <w:top w:type="dxa" w:w="80"/>
              <w:left w:type="dxa" w:w="120"/>
              <w:bottom w:type="dxa" w:w="80"/>
              <w:right w:type="dxa" w:w="120"/>
            </w:tcMar>
          </w:tcPr>
          <w:p>
            <w:r>
              <w:rPr>
                <w:rFonts w:ascii="Arial" w:cs="Arial" w:eastAsia="Arial" w:hAnsi="Arial"/>
                <w:b/>
                <w:bCs/>
                <w:color w:val="1F3864"/>
                <w:sz w:val="18"/>
                <w:szCs w:val="18"/>
              </w:rPr>
              <w:t xml:space="preserve">Audit Site Address</w:t>
            </w:r>
          </w:p>
        </w:tc>
        <w:tc>
          <w:tcPr>
            <w:tcW w:type="dxa" w:w="6560"/>
            <w:tcBorders>
              <w:top w:val="single" w:color="AAAAAA" w:sz="6"/>
              <w:left w:val="single" w:color="AAAAAA" w:sz="6"/>
              <w:bottom w:val="single" w:color="AAAAAA" w:sz="6"/>
              <w:right w:val="single" w:color="AAAAAA" w:sz="6"/>
            </w:tcBorders>
            <w:shd w:fill="F2F2F2" w:val="clear"/>
            <w:tcMar>
              <w:top w:type="dxa" w:w="80"/>
              <w:left w:type="dxa" w:w="120"/>
              <w:bottom w:type="dxa" w:w="80"/>
              <w:right w:type="dxa" w:w="120"/>
            </w:tcMar>
          </w:tcPr>
          <w:p>
            <w:r>
              <w:rPr>
                <w:rFonts w:ascii="Arial" w:cs="Arial" w:eastAsia="Arial" w:hAnsi="Arial"/>
                <w:sz w:val="18"/>
                <w:szCs w:val="18"/>
              </w:rPr>
              <w:t xml:space="preserve">ul. Słupska 18, 84-300 Lębork, Poland</w:t>
            </w:r>
          </w:p>
        </w:tc>
      </w:tr>
      <w:tr>
        <w:tc>
          <w:tcPr>
            <w:tcW w:type="dxa" w:w="2800"/>
            <w:tcBorders>
              <w:top w:val="single" w:color="AAAAAA" w:sz="6"/>
              <w:left w:val="single" w:color="AAAAAA" w:sz="6"/>
              <w:bottom w:val="single" w:color="AAAAAA" w:sz="6"/>
              <w:right w:val="single" w:color="AAAAAA" w:sz="6"/>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Audit Date</w:t>
            </w:r>
          </w:p>
        </w:tc>
        <w:tc>
          <w:tcPr>
            <w:tcW w:type="dxa" w:w="6560"/>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tcPr>
          <w:p>
            <w:r>
              <w:rPr>
                <w:rFonts w:ascii="Arial" w:cs="Arial" w:eastAsia="Arial" w:hAnsi="Arial"/>
                <w:sz w:val="18"/>
                <w:szCs w:val="18"/>
              </w:rPr>
              <w:t xml:space="preserve">17 November 2025</w:t>
            </w:r>
          </w:p>
        </w:tc>
      </w:tr>
      <w:tr>
        <w:tc>
          <w:tcPr>
            <w:tcW w:type="dxa" w:w="2800"/>
            <w:tcBorders>
              <w:top w:val="single" w:color="AAAAAA" w:sz="6"/>
              <w:left w:val="single" w:color="AAAAAA" w:sz="6"/>
              <w:bottom w:val="single" w:color="AAAAAA" w:sz="6"/>
              <w:right w:val="single" w:color="AAAAAA" w:sz="6"/>
            </w:tcBorders>
            <w:shd w:fill="E8F4FD" w:val="clear"/>
            <w:tcMar>
              <w:top w:type="dxa" w:w="80"/>
              <w:left w:type="dxa" w:w="120"/>
              <w:bottom w:type="dxa" w:w="80"/>
              <w:right w:type="dxa" w:w="120"/>
            </w:tcMar>
          </w:tcPr>
          <w:p>
            <w:r>
              <w:rPr>
                <w:rFonts w:ascii="Arial" w:cs="Arial" w:eastAsia="Arial" w:hAnsi="Arial"/>
                <w:b/>
                <w:bCs/>
                <w:color w:val="1F3864"/>
                <w:sz w:val="18"/>
                <w:szCs w:val="18"/>
              </w:rPr>
              <w:t xml:space="preserve">Report Date</w:t>
            </w:r>
          </w:p>
        </w:tc>
        <w:tc>
          <w:tcPr>
            <w:tcW w:type="dxa" w:w="6560"/>
            <w:tcBorders>
              <w:top w:val="single" w:color="AAAAAA" w:sz="6"/>
              <w:left w:val="single" w:color="AAAAAA" w:sz="6"/>
              <w:bottom w:val="single" w:color="AAAAAA" w:sz="6"/>
              <w:right w:val="single" w:color="AAAAAA" w:sz="6"/>
            </w:tcBorders>
            <w:shd w:fill="F2F2F2" w:val="clear"/>
            <w:tcMar>
              <w:top w:type="dxa" w:w="80"/>
              <w:left w:type="dxa" w:w="120"/>
              <w:bottom w:type="dxa" w:w="80"/>
              <w:right w:type="dxa" w:w="120"/>
            </w:tcMar>
          </w:tcPr>
          <w:p>
            <w:r>
              <w:rPr>
                <w:rFonts w:ascii="Arial" w:cs="Arial" w:eastAsia="Arial" w:hAnsi="Arial"/>
                <w:sz w:val="18"/>
                <w:szCs w:val="18"/>
              </w:rPr>
              <w:t xml:space="preserve">November 2025</w:t>
            </w:r>
          </w:p>
        </w:tc>
      </w:tr>
      <w:tr>
        <w:tc>
          <w:tcPr>
            <w:tcW w:type="dxa" w:w="2800"/>
            <w:tcBorders>
              <w:top w:val="single" w:color="AAAAAA" w:sz="6"/>
              <w:left w:val="single" w:color="AAAAAA" w:sz="6"/>
              <w:bottom w:val="single" w:color="AAAAAA" w:sz="6"/>
              <w:right w:val="single" w:color="AAAAAA" w:sz="6"/>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Audit Type</w:t>
            </w:r>
          </w:p>
        </w:tc>
        <w:tc>
          <w:tcPr>
            <w:tcW w:type="dxa" w:w="6560"/>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tcPr>
          <w:p>
            <w:r>
              <w:rPr>
                <w:rFonts w:ascii="Arial" w:cs="Arial" w:eastAsia="Arial" w:hAnsi="Arial"/>
                <w:sz w:val="18"/>
                <w:szCs w:val="18"/>
              </w:rPr>
              <w:t xml:space="preserve">Routine Surveillance / CMO Qualification Audit</w:t>
            </w:r>
          </w:p>
        </w:tc>
      </w:tr>
      <w:tr>
        <w:tc>
          <w:tcPr>
            <w:tcW w:type="dxa" w:w="2800"/>
            <w:tcBorders>
              <w:top w:val="single" w:color="AAAAAA" w:sz="6"/>
              <w:left w:val="single" w:color="AAAAAA" w:sz="6"/>
              <w:bottom w:val="single" w:color="AAAAAA" w:sz="6"/>
              <w:right w:val="single" w:color="AAAAAA" w:sz="6"/>
            </w:tcBorders>
            <w:shd w:fill="E8F4FD" w:val="clear"/>
            <w:tcMar>
              <w:top w:type="dxa" w:w="80"/>
              <w:left w:type="dxa" w:w="120"/>
              <w:bottom w:type="dxa" w:w="80"/>
              <w:right w:type="dxa" w:w="120"/>
            </w:tcMar>
          </w:tcPr>
          <w:p>
            <w:r>
              <w:rPr>
                <w:rFonts w:ascii="Arial" w:cs="Arial" w:eastAsia="Arial" w:hAnsi="Arial"/>
                <w:b/>
                <w:bCs/>
                <w:color w:val="1F3864"/>
                <w:sz w:val="18"/>
                <w:szCs w:val="18"/>
              </w:rPr>
              <w:t xml:space="preserve">Lead Auditor</w:t>
            </w:r>
          </w:p>
        </w:tc>
        <w:tc>
          <w:tcPr>
            <w:tcW w:type="dxa" w:w="6560"/>
            <w:tcBorders>
              <w:top w:val="single" w:color="AAAAAA" w:sz="6"/>
              <w:left w:val="single" w:color="AAAAAA" w:sz="6"/>
              <w:bottom w:val="single" w:color="AAAAAA" w:sz="6"/>
              <w:right w:val="single" w:color="AAAAAA" w:sz="6"/>
            </w:tcBorders>
            <w:shd w:fill="F2F2F2" w:val="clear"/>
            <w:tcMar>
              <w:top w:type="dxa" w:w="80"/>
              <w:left w:type="dxa" w:w="120"/>
              <w:bottom w:type="dxa" w:w="80"/>
              <w:right w:type="dxa" w:w="120"/>
            </w:tcMar>
          </w:tcPr>
          <w:p>
            <w:r>
              <w:rPr>
                <w:rFonts w:ascii="Arial" w:cs="Arial" w:eastAsia="Arial" w:hAnsi="Arial"/>
                <w:sz w:val="18"/>
                <w:szCs w:val="18"/>
              </w:rPr>
              <w:t xml:space="preserve">Mustapha Sahel (EmergoPharm)</w:t>
            </w:r>
          </w:p>
        </w:tc>
      </w:tr>
      <w:tr>
        <w:tc>
          <w:tcPr>
            <w:tcW w:type="dxa" w:w="2800"/>
            <w:tcBorders>
              <w:top w:val="single" w:color="AAAAAA" w:sz="6"/>
              <w:left w:val="single" w:color="AAAAAA" w:sz="6"/>
              <w:bottom w:val="single" w:color="AAAAAA" w:sz="6"/>
              <w:right w:val="single" w:color="AAAAAA" w:sz="6"/>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Audit Team</w:t>
            </w:r>
          </w:p>
        </w:tc>
        <w:tc>
          <w:tcPr>
            <w:tcW w:type="dxa" w:w="6560"/>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tcPr>
          <w:p>
            <w:r>
              <w:rPr>
                <w:rFonts w:ascii="Arial" w:cs="Arial" w:eastAsia="Arial" w:hAnsi="Arial"/>
                <w:sz w:val="18"/>
                <w:szCs w:val="18"/>
              </w:rPr>
              <w:t xml:space="preserve">Mustapha Sahel; Dorota Radziwonka (EmergoPharm)</w:t>
            </w:r>
          </w:p>
        </w:tc>
      </w:tr>
      <w:tr>
        <w:tc>
          <w:tcPr>
            <w:tcW w:type="dxa" w:w="2800"/>
            <w:tcBorders>
              <w:top w:val="single" w:color="AAAAAA" w:sz="6"/>
              <w:left w:val="single" w:color="AAAAAA" w:sz="6"/>
              <w:bottom w:val="single" w:color="AAAAAA" w:sz="6"/>
              <w:right w:val="single" w:color="AAAAAA" w:sz="6"/>
            </w:tcBorders>
            <w:shd w:fill="E8F4FD" w:val="clear"/>
            <w:tcMar>
              <w:top w:type="dxa" w:w="80"/>
              <w:left w:type="dxa" w:w="120"/>
              <w:bottom w:type="dxa" w:w="80"/>
              <w:right w:type="dxa" w:w="120"/>
            </w:tcMar>
          </w:tcPr>
          <w:p>
            <w:r>
              <w:rPr>
                <w:rFonts w:ascii="Arial" w:cs="Arial" w:eastAsia="Arial" w:hAnsi="Arial"/>
                <w:b/>
                <w:bCs/>
                <w:color w:val="1F3864"/>
                <w:sz w:val="18"/>
                <w:szCs w:val="18"/>
              </w:rPr>
              <w:t xml:space="preserve">Auditee Representatives</w:t>
            </w:r>
          </w:p>
        </w:tc>
        <w:tc>
          <w:tcPr>
            <w:tcW w:type="dxa" w:w="6560"/>
            <w:tcBorders>
              <w:top w:val="single" w:color="AAAAAA" w:sz="6"/>
              <w:left w:val="single" w:color="AAAAAA" w:sz="6"/>
              <w:bottom w:val="single" w:color="AAAAAA" w:sz="6"/>
              <w:right w:val="single" w:color="AAAAAA" w:sz="6"/>
            </w:tcBorders>
            <w:shd w:fill="F2F2F2" w:val="clear"/>
            <w:tcMar>
              <w:top w:type="dxa" w:w="80"/>
              <w:left w:type="dxa" w:w="120"/>
              <w:bottom w:type="dxa" w:w="80"/>
              <w:right w:type="dxa" w:w="120"/>
            </w:tcMar>
          </w:tcPr>
          <w:p>
            <w:r>
              <w:rPr>
                <w:rFonts w:ascii="Arial" w:cs="Arial" w:eastAsia="Arial" w:hAnsi="Arial"/>
                <w:sz w:val="18"/>
                <w:szCs w:val="18"/>
              </w:rPr>
              <w:t xml:space="preserve">Dominika Schroeder (QA Specialist); Klaudia Stencel-Furman (Production Manager); Malgorzata Zelewska (QC Manager); Malgorzata Zelenska (QC)</w:t>
            </w:r>
          </w:p>
        </w:tc>
      </w:tr>
      <w:tr>
        <w:tc>
          <w:tcPr>
            <w:tcW w:type="dxa" w:w="2800"/>
            <w:tcBorders>
              <w:top w:val="single" w:color="AAAAAA" w:sz="6"/>
              <w:left w:val="single" w:color="AAAAAA" w:sz="6"/>
              <w:bottom w:val="single" w:color="AAAAAA" w:sz="6"/>
              <w:right w:val="single" w:color="AAAAAA" w:sz="6"/>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Applicable Standard</w:t>
            </w:r>
          </w:p>
        </w:tc>
        <w:tc>
          <w:tcPr>
            <w:tcW w:type="dxa" w:w="6560"/>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tcPr>
          <w:p>
            <w:r>
              <w:rPr>
                <w:rFonts w:ascii="Arial" w:cs="Arial" w:eastAsia="Arial" w:hAnsi="Arial"/>
                <w:sz w:val="18"/>
                <w:szCs w:val="18"/>
              </w:rPr>
              <w:t xml:space="preserve">EU GMP Volume 4 (Annex 1 – Non-sterile products); Polish GMP Regulation (Minister of Health, 09.11.2015); ICH Q9; ICH Q10</w:t>
            </w:r>
          </w:p>
        </w:tc>
      </w:tr>
      <w:tr>
        <w:tc>
          <w:tcPr>
            <w:tcW w:type="dxa" w:w="2800"/>
            <w:tcBorders>
              <w:top w:val="single" w:color="AAAAAA" w:sz="6"/>
              <w:left w:val="single" w:color="AAAAAA" w:sz="6"/>
              <w:bottom w:val="single" w:color="AAAAAA" w:sz="6"/>
              <w:right w:val="single" w:color="AAAAAA" w:sz="6"/>
            </w:tcBorders>
            <w:shd w:fill="E8F4FD" w:val="clear"/>
            <w:tcMar>
              <w:top w:type="dxa" w:w="80"/>
              <w:left w:type="dxa" w:w="120"/>
              <w:bottom w:type="dxa" w:w="80"/>
              <w:right w:type="dxa" w:w="120"/>
            </w:tcMar>
          </w:tcPr>
          <w:p>
            <w:r>
              <w:rPr>
                <w:rFonts w:ascii="Arial" w:cs="Arial" w:eastAsia="Arial" w:hAnsi="Arial"/>
                <w:b/>
                <w:bCs/>
                <w:color w:val="1F3864"/>
                <w:sz w:val="18"/>
                <w:szCs w:val="18"/>
              </w:rPr>
              <w:t xml:space="preserve">Product in Scope</w:t>
            </w:r>
          </w:p>
        </w:tc>
        <w:tc>
          <w:tcPr>
            <w:tcW w:type="dxa" w:w="6560"/>
            <w:tcBorders>
              <w:top w:val="single" w:color="AAAAAA" w:sz="6"/>
              <w:left w:val="single" w:color="AAAAAA" w:sz="6"/>
              <w:bottom w:val="single" w:color="AAAAAA" w:sz="6"/>
              <w:right w:val="single" w:color="AAAAAA" w:sz="6"/>
            </w:tcBorders>
            <w:shd w:fill="F2F2F2" w:val="clear"/>
            <w:tcMar>
              <w:top w:type="dxa" w:w="80"/>
              <w:left w:type="dxa" w:w="120"/>
              <w:bottom w:type="dxa" w:w="80"/>
              <w:right w:type="dxa" w:w="120"/>
            </w:tcMar>
          </w:tcPr>
          <w:p>
            <w:r>
              <w:rPr>
                <w:rFonts w:ascii="Arial" w:cs="Arial" w:eastAsia="Arial" w:hAnsi="Arial"/>
                <w:sz w:val="18"/>
                <w:szCs w:val="18"/>
              </w:rPr>
              <w:t xml:space="preserve">Dossantos (Vitamin D3 Food Supplement – Oral Oil Solution)</w:t>
            </w:r>
          </w:p>
        </w:tc>
      </w:tr>
      <w:tr>
        <w:tc>
          <w:tcPr>
            <w:tcW w:type="dxa" w:w="2800"/>
            <w:tcBorders>
              <w:top w:val="single" w:color="AAAAAA" w:sz="6"/>
              <w:left w:val="single" w:color="AAAAAA" w:sz="6"/>
              <w:bottom w:val="single" w:color="AAAAAA" w:sz="6"/>
              <w:right w:val="single" w:color="AAAAAA" w:sz="6"/>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Report Reference</w:t>
            </w:r>
          </w:p>
        </w:tc>
        <w:tc>
          <w:tcPr>
            <w:tcW w:type="dxa" w:w="6560"/>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tcPr>
          <w:p>
            <w:r>
              <w:rPr>
                <w:rFonts w:ascii="Arial" w:cs="Arial" w:eastAsia="Arial" w:hAnsi="Arial"/>
                <w:sz w:val="18"/>
                <w:szCs w:val="18"/>
              </w:rPr>
              <w:t xml:space="preserve">AUD-PROFARM-2025-001</w:t>
            </w:r>
          </w:p>
        </w:tc>
      </w:tr>
      <w:tr>
        <w:tc>
          <w:tcPr>
            <w:tcW w:type="dxa" w:w="2800"/>
            <w:tcBorders>
              <w:top w:val="single" w:color="AAAAAA" w:sz="6"/>
              <w:left w:val="single" w:color="AAAAAA" w:sz="6"/>
              <w:bottom w:val="single" w:color="AAAAAA" w:sz="6"/>
              <w:right w:val="single" w:color="AAAAAA" w:sz="6"/>
            </w:tcBorders>
            <w:shd w:fill="E8F4FD" w:val="clear"/>
            <w:tcMar>
              <w:top w:type="dxa" w:w="80"/>
              <w:left w:type="dxa" w:w="120"/>
              <w:bottom w:type="dxa" w:w="80"/>
              <w:right w:type="dxa" w:w="120"/>
            </w:tcMar>
          </w:tcPr>
          <w:p>
            <w:r>
              <w:rPr>
                <w:rFonts w:ascii="Arial" w:cs="Arial" w:eastAsia="Arial" w:hAnsi="Arial"/>
                <w:b/>
                <w:bCs/>
                <w:color w:val="1F3864"/>
                <w:sz w:val="18"/>
                <w:szCs w:val="18"/>
              </w:rPr>
              <w:t xml:space="preserve">Audit Outcome</w:t>
            </w:r>
          </w:p>
        </w:tc>
        <w:tc>
          <w:tcPr>
            <w:tcW w:type="dxa" w:w="6560"/>
            <w:tcBorders>
              <w:top w:val="single" w:color="AAAAAA" w:sz="6"/>
              <w:left w:val="single" w:color="AAAAAA" w:sz="6"/>
              <w:bottom w:val="single" w:color="AAAAAA" w:sz="6"/>
              <w:right w:val="single" w:color="AAAAAA" w:sz="6"/>
            </w:tcBorders>
            <w:shd w:fill="F2F2F2" w:val="clear"/>
            <w:tcMar>
              <w:top w:type="dxa" w:w="80"/>
              <w:left w:type="dxa" w:w="120"/>
              <w:bottom w:type="dxa" w:w="80"/>
              <w:right w:type="dxa" w:w="120"/>
            </w:tcMar>
          </w:tcPr>
          <w:p>
            <w:r>
              <w:rPr>
                <w:rFonts w:ascii="Arial" w:cs="Arial" w:eastAsia="Arial" w:hAnsi="Arial"/>
                <w:sz w:val="18"/>
                <w:szCs w:val="18"/>
              </w:rPr>
              <w:t xml:space="preserve">Acceptable with Conditions (4 Major Observations, 1 Recommendation)</w:t>
            </w:r>
          </w:p>
        </w:tc>
      </w:tr>
    </w:tbl>
    <w:p>
      <w:pPr>
        <w:spacing w:before="80" w:after="80"/>
      </w:pPr>
      <w:r>
        <w:t xml:space="preserve"/>
      </w:r>
    </w:p>
    <w:p>
      <w:pPr>
        <w:spacing w:before="80" w:after="80"/>
      </w:pPr>
      <w:r>
        <w:t xml:space="preserve"/>
      </w:r>
    </w:p>
    <w:p>
      <w:r>
        <w:br w:type="page"/>
      </w:r>
    </w:p>
    <w:p>
      <w:pPr>
        <w:pStyle w:val="Heading1"/>
        <w:shd w:fill="1F3864" w:val="clear"/>
        <w:spacing w:before="200" w:after="100"/>
        <w:ind w:left="100"/>
      </w:pPr>
      <w:r>
        <w:rPr>
          <w:rFonts w:ascii="Arial" w:cs="Arial" w:eastAsia="Arial" w:hAnsi="Arial"/>
          <w:b/>
          <w:bCs/>
          <w:color w:val="FFFFFF"/>
          <w:sz w:val="28"/>
          <w:szCs w:val="28"/>
        </w:rPr>
        <w:t xml:space="preserve">SECTION 1: GENERAL INFORMATION</w:t>
      </w:r>
    </w:p>
    <w:p>
      <w:pPr>
        <w:spacing w:before="80" w:after="80"/>
      </w:pPr>
      <w:r>
        <w:t xml:space="preserve"/>
      </w:r>
    </w:p>
    <w:p>
      <w:pPr>
        <w:pStyle w:val="Heading2"/>
        <w:shd w:fill="2E75B6" w:val="clear"/>
        <w:spacing w:before="200" w:after="100"/>
        <w:ind w:left="100"/>
      </w:pPr>
      <w:r>
        <w:rPr>
          <w:rFonts w:ascii="Arial" w:cs="Arial" w:eastAsia="Arial" w:hAnsi="Arial"/>
          <w:b/>
          <w:bCs/>
          <w:color w:val="FFFFFF"/>
          <w:sz w:val="24"/>
          <w:szCs w:val="24"/>
        </w:rPr>
        <w:t xml:space="preserve">1.1 Audit Title &amp; Scope</w:t>
      </w:r>
    </w:p>
    <w:p>
      <w:pPr>
        <w:spacing w:before="60" w:after="60"/>
      </w:pPr>
      <w:r>
        <w:rPr>
          <w:rFonts w:ascii="Arial" w:cs="Arial" w:eastAsia="Arial" w:hAnsi="Arial"/>
          <w:sz w:val="20"/>
          <w:szCs w:val="20"/>
        </w:rPr>
        <w:t xml:space="preserve">Audit Title: PPFK PROFARM Sp. z o.o. – CMO Quality Audit 2025</w:t>
      </w:r>
    </w:p>
    <w:p>
      <w:pPr>
        <w:spacing w:before="60" w:after="60"/>
      </w:pPr>
      <w:r>
        <w:rPr>
          <w:rFonts w:ascii="Arial" w:cs="Arial" w:eastAsia="Arial" w:hAnsi="Arial"/>
          <w:sz w:val="20"/>
          <w:szCs w:val="20"/>
        </w:rPr>
        <w:t xml:space="preserve">This audit was conducted to verify the compliance of PPFK PROFARM Sp. z o.o. (hereinafter 'PROFARM') with applicable regulatory requirements under EU GMP Volume 4 and the Polish Minister of Health Regulation on GMP (09.11.2015), in respect of services and products supplied to EmergoPharm Sp. z o.o. Sp. K.</w:t>
      </w:r>
    </w:p>
    <w:p>
      <w:pPr>
        <w:spacing w:before="60" w:after="60"/>
      </w:pPr>
      <w:r>
        <w:rPr>
          <w:rFonts w:ascii="Arial" w:cs="Arial" w:eastAsia="Arial" w:hAnsi="Arial"/>
          <w:sz w:val="20"/>
          <w:szCs w:val="20"/>
        </w:rPr>
        <w:t xml:space="preserve">The scope focused on the manufacture, testing, storage, and quality management of Dossantos – a Vitamin D3 food supplement (oral oil solution) – and the wider Quality Management System (QMS) underpinning all products manufactured at the site.</w:t>
      </w:r>
    </w:p>
    <w:p>
      <w:pPr>
        <w:spacing w:before="80" w:after="80"/>
      </w:pPr>
      <w:r>
        <w:t xml:space="preserve"/>
      </w:r>
    </w:p>
    <w:p>
      <w:pPr>
        <w:pStyle w:val="Heading2"/>
        <w:shd w:fill="2E75B6" w:val="clear"/>
        <w:spacing w:before="200" w:after="100"/>
        <w:ind w:left="100"/>
      </w:pPr>
      <w:r>
        <w:rPr>
          <w:rFonts w:ascii="Arial" w:cs="Arial" w:eastAsia="Arial" w:hAnsi="Arial"/>
          <w:b/>
          <w:bCs/>
          <w:color w:val="FFFFFF"/>
          <w:sz w:val="24"/>
          <w:szCs w:val="24"/>
        </w:rPr>
        <w:t xml:space="preserve">1.2 Audit Objectives</w:t>
      </w:r>
    </w:p>
    <w:p>
      <w:pPr>
        <w:pStyle w:val="ListParagraph"/>
        <w:numPr>
          <w:ilvl w:val="0"/>
          <w:numId w:val="2"/>
        </w:numPr>
        <w:spacing w:before="40" w:after="40"/>
        <w:ind w:left="360"/>
      </w:pPr>
      <w:r>
        <w:rPr>
          <w:rFonts w:ascii="Arial" w:cs="Arial" w:eastAsia="Arial" w:hAnsi="Arial"/>
          <w:sz w:val="20"/>
          <w:szCs w:val="20"/>
        </w:rPr>
        <w:t xml:space="preserve">Assess the current state of PROFARM's GMP compliance and Quality Management System.</w:t>
      </w:r>
    </w:p>
    <w:p>
      <w:pPr>
        <w:pStyle w:val="ListParagraph"/>
        <w:numPr>
          <w:ilvl w:val="0"/>
          <w:numId w:val="2"/>
        </w:numPr>
        <w:spacing w:before="40" w:after="40"/>
        <w:ind w:left="360"/>
      </w:pPr>
      <w:r>
        <w:rPr>
          <w:rFonts w:ascii="Arial" w:cs="Arial" w:eastAsia="Arial" w:hAnsi="Arial"/>
          <w:sz w:val="20"/>
          <w:szCs w:val="20"/>
        </w:rPr>
        <w:t xml:space="preserve">Evaluate procedures, documentation and controls governing deviations, CAPA, OOS, internal audits, and training.</w:t>
      </w:r>
    </w:p>
    <w:p>
      <w:pPr>
        <w:pStyle w:val="ListParagraph"/>
        <w:numPr>
          <w:ilvl w:val="0"/>
          <w:numId w:val="2"/>
        </w:numPr>
        <w:spacing w:before="40" w:after="40"/>
        <w:ind w:left="360"/>
      </w:pPr>
      <w:r>
        <w:rPr>
          <w:rFonts w:ascii="Arial" w:cs="Arial" w:eastAsia="Arial" w:hAnsi="Arial"/>
          <w:sz w:val="20"/>
          <w:szCs w:val="20"/>
        </w:rPr>
        <w:t xml:space="preserve">Review batch manufacturing records, contract testing arrangements, and supplier controls for Dossantos.</w:t>
      </w:r>
    </w:p>
    <w:p>
      <w:pPr>
        <w:pStyle w:val="ListParagraph"/>
        <w:numPr>
          <w:ilvl w:val="0"/>
          <w:numId w:val="2"/>
        </w:numPr>
        <w:spacing w:before="40" w:after="40"/>
        <w:ind w:left="360"/>
      </w:pPr>
      <w:r>
        <w:rPr>
          <w:rFonts w:ascii="Arial" w:cs="Arial" w:eastAsia="Arial" w:hAnsi="Arial"/>
          <w:sz w:val="20"/>
          <w:szCs w:val="20"/>
        </w:rPr>
        <w:t xml:space="preserve">Verify status of corrective and preventive actions from previous audit activities.</w:t>
      </w:r>
    </w:p>
    <w:p>
      <w:pPr>
        <w:pStyle w:val="ListParagraph"/>
        <w:numPr>
          <w:ilvl w:val="0"/>
          <w:numId w:val="2"/>
        </w:numPr>
        <w:spacing w:before="40" w:after="40"/>
        <w:ind w:left="360"/>
      </w:pPr>
      <w:r>
        <w:rPr>
          <w:rFonts w:ascii="Arial" w:cs="Arial" w:eastAsia="Arial" w:hAnsi="Arial"/>
          <w:sz w:val="20"/>
          <w:szCs w:val="20"/>
        </w:rPr>
        <w:t xml:space="preserve">Assess facility, equipment, and environmental controls applicable to non-sterile liquid and semi-solid manufacturing.</w:t>
      </w:r>
    </w:p>
    <w:p>
      <w:pPr>
        <w:spacing w:before="80" w:after="80"/>
      </w:pPr>
      <w:r>
        <w:t xml:space="preserve"/>
      </w:r>
    </w:p>
    <w:p>
      <w:r>
        <w:br w:type="page"/>
      </w:r>
    </w:p>
    <w:p>
      <w:pPr>
        <w:pStyle w:val="Heading1"/>
        <w:shd w:fill="1F3864" w:val="clear"/>
        <w:spacing w:before="200" w:after="100"/>
        <w:ind w:left="100"/>
      </w:pPr>
      <w:r>
        <w:rPr>
          <w:rFonts w:ascii="Arial" w:cs="Arial" w:eastAsia="Arial" w:hAnsi="Arial"/>
          <w:b/>
          <w:bCs/>
          <w:color w:val="FFFFFF"/>
          <w:sz w:val="28"/>
          <w:szCs w:val="28"/>
        </w:rPr>
        <w:t xml:space="preserve">SECTION 2: AUDITING ENTITY &amp; AUDIT TEAM</w:t>
      </w:r>
    </w:p>
    <w:p>
      <w:pPr>
        <w:spacing w:before="80" w:after="80"/>
      </w:pPr>
      <w:r>
        <w:t xml:space="preserve"/>
      </w:r>
    </w:p>
    <w:p>
      <w:pPr>
        <w:pStyle w:val="Heading2"/>
        <w:shd w:fill="2E75B6" w:val="clear"/>
        <w:spacing w:before="200" w:after="100"/>
        <w:ind w:left="100"/>
      </w:pPr>
      <w:r>
        <w:rPr>
          <w:rFonts w:ascii="Arial" w:cs="Arial" w:eastAsia="Arial" w:hAnsi="Arial"/>
          <w:b/>
          <w:bCs/>
          <w:color w:val="FFFFFF"/>
          <w:sz w:val="24"/>
          <w:szCs w:val="24"/>
        </w:rPr>
        <w:t xml:space="preserve">2.1 Lead Auditor</w:t>
      </w:r>
    </w:p>
    <w:p>
      <w:pPr>
        <w:spacing w:before="60" w:after="60"/>
      </w:pPr>
      <w:r>
        <w:rPr>
          <w:rFonts w:ascii="Arial" w:cs="Arial" w:eastAsia="Arial" w:hAnsi="Arial"/>
          <w:sz w:val="20"/>
          <w:szCs w:val="20"/>
        </w:rPr>
        <w:t xml:space="preserve">Mustapha Sahel – EmergoPharm Sp. z o.o. Sp. K., Quality / Regulatory Affairs</w:t>
      </w:r>
    </w:p>
    <w:p>
      <w:pPr>
        <w:spacing w:before="80" w:after="80"/>
      </w:pPr>
      <w:r>
        <w:t xml:space="preserve"/>
      </w:r>
    </w:p>
    <w:p>
      <w:pPr>
        <w:pStyle w:val="Heading2"/>
        <w:shd w:fill="2E75B6" w:val="clear"/>
        <w:spacing w:before="200" w:after="100"/>
        <w:ind w:left="100"/>
      </w:pPr>
      <w:r>
        <w:rPr>
          <w:rFonts w:ascii="Arial" w:cs="Arial" w:eastAsia="Arial" w:hAnsi="Arial"/>
          <w:b/>
          <w:bCs/>
          <w:color w:val="FFFFFF"/>
          <w:sz w:val="24"/>
          <w:szCs w:val="24"/>
        </w:rPr>
        <w:t xml:space="preserve">2.2 Audit Team (Auditors)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6"/>
              <w:left w:val="single" w:color="2E75B6" w:sz="6"/>
              <w:bottom w:val="single" w:color="2E75B6" w:sz="6"/>
              <w:right w:val="single" w:color="2E75B6" w:sz="6"/>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Name</w:t>
            </w:r>
          </w:p>
        </w:tc>
        <w:tc>
          <w:tcPr>
            <w:tcW w:type="dxa" w:w="3120"/>
            <w:tcBorders>
              <w:top w:val="single" w:color="2E75B6" w:sz="6"/>
              <w:left w:val="single" w:color="2E75B6" w:sz="6"/>
              <w:bottom w:val="single" w:color="2E75B6" w:sz="6"/>
              <w:right w:val="single" w:color="2E75B6" w:sz="6"/>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Title / Role</w:t>
            </w:r>
          </w:p>
        </w:tc>
        <w:tc>
          <w:tcPr>
            <w:tcW w:type="dxa" w:w="3120"/>
            <w:tcBorders>
              <w:top w:val="single" w:color="2E75B6" w:sz="6"/>
              <w:left w:val="single" w:color="2E75B6" w:sz="6"/>
              <w:bottom w:val="single" w:color="2E75B6" w:sz="6"/>
              <w:right w:val="single" w:color="2E75B6" w:sz="6"/>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Organisation</w:t>
            </w:r>
          </w:p>
        </w:tc>
      </w:tr>
      <w:tr>
        <w:tc>
          <w:tcPr>
            <w:tcW w:type="dxa" w:w="3120"/>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tcPr>
          <w:p>
            <w:r>
              <w:rPr>
                <w:rFonts w:ascii="Arial" w:cs="Arial" w:eastAsia="Arial" w:hAnsi="Arial"/>
                <w:sz w:val="18"/>
                <w:szCs w:val="18"/>
              </w:rPr>
              <w:t xml:space="preserve">Mustapha Sahel</w:t>
            </w:r>
          </w:p>
        </w:tc>
        <w:tc>
          <w:tcPr>
            <w:tcW w:type="dxa" w:w="3120"/>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tcPr>
          <w:p>
            <w:r>
              <w:rPr>
                <w:rFonts w:ascii="Arial" w:cs="Arial" w:eastAsia="Arial" w:hAnsi="Arial"/>
                <w:sz w:val="18"/>
                <w:szCs w:val="18"/>
              </w:rPr>
              <w:t xml:space="preserve">Lead Auditor / RA&amp;Q</w:t>
            </w:r>
          </w:p>
        </w:tc>
        <w:tc>
          <w:tcPr>
            <w:tcW w:type="dxa" w:w="3120"/>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tcPr>
          <w:p>
            <w:r>
              <w:rPr>
                <w:rFonts w:ascii="Arial" w:cs="Arial" w:eastAsia="Arial" w:hAnsi="Arial"/>
                <w:sz w:val="18"/>
                <w:szCs w:val="18"/>
              </w:rPr>
              <w:t xml:space="preserve">EmergoPharm</w:t>
            </w:r>
          </w:p>
        </w:tc>
      </w:tr>
      <w:tr>
        <w:tc>
          <w:tcPr>
            <w:tcW w:type="dxa" w:w="3120"/>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tcPr>
          <w:p>
            <w:r>
              <w:rPr>
                <w:rFonts w:ascii="Arial" w:cs="Arial" w:eastAsia="Arial" w:hAnsi="Arial"/>
                <w:sz w:val="18"/>
                <w:szCs w:val="18"/>
              </w:rPr>
              <w:t xml:space="preserve">Dorota Radziwonka</w:t>
            </w:r>
          </w:p>
        </w:tc>
        <w:tc>
          <w:tcPr>
            <w:tcW w:type="dxa" w:w="3120"/>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tcPr>
          <w:p>
            <w:r>
              <w:rPr>
                <w:rFonts w:ascii="Arial" w:cs="Arial" w:eastAsia="Arial" w:hAnsi="Arial"/>
                <w:sz w:val="18"/>
                <w:szCs w:val="18"/>
              </w:rPr>
              <w:t xml:space="preserve">Co-Auditor</w:t>
            </w:r>
          </w:p>
        </w:tc>
        <w:tc>
          <w:tcPr>
            <w:tcW w:type="dxa" w:w="3120"/>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tcPr>
          <w:p>
            <w:r>
              <w:rPr>
                <w:rFonts w:ascii="Arial" w:cs="Arial" w:eastAsia="Arial" w:hAnsi="Arial"/>
                <w:sz w:val="18"/>
                <w:szCs w:val="18"/>
              </w:rPr>
              <w:t xml:space="preserve">EmergoPharm</w:t>
            </w:r>
          </w:p>
        </w:tc>
      </w:tr>
    </w:tbl>
    <w:p>
      <w:pPr>
        <w:spacing w:before="80" w:after="80"/>
      </w:pPr>
      <w:r>
        <w:t xml:space="preserve"/>
      </w:r>
    </w:p>
    <w:p>
      <w:pPr>
        <w:pStyle w:val="Heading2"/>
        <w:shd w:fill="2E75B6" w:val="clear"/>
        <w:spacing w:before="200" w:after="100"/>
        <w:ind w:left="100"/>
      </w:pPr>
      <w:r>
        <w:rPr>
          <w:rFonts w:ascii="Arial" w:cs="Arial" w:eastAsia="Arial" w:hAnsi="Arial"/>
          <w:b/>
          <w:bCs/>
          <w:color w:val="FFFFFF"/>
          <w:sz w:val="24"/>
          <w:szCs w:val="24"/>
        </w:rPr>
        <w:t xml:space="preserve">2.3 Auditee Representatives (PROFARM)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6"/>
              <w:left w:val="single" w:color="2E75B6" w:sz="6"/>
              <w:bottom w:val="single" w:color="2E75B6" w:sz="6"/>
              <w:right w:val="single" w:color="2E75B6" w:sz="6"/>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Name</w:t>
            </w:r>
          </w:p>
        </w:tc>
        <w:tc>
          <w:tcPr>
            <w:tcW w:type="dxa" w:w="3120"/>
            <w:tcBorders>
              <w:top w:val="single" w:color="2E75B6" w:sz="6"/>
              <w:left w:val="single" w:color="2E75B6" w:sz="6"/>
              <w:bottom w:val="single" w:color="2E75B6" w:sz="6"/>
              <w:right w:val="single" w:color="2E75B6" w:sz="6"/>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Title / Role</w:t>
            </w:r>
          </w:p>
        </w:tc>
        <w:tc>
          <w:tcPr>
            <w:tcW w:type="dxa" w:w="3120"/>
            <w:tcBorders>
              <w:top w:val="single" w:color="2E75B6" w:sz="6"/>
              <w:left w:val="single" w:color="2E75B6" w:sz="6"/>
              <w:bottom w:val="single" w:color="2E75B6" w:sz="6"/>
              <w:right w:val="single" w:color="2E75B6" w:sz="6"/>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Organisation</w:t>
            </w:r>
          </w:p>
        </w:tc>
      </w:tr>
      <w:tr>
        <w:tc>
          <w:tcPr>
            <w:tcW w:type="dxa" w:w="3120"/>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tcPr>
          <w:p>
            <w:r>
              <w:rPr>
                <w:rFonts w:ascii="Arial" w:cs="Arial" w:eastAsia="Arial" w:hAnsi="Arial"/>
                <w:sz w:val="18"/>
                <w:szCs w:val="18"/>
              </w:rPr>
              <w:t xml:space="preserve">Dominika Schroeder</w:t>
            </w:r>
          </w:p>
        </w:tc>
        <w:tc>
          <w:tcPr>
            <w:tcW w:type="dxa" w:w="3120"/>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tcPr>
          <w:p>
            <w:r>
              <w:rPr>
                <w:rFonts w:ascii="Arial" w:cs="Arial" w:eastAsia="Arial" w:hAnsi="Arial"/>
                <w:sz w:val="18"/>
                <w:szCs w:val="18"/>
              </w:rPr>
              <w:t xml:space="preserve">QA Specialist</w:t>
            </w:r>
          </w:p>
        </w:tc>
        <w:tc>
          <w:tcPr>
            <w:tcW w:type="dxa" w:w="3120"/>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tcPr>
          <w:p>
            <w:r>
              <w:rPr>
                <w:rFonts w:ascii="Arial" w:cs="Arial" w:eastAsia="Arial" w:hAnsi="Arial"/>
                <w:sz w:val="18"/>
                <w:szCs w:val="18"/>
              </w:rPr>
              <w:t xml:space="preserve">PROFARM</w:t>
            </w:r>
          </w:p>
        </w:tc>
      </w:tr>
      <w:tr>
        <w:tc>
          <w:tcPr>
            <w:tcW w:type="dxa" w:w="3120"/>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tcPr>
          <w:p>
            <w:r>
              <w:rPr>
                <w:rFonts w:ascii="Arial" w:cs="Arial" w:eastAsia="Arial" w:hAnsi="Arial"/>
                <w:sz w:val="18"/>
                <w:szCs w:val="18"/>
              </w:rPr>
              <w:t xml:space="preserve">Klaudia Stencel-Furman</w:t>
            </w:r>
          </w:p>
        </w:tc>
        <w:tc>
          <w:tcPr>
            <w:tcW w:type="dxa" w:w="3120"/>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tcPr>
          <w:p>
            <w:r>
              <w:rPr>
                <w:rFonts w:ascii="Arial" w:cs="Arial" w:eastAsia="Arial" w:hAnsi="Arial"/>
                <w:sz w:val="18"/>
                <w:szCs w:val="18"/>
              </w:rPr>
              <w:t xml:space="preserve">Production Manager</w:t>
            </w:r>
          </w:p>
        </w:tc>
        <w:tc>
          <w:tcPr>
            <w:tcW w:type="dxa" w:w="3120"/>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tcPr>
          <w:p>
            <w:r>
              <w:rPr>
                <w:rFonts w:ascii="Arial" w:cs="Arial" w:eastAsia="Arial" w:hAnsi="Arial"/>
                <w:sz w:val="18"/>
                <w:szCs w:val="18"/>
              </w:rPr>
              <w:t xml:space="preserve">PROFARM</w:t>
            </w:r>
          </w:p>
        </w:tc>
      </w:tr>
      <w:tr>
        <w:tc>
          <w:tcPr>
            <w:tcW w:type="dxa" w:w="3120"/>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tcPr>
          <w:p>
            <w:r>
              <w:rPr>
                <w:rFonts w:ascii="Arial" w:cs="Arial" w:eastAsia="Arial" w:hAnsi="Arial"/>
                <w:sz w:val="18"/>
                <w:szCs w:val="18"/>
              </w:rPr>
              <w:t xml:space="preserve">Malgorzata Zelewska</w:t>
            </w:r>
          </w:p>
        </w:tc>
        <w:tc>
          <w:tcPr>
            <w:tcW w:type="dxa" w:w="3120"/>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tcPr>
          <w:p>
            <w:r>
              <w:rPr>
                <w:rFonts w:ascii="Arial" w:cs="Arial" w:eastAsia="Arial" w:hAnsi="Arial"/>
                <w:sz w:val="18"/>
                <w:szCs w:val="18"/>
              </w:rPr>
              <w:t xml:space="preserve">QC Manager</w:t>
            </w:r>
          </w:p>
        </w:tc>
        <w:tc>
          <w:tcPr>
            <w:tcW w:type="dxa" w:w="3120"/>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tcPr>
          <w:p>
            <w:r>
              <w:rPr>
                <w:rFonts w:ascii="Arial" w:cs="Arial" w:eastAsia="Arial" w:hAnsi="Arial"/>
                <w:sz w:val="18"/>
                <w:szCs w:val="18"/>
              </w:rPr>
              <w:t xml:space="preserve">PROFARM</w:t>
            </w:r>
          </w:p>
        </w:tc>
      </w:tr>
      <w:tr>
        <w:tc>
          <w:tcPr>
            <w:tcW w:type="dxa" w:w="3120"/>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tcPr>
          <w:p>
            <w:r>
              <w:rPr>
                <w:rFonts w:ascii="Arial" w:cs="Arial" w:eastAsia="Arial" w:hAnsi="Arial"/>
                <w:sz w:val="18"/>
                <w:szCs w:val="18"/>
              </w:rPr>
              <w:t xml:space="preserve">Malgorzata Zelenska</w:t>
            </w:r>
          </w:p>
        </w:tc>
        <w:tc>
          <w:tcPr>
            <w:tcW w:type="dxa" w:w="3120"/>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tcPr>
          <w:p>
            <w:r>
              <w:rPr>
                <w:rFonts w:ascii="Arial" w:cs="Arial" w:eastAsia="Arial" w:hAnsi="Arial"/>
                <w:sz w:val="18"/>
                <w:szCs w:val="18"/>
              </w:rPr>
              <w:t xml:space="preserve">QC Specialist</w:t>
            </w:r>
          </w:p>
        </w:tc>
        <w:tc>
          <w:tcPr>
            <w:tcW w:type="dxa" w:w="3120"/>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tcPr>
          <w:p>
            <w:r>
              <w:rPr>
                <w:rFonts w:ascii="Arial" w:cs="Arial" w:eastAsia="Arial" w:hAnsi="Arial"/>
                <w:sz w:val="18"/>
                <w:szCs w:val="18"/>
              </w:rPr>
              <w:t xml:space="preserve">PROFARM</w:t>
            </w:r>
          </w:p>
        </w:tc>
      </w:tr>
    </w:tbl>
    <w:p>
      <w:pPr>
        <w:spacing w:before="80" w:after="80"/>
      </w:pPr>
      <w:r>
        <w:t xml:space="preserve"/>
      </w:r>
    </w:p>
    <w:p>
      <w:pPr>
        <w:pStyle w:val="Heading2"/>
        <w:shd w:fill="2E75B6" w:val="clear"/>
        <w:spacing w:before="200" w:after="100"/>
        <w:ind w:left="100"/>
      </w:pPr>
      <w:r>
        <w:rPr>
          <w:rFonts w:ascii="Arial" w:cs="Arial" w:eastAsia="Arial" w:hAnsi="Arial"/>
          <w:b/>
          <w:bCs/>
          <w:color w:val="FFFFFF"/>
          <w:sz w:val="24"/>
          <w:szCs w:val="24"/>
        </w:rPr>
        <w:t xml:space="preserve">2.4 Applicable Standards</w:t>
      </w:r>
    </w:p>
    <w:p>
      <w:pPr>
        <w:pStyle w:val="ListParagraph"/>
        <w:numPr>
          <w:ilvl w:val="0"/>
          <w:numId w:val="2"/>
        </w:numPr>
        <w:spacing w:before="40" w:after="40"/>
        <w:ind w:left="360"/>
      </w:pPr>
      <w:r>
        <w:rPr>
          <w:rFonts w:ascii="Arial" w:cs="Arial" w:eastAsia="Arial" w:hAnsi="Arial"/>
          <w:sz w:val="20"/>
          <w:szCs w:val="20"/>
        </w:rPr>
        <w:t xml:space="preserve">EU GMP Volume 4, Part I – Basic Requirements for Medicinal Products (Non-Sterile)</w:t>
      </w:r>
    </w:p>
    <w:p>
      <w:pPr>
        <w:pStyle w:val="ListParagraph"/>
        <w:numPr>
          <w:ilvl w:val="0"/>
          <w:numId w:val="2"/>
        </w:numPr>
        <w:spacing w:before="40" w:after="40"/>
        <w:ind w:left="360"/>
      </w:pPr>
      <w:r>
        <w:rPr>
          <w:rFonts w:ascii="Arial" w:cs="Arial" w:eastAsia="Arial" w:hAnsi="Arial"/>
          <w:sz w:val="20"/>
          <w:szCs w:val="20"/>
        </w:rPr>
        <w:t xml:space="preserve">Regulation of the Polish Minister of Health, 09.11.2015 – GMP Requirements</w:t>
      </w:r>
    </w:p>
    <w:p>
      <w:pPr>
        <w:pStyle w:val="ListParagraph"/>
        <w:numPr>
          <w:ilvl w:val="0"/>
          <w:numId w:val="2"/>
        </w:numPr>
        <w:spacing w:before="40" w:after="40"/>
        <w:ind w:left="360"/>
      </w:pPr>
      <w:r>
        <w:rPr>
          <w:rFonts w:ascii="Arial" w:cs="Arial" w:eastAsia="Arial" w:hAnsi="Arial"/>
          <w:sz w:val="20"/>
          <w:szCs w:val="20"/>
        </w:rPr>
        <w:t xml:space="preserve">Art. 51, Directive 2001/83/EC; Annex 16, EU GMP (QP Responsibilities)</w:t>
      </w:r>
    </w:p>
    <w:p>
      <w:pPr>
        <w:pStyle w:val="ListParagraph"/>
        <w:numPr>
          <w:ilvl w:val="0"/>
          <w:numId w:val="2"/>
        </w:numPr>
        <w:spacing w:before="40" w:after="40"/>
        <w:ind w:left="360"/>
      </w:pPr>
      <w:r>
        <w:rPr>
          <w:rFonts w:ascii="Arial" w:cs="Arial" w:eastAsia="Arial" w:hAnsi="Arial"/>
          <w:sz w:val="20"/>
          <w:szCs w:val="20"/>
        </w:rPr>
        <w:t xml:space="preserve">ICH Q9 – Quality Risk Management</w:t>
      </w:r>
    </w:p>
    <w:p>
      <w:pPr>
        <w:pStyle w:val="ListParagraph"/>
        <w:numPr>
          <w:ilvl w:val="0"/>
          <w:numId w:val="2"/>
        </w:numPr>
        <w:spacing w:before="40" w:after="40"/>
        <w:ind w:left="360"/>
      </w:pPr>
      <w:r>
        <w:rPr>
          <w:rFonts w:ascii="Arial" w:cs="Arial" w:eastAsia="Arial" w:hAnsi="Arial"/>
          <w:sz w:val="20"/>
          <w:szCs w:val="20"/>
        </w:rPr>
        <w:t xml:space="preserve">ICH Q10 – Pharmaceutical Quality System</w:t>
      </w:r>
    </w:p>
    <w:p>
      <w:pPr>
        <w:pStyle w:val="ListParagraph"/>
        <w:numPr>
          <w:ilvl w:val="0"/>
          <w:numId w:val="2"/>
        </w:numPr>
        <w:spacing w:before="40" w:after="40"/>
        <w:ind w:left="360"/>
      </w:pPr>
      <w:r>
        <w:rPr>
          <w:rFonts w:ascii="Arial" w:cs="Arial" w:eastAsia="Arial" w:hAnsi="Arial"/>
          <w:sz w:val="20"/>
          <w:szCs w:val="20"/>
        </w:rPr>
        <w:t xml:space="preserve">FDA Guidance for Industry – Investigating Out-of-Specification (OOS) Test Results</w:t>
      </w:r>
    </w:p>
    <w:p>
      <w:pPr>
        <w:spacing w:before="80" w:after="80"/>
      </w:pPr>
      <w:r>
        <w:t xml:space="preserve"/>
      </w:r>
    </w:p>
    <w:p>
      <w:r>
        <w:br w:type="page"/>
      </w:r>
    </w:p>
    <w:p>
      <w:pPr>
        <w:pStyle w:val="Heading1"/>
        <w:shd w:fill="1F3864" w:val="clear"/>
        <w:spacing w:before="200" w:after="100"/>
        <w:ind w:left="100"/>
      </w:pPr>
      <w:r>
        <w:rPr>
          <w:rFonts w:ascii="Arial" w:cs="Arial" w:eastAsia="Arial" w:hAnsi="Arial"/>
          <w:b/>
          <w:bCs/>
          <w:color w:val="FFFFFF"/>
          <w:sz w:val="28"/>
          <w:szCs w:val="28"/>
        </w:rPr>
        <w:t xml:space="preserve">SECTION 3: AUDIT SCHEDULE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75B6" w:sz="6"/>
              <w:left w:val="single" w:color="2E75B6" w:sz="6"/>
              <w:bottom w:val="single" w:color="2E75B6" w:sz="6"/>
              <w:right w:val="single" w:color="2E75B6" w:sz="6"/>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Time / Activity</w:t>
            </w:r>
          </w:p>
        </w:tc>
        <w:tc>
          <w:tcPr>
            <w:tcW w:type="dxa" w:w="7160"/>
            <w:tcBorders>
              <w:top w:val="single" w:color="2E75B6" w:sz="6"/>
              <w:left w:val="single" w:color="2E75B6" w:sz="6"/>
              <w:bottom w:val="single" w:color="2E75B6" w:sz="6"/>
              <w:right w:val="single" w:color="2E75B6" w:sz="6"/>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Description</w:t>
            </w:r>
          </w:p>
        </w:tc>
      </w:tr>
      <w:tr>
        <w:tc>
          <w:tcPr>
            <w:tcW w:type="dxa" w:w="2200"/>
            <w:tcBorders>
              <w:top w:val="single" w:color="CCCCCC" w:sz="6"/>
              <w:left w:val="single" w:color="CCCCCC" w:sz="6"/>
              <w:bottom w:val="single" w:color="CCCCCC" w:sz="6"/>
              <w:right w:val="single" w:color="CCCCCC" w:sz="6"/>
            </w:tcBorders>
            <w:shd w:fill="D6E4F0" w:val="clear"/>
            <w:tcMar>
              <w:top w:type="dxa" w:w="70"/>
              <w:left w:type="dxa" w:w="100"/>
              <w:bottom w:type="dxa" w:w="70"/>
              <w:right w:type="dxa" w:w="100"/>
            </w:tcMar>
          </w:tcPr>
          <w:p>
            <w:r>
              <w:rPr>
                <w:rFonts w:ascii="Arial" w:cs="Arial" w:eastAsia="Arial" w:hAnsi="Arial"/>
                <w:b/>
                <w:bCs/>
                <w:sz w:val="18"/>
                <w:szCs w:val="18"/>
              </w:rPr>
              <w:t xml:space="preserve">Opening Meeting</w:t>
            </w:r>
          </w:p>
        </w:tc>
        <w:tc>
          <w:tcPr>
            <w:tcW w:type="dxa" w:w="7160"/>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rFonts w:ascii="Arial" w:cs="Arial" w:eastAsia="Arial" w:hAnsi="Arial"/>
                <w:sz w:val="18"/>
                <w:szCs w:val="18"/>
              </w:rPr>
              <w:t xml:space="preserve">Introduction of audit team; confirmation of scope; opening remarks by PROFARM management.</w:t>
            </w:r>
          </w:p>
        </w:tc>
      </w:tr>
      <w:tr>
        <w:tc>
          <w:tcPr>
            <w:tcW w:type="dxa" w:w="2200"/>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rFonts w:ascii="Arial" w:cs="Arial" w:eastAsia="Arial" w:hAnsi="Arial"/>
                <w:b/>
                <w:bCs/>
                <w:sz w:val="18"/>
                <w:szCs w:val="18"/>
              </w:rPr>
              <w:t xml:space="preserve">Facility Tour</w:t>
            </w:r>
          </w:p>
        </w:tc>
        <w:tc>
          <w:tcPr>
            <w:tcW w:type="dxa" w:w="7160"/>
            <w:tcBorders>
              <w:top w:val="single" w:color="CCCCCC" w:sz="6"/>
              <w:left w:val="single" w:color="CCCCCC" w:sz="6"/>
              <w:bottom w:val="single" w:color="CCCCCC" w:sz="6"/>
              <w:right w:val="single" w:color="CCCCCC" w:sz="6"/>
            </w:tcBorders>
            <w:shd w:fill="F2F2F2" w:val="clear"/>
            <w:tcMar>
              <w:top w:type="dxa" w:w="70"/>
              <w:left w:type="dxa" w:w="100"/>
              <w:bottom w:type="dxa" w:w="70"/>
              <w:right w:type="dxa" w:w="100"/>
            </w:tcMar>
          </w:tcPr>
          <w:p>
            <w:r>
              <w:rPr>
                <w:rFonts w:ascii="Arial" w:cs="Arial" w:eastAsia="Arial" w:hAnsi="Arial"/>
                <w:sz w:val="18"/>
                <w:szCs w:val="18"/>
              </w:rPr>
              <w:t xml:space="preserve">Inspection of production areas, warehouse, QC laboratory, utilities, environmental monitoring systems, and sampling booth.</w:t>
            </w:r>
          </w:p>
        </w:tc>
      </w:tr>
      <w:tr>
        <w:tc>
          <w:tcPr>
            <w:tcW w:type="dxa" w:w="2200"/>
            <w:tcBorders>
              <w:top w:val="single" w:color="CCCCCC" w:sz="6"/>
              <w:left w:val="single" w:color="CCCCCC" w:sz="6"/>
              <w:bottom w:val="single" w:color="CCCCCC" w:sz="6"/>
              <w:right w:val="single" w:color="CCCCCC" w:sz="6"/>
            </w:tcBorders>
            <w:shd w:fill="D6E4F0" w:val="clear"/>
            <w:tcMar>
              <w:top w:type="dxa" w:w="70"/>
              <w:left w:type="dxa" w:w="100"/>
              <w:bottom w:type="dxa" w:w="70"/>
              <w:right w:type="dxa" w:w="100"/>
            </w:tcMar>
          </w:tcPr>
          <w:p>
            <w:r>
              <w:rPr>
                <w:rFonts w:ascii="Arial" w:cs="Arial" w:eastAsia="Arial" w:hAnsi="Arial"/>
                <w:b/>
                <w:bCs/>
                <w:sz w:val="18"/>
                <w:szCs w:val="18"/>
              </w:rPr>
              <w:t xml:space="preserve">Document Review</w:t>
            </w:r>
          </w:p>
        </w:tc>
        <w:tc>
          <w:tcPr>
            <w:tcW w:type="dxa" w:w="7160"/>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rFonts w:ascii="Arial" w:cs="Arial" w:eastAsia="Arial" w:hAnsi="Arial"/>
                <w:sz w:val="18"/>
                <w:szCs w:val="18"/>
              </w:rPr>
              <w:t xml:space="preserve">Review of SOPs (CAPA G-08-P-02, Deviations G-13-P-03, OOS G-13-P-01, Internal Audits G-09-P-01, Training G-02-P-01), batch records, CoAs, contracts, and qualification studies.</w:t>
            </w:r>
          </w:p>
        </w:tc>
      </w:tr>
      <w:tr>
        <w:tc>
          <w:tcPr>
            <w:tcW w:type="dxa" w:w="2200"/>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rFonts w:ascii="Arial" w:cs="Arial" w:eastAsia="Arial" w:hAnsi="Arial"/>
                <w:b/>
                <w:bCs/>
                <w:sz w:val="18"/>
                <w:szCs w:val="18"/>
              </w:rPr>
              <w:t xml:space="preserve">QMS Review</w:t>
            </w:r>
          </w:p>
        </w:tc>
        <w:tc>
          <w:tcPr>
            <w:tcW w:type="dxa" w:w="7160"/>
            <w:tcBorders>
              <w:top w:val="single" w:color="CCCCCC" w:sz="6"/>
              <w:left w:val="single" w:color="CCCCCC" w:sz="6"/>
              <w:bottom w:val="single" w:color="CCCCCC" w:sz="6"/>
              <w:right w:val="single" w:color="CCCCCC" w:sz="6"/>
            </w:tcBorders>
            <w:shd w:fill="F2F2F2" w:val="clear"/>
            <w:tcMar>
              <w:top w:type="dxa" w:w="70"/>
              <w:left w:type="dxa" w:w="100"/>
              <w:bottom w:type="dxa" w:w="70"/>
              <w:right w:type="dxa" w:w="100"/>
            </w:tcMar>
          </w:tcPr>
          <w:p>
            <w:r>
              <w:rPr>
                <w:rFonts w:ascii="Arial" w:cs="Arial" w:eastAsia="Arial" w:hAnsi="Arial"/>
                <w:sz w:val="18"/>
                <w:szCs w:val="18"/>
              </w:rPr>
              <w:t xml:space="preserve">Assessment of Quality Management System elements including deviations, CAPA, OOS, complaints, internal audits, training records, and supplier management.</w:t>
            </w:r>
          </w:p>
        </w:tc>
      </w:tr>
      <w:tr>
        <w:tc>
          <w:tcPr>
            <w:tcW w:type="dxa" w:w="2200"/>
            <w:tcBorders>
              <w:top w:val="single" w:color="CCCCCC" w:sz="6"/>
              <w:left w:val="single" w:color="CCCCCC" w:sz="6"/>
              <w:bottom w:val="single" w:color="CCCCCC" w:sz="6"/>
              <w:right w:val="single" w:color="CCCCCC" w:sz="6"/>
            </w:tcBorders>
            <w:shd w:fill="D6E4F0" w:val="clear"/>
            <w:tcMar>
              <w:top w:type="dxa" w:w="70"/>
              <w:left w:type="dxa" w:w="100"/>
              <w:bottom w:type="dxa" w:w="70"/>
              <w:right w:type="dxa" w:w="100"/>
            </w:tcMar>
          </w:tcPr>
          <w:p>
            <w:r>
              <w:rPr>
                <w:rFonts w:ascii="Arial" w:cs="Arial" w:eastAsia="Arial" w:hAnsi="Arial"/>
                <w:b/>
                <w:bCs/>
                <w:sz w:val="18"/>
                <w:szCs w:val="18"/>
              </w:rPr>
              <w:t xml:space="preserve">Closing Meeting</w:t>
            </w:r>
          </w:p>
        </w:tc>
        <w:tc>
          <w:tcPr>
            <w:tcW w:type="dxa" w:w="7160"/>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rFonts w:ascii="Arial" w:cs="Arial" w:eastAsia="Arial" w:hAnsi="Arial"/>
                <w:sz w:val="18"/>
                <w:szCs w:val="18"/>
              </w:rPr>
              <w:t xml:space="preserve">Presentation of preliminary audit observations; discussion with PROFARM management; agreement on next steps.</w:t>
            </w:r>
          </w:p>
        </w:tc>
      </w:tr>
    </w:tbl>
    <w:p>
      <w:pPr>
        <w:spacing w:before="80" w:after="80"/>
      </w:pPr>
      <w:r>
        <w:t xml:space="preserve"/>
      </w:r>
    </w:p>
    <w:p>
      <w:r>
        <w:br w:type="page"/>
      </w:r>
    </w:p>
    <w:p>
      <w:pPr>
        <w:pStyle w:val="Heading1"/>
        <w:shd w:fill="1F3864" w:val="clear"/>
        <w:spacing w:before="200" w:after="100"/>
        <w:ind w:left="100"/>
      </w:pPr>
      <w:r>
        <w:rPr>
          <w:rFonts w:ascii="Arial" w:cs="Arial" w:eastAsia="Arial" w:hAnsi="Arial"/>
          <w:b/>
          <w:bCs/>
          <w:color w:val="FFFFFF"/>
          <w:sz w:val="28"/>
          <w:szCs w:val="28"/>
        </w:rPr>
        <w:t xml:space="preserve">SECTION 4: SOPS &amp; DOCUMENTS REVIEWED</w:t>
      </w:r>
    </w:p>
    <w:p>
      <w:pPr>
        <w:spacing w:before="80" w:after="80"/>
      </w:pPr>
      <w:r>
        <w:t xml:space="preserve"/>
      </w:r>
    </w:p>
    <w:p>
      <w:pPr>
        <w:spacing w:before="60" w:after="60"/>
      </w:pPr>
      <w:r>
        <w:rPr>
          <w:rFonts w:ascii="Arial" w:cs="Arial" w:eastAsia="Arial" w:hAnsi="Arial"/>
          <w:sz w:val="20"/>
          <w:szCs w:val="20"/>
        </w:rPr>
        <w:t xml:space="preserve">The following documents were reviewed during the audit. All documents are maintained under the PROFARM Good Manufacturing Practice (GMP) Documentation system (Dobra Praktyka Wytwarzania – Dokumentacja Główna).</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1680"/>
        <w:gridCol w:w="1680"/>
      </w:tblGrid>
      <w:tr>
        <w:tc>
          <w:tcPr>
            <w:tcW w:type="dxa" w:w="2000"/>
            <w:tcBorders>
              <w:top w:val="single" w:color="2E75B6" w:sz="6"/>
              <w:left w:val="single" w:color="2E75B6" w:sz="6"/>
              <w:bottom w:val="single" w:color="2E75B6" w:sz="6"/>
              <w:right w:val="single" w:color="2E75B6" w:sz="6"/>
            </w:tcBorders>
            <w:shd w:fill="2E75B6" w:val="clear"/>
            <w:tcMar>
              <w:top w:type="dxa" w:w="60"/>
              <w:left w:type="dxa" w:w="80"/>
              <w:bottom w:type="dxa" w:w="60"/>
              <w:right w:type="dxa" w:w="80"/>
            </w:tcMar>
          </w:tcPr>
          <w:p>
            <w:r>
              <w:rPr>
                <w:rFonts w:ascii="Arial" w:cs="Arial" w:eastAsia="Arial" w:hAnsi="Arial"/>
                <w:b/>
                <w:bCs/>
                <w:color w:val="FFFFFF"/>
                <w:sz w:val="17"/>
                <w:szCs w:val="17"/>
              </w:rPr>
              <w:t xml:space="preserve">Document No.</w:t>
            </w:r>
          </w:p>
        </w:tc>
        <w:tc>
          <w:tcPr>
            <w:tcW w:type="dxa" w:w="4000"/>
            <w:tcBorders>
              <w:top w:val="single" w:color="2E75B6" w:sz="6"/>
              <w:left w:val="single" w:color="2E75B6" w:sz="6"/>
              <w:bottom w:val="single" w:color="2E75B6" w:sz="6"/>
              <w:right w:val="single" w:color="2E75B6" w:sz="6"/>
            </w:tcBorders>
            <w:shd w:fill="2E75B6" w:val="clear"/>
            <w:tcMar>
              <w:top w:type="dxa" w:w="60"/>
              <w:left w:type="dxa" w:w="80"/>
              <w:bottom w:type="dxa" w:w="60"/>
              <w:right w:type="dxa" w:w="80"/>
            </w:tcMar>
          </w:tcPr>
          <w:p>
            <w:r>
              <w:rPr>
                <w:rFonts w:ascii="Arial" w:cs="Arial" w:eastAsia="Arial" w:hAnsi="Arial"/>
                <w:b/>
                <w:bCs/>
                <w:color w:val="FFFFFF"/>
                <w:sz w:val="17"/>
                <w:szCs w:val="17"/>
              </w:rPr>
              <w:t xml:space="preserve">Title</w:t>
            </w:r>
          </w:p>
        </w:tc>
        <w:tc>
          <w:tcPr>
            <w:tcW w:type="dxa" w:w="1680"/>
            <w:tcBorders>
              <w:top w:val="single" w:color="2E75B6" w:sz="6"/>
              <w:left w:val="single" w:color="2E75B6" w:sz="6"/>
              <w:bottom w:val="single" w:color="2E75B6" w:sz="6"/>
              <w:right w:val="single" w:color="2E75B6" w:sz="6"/>
            </w:tcBorders>
            <w:shd w:fill="2E75B6" w:val="clear"/>
            <w:tcMar>
              <w:top w:type="dxa" w:w="60"/>
              <w:left w:type="dxa" w:w="80"/>
              <w:bottom w:type="dxa" w:w="60"/>
              <w:right w:type="dxa" w:w="80"/>
            </w:tcMar>
          </w:tcPr>
          <w:p>
            <w:r>
              <w:rPr>
                <w:rFonts w:ascii="Arial" w:cs="Arial" w:eastAsia="Arial" w:hAnsi="Arial"/>
                <w:b/>
                <w:bCs/>
                <w:color w:val="FFFFFF"/>
                <w:sz w:val="17"/>
                <w:szCs w:val="17"/>
              </w:rPr>
              <w:t xml:space="preserve">Edition</w:t>
            </w:r>
          </w:p>
        </w:tc>
        <w:tc>
          <w:tcPr>
            <w:tcW w:type="dxa" w:w="1680"/>
            <w:tcBorders>
              <w:top w:val="single" w:color="2E75B6" w:sz="6"/>
              <w:left w:val="single" w:color="2E75B6" w:sz="6"/>
              <w:bottom w:val="single" w:color="2E75B6" w:sz="6"/>
              <w:right w:val="single" w:color="2E75B6" w:sz="6"/>
            </w:tcBorders>
            <w:shd w:fill="2E75B6" w:val="clear"/>
            <w:tcMar>
              <w:top w:type="dxa" w:w="60"/>
              <w:left w:type="dxa" w:w="80"/>
              <w:bottom w:type="dxa" w:w="60"/>
              <w:right w:type="dxa" w:w="80"/>
            </w:tcMar>
          </w:tcPr>
          <w:p>
            <w:r>
              <w:rPr>
                <w:rFonts w:ascii="Arial" w:cs="Arial" w:eastAsia="Arial" w:hAnsi="Arial"/>
                <w:b/>
                <w:bCs/>
                <w:color w:val="FFFFFF"/>
                <w:sz w:val="17"/>
                <w:szCs w:val="17"/>
              </w:rPr>
              <w:t xml:space="preserve">Effective Date</w:t>
            </w:r>
          </w:p>
        </w:tc>
      </w:tr>
      <w:tr>
        <w:tc>
          <w:tcPr>
            <w:tcW w:type="dxa" w:w="2000"/>
            <w:tcBorders>
              <w:top w:val="single" w:color="CCCCCC" w:sz="6"/>
              <w:left w:val="single" w:color="CCCCCC" w:sz="6"/>
              <w:bottom w:val="single" w:color="CCCCCC" w:sz="6"/>
              <w:right w:val="single" w:color="CCCCCC" w:sz="6"/>
            </w:tcBorders>
            <w:shd w:fill="FFFFFF" w:val="clear"/>
            <w:tcMar>
              <w:top w:type="dxa" w:w="50"/>
              <w:left w:type="dxa" w:w="80"/>
              <w:bottom w:type="dxa" w:w="50"/>
              <w:right w:type="dxa" w:w="80"/>
            </w:tcMar>
          </w:tcPr>
          <w:p>
            <w:r>
              <w:rPr>
                <w:rFonts w:ascii="Arial" w:cs="Arial" w:eastAsia="Arial" w:hAnsi="Arial"/>
                <w:sz w:val="17"/>
                <w:szCs w:val="17"/>
              </w:rPr>
              <w:t xml:space="preserve">G-08-P-02</w:t>
            </w:r>
          </w:p>
        </w:tc>
        <w:tc>
          <w:tcPr>
            <w:tcW w:type="dxa" w:w="4000"/>
            <w:tcBorders>
              <w:top w:val="single" w:color="CCCCCC" w:sz="6"/>
              <w:left w:val="single" w:color="CCCCCC" w:sz="6"/>
              <w:bottom w:val="single" w:color="CCCCCC" w:sz="6"/>
              <w:right w:val="single" w:color="CCCCCC" w:sz="6"/>
            </w:tcBorders>
            <w:shd w:fill="FFFFFF" w:val="clear"/>
            <w:tcMar>
              <w:top w:type="dxa" w:w="50"/>
              <w:left w:type="dxa" w:w="80"/>
              <w:bottom w:type="dxa" w:w="50"/>
              <w:right w:type="dxa" w:w="80"/>
            </w:tcMar>
          </w:tcPr>
          <w:p>
            <w:r>
              <w:rPr>
                <w:rFonts w:ascii="Arial" w:cs="Arial" w:eastAsia="Arial" w:hAnsi="Arial"/>
                <w:sz w:val="17"/>
                <w:szCs w:val="17"/>
              </w:rPr>
              <w:t xml:space="preserve">CAPA Plan – Corrective and Preventive Actions Plan</w:t>
            </w:r>
          </w:p>
        </w:tc>
        <w:tc>
          <w:tcPr>
            <w:tcW w:type="dxa" w:w="1680"/>
            <w:tcBorders>
              <w:top w:val="single" w:color="CCCCCC" w:sz="6"/>
              <w:left w:val="single" w:color="CCCCCC" w:sz="6"/>
              <w:bottom w:val="single" w:color="CCCCCC" w:sz="6"/>
              <w:right w:val="single" w:color="CCCCCC" w:sz="6"/>
            </w:tcBorders>
            <w:shd w:fill="FFFFFF" w:val="clear"/>
            <w:tcMar>
              <w:top w:type="dxa" w:w="50"/>
              <w:left w:type="dxa" w:w="80"/>
              <w:bottom w:type="dxa" w:w="50"/>
              <w:right w:type="dxa" w:w="80"/>
            </w:tcMar>
          </w:tcPr>
          <w:p>
            <w:r>
              <w:rPr>
                <w:rFonts w:ascii="Arial" w:cs="Arial" w:eastAsia="Arial" w:hAnsi="Arial"/>
                <w:sz w:val="17"/>
                <w:szCs w:val="17"/>
              </w:rPr>
              <w:t xml:space="preserve">Ed. 06</w:t>
            </w:r>
          </w:p>
        </w:tc>
        <w:tc>
          <w:tcPr>
            <w:tcW w:type="dxa" w:w="1680"/>
            <w:tcBorders>
              <w:top w:val="single" w:color="CCCCCC" w:sz="6"/>
              <w:left w:val="single" w:color="CCCCCC" w:sz="6"/>
              <w:bottom w:val="single" w:color="CCCCCC" w:sz="6"/>
              <w:right w:val="single" w:color="CCCCCC" w:sz="6"/>
            </w:tcBorders>
            <w:shd w:fill="FFFFFF" w:val="clear"/>
            <w:tcMar>
              <w:top w:type="dxa" w:w="50"/>
              <w:left w:type="dxa" w:w="80"/>
              <w:bottom w:type="dxa" w:w="50"/>
              <w:right w:type="dxa" w:w="80"/>
            </w:tcMar>
          </w:tcPr>
          <w:p>
            <w:r>
              <w:rPr>
                <w:rFonts w:ascii="Arial" w:cs="Arial" w:eastAsia="Arial" w:hAnsi="Arial"/>
                <w:sz w:val="17"/>
                <w:szCs w:val="17"/>
              </w:rPr>
              <w:t xml:space="preserve">16.06.2025</w:t>
            </w:r>
          </w:p>
        </w:tc>
      </w:tr>
      <w:tr>
        <w:tc>
          <w:tcPr>
            <w:tcW w:type="dxa" w:w="2000"/>
            <w:tcBorders>
              <w:top w:val="single" w:color="CCCCCC" w:sz="6"/>
              <w:left w:val="single" w:color="CCCCCC" w:sz="6"/>
              <w:bottom w:val="single" w:color="CCCCCC" w:sz="6"/>
              <w:right w:val="single" w:color="CCCCCC" w:sz="6"/>
            </w:tcBorders>
            <w:shd w:fill="F2F2F2" w:val="clear"/>
            <w:tcMar>
              <w:top w:type="dxa" w:w="50"/>
              <w:left w:type="dxa" w:w="80"/>
              <w:bottom w:type="dxa" w:w="50"/>
              <w:right w:type="dxa" w:w="80"/>
            </w:tcMar>
          </w:tcPr>
          <w:p>
            <w:r>
              <w:rPr>
                <w:rFonts w:ascii="Arial" w:cs="Arial" w:eastAsia="Arial" w:hAnsi="Arial"/>
                <w:sz w:val="17"/>
                <w:szCs w:val="17"/>
              </w:rPr>
              <w:t xml:space="preserve">G-13-P-03</w:t>
            </w:r>
          </w:p>
        </w:tc>
        <w:tc>
          <w:tcPr>
            <w:tcW w:type="dxa" w:w="4000"/>
            <w:tcBorders>
              <w:top w:val="single" w:color="CCCCCC" w:sz="6"/>
              <w:left w:val="single" w:color="CCCCCC" w:sz="6"/>
              <w:bottom w:val="single" w:color="CCCCCC" w:sz="6"/>
              <w:right w:val="single" w:color="CCCCCC" w:sz="6"/>
            </w:tcBorders>
            <w:shd w:fill="F2F2F2" w:val="clear"/>
            <w:tcMar>
              <w:top w:type="dxa" w:w="50"/>
              <w:left w:type="dxa" w:w="80"/>
              <w:bottom w:type="dxa" w:w="50"/>
              <w:right w:type="dxa" w:w="80"/>
            </w:tcMar>
          </w:tcPr>
          <w:p>
            <w:r>
              <w:rPr>
                <w:rFonts w:ascii="Arial" w:cs="Arial" w:eastAsia="Arial" w:hAnsi="Arial"/>
                <w:sz w:val="17"/>
                <w:szCs w:val="17"/>
              </w:rPr>
              <w:t xml:space="preserve">Handling of Non-Conformances and Deviations</w:t>
            </w:r>
          </w:p>
        </w:tc>
        <w:tc>
          <w:tcPr>
            <w:tcW w:type="dxa" w:w="1680"/>
            <w:tcBorders>
              <w:top w:val="single" w:color="CCCCCC" w:sz="6"/>
              <w:left w:val="single" w:color="CCCCCC" w:sz="6"/>
              <w:bottom w:val="single" w:color="CCCCCC" w:sz="6"/>
              <w:right w:val="single" w:color="CCCCCC" w:sz="6"/>
            </w:tcBorders>
            <w:shd w:fill="F2F2F2" w:val="clear"/>
            <w:tcMar>
              <w:top w:type="dxa" w:w="50"/>
              <w:left w:type="dxa" w:w="80"/>
              <w:bottom w:type="dxa" w:w="50"/>
              <w:right w:type="dxa" w:w="80"/>
            </w:tcMar>
          </w:tcPr>
          <w:p>
            <w:r>
              <w:rPr>
                <w:rFonts w:ascii="Arial" w:cs="Arial" w:eastAsia="Arial" w:hAnsi="Arial"/>
                <w:sz w:val="17"/>
                <w:szCs w:val="17"/>
              </w:rPr>
              <w:t xml:space="preserve">Ed. 12</w:t>
            </w:r>
          </w:p>
        </w:tc>
        <w:tc>
          <w:tcPr>
            <w:tcW w:type="dxa" w:w="1680"/>
            <w:tcBorders>
              <w:top w:val="single" w:color="CCCCCC" w:sz="6"/>
              <w:left w:val="single" w:color="CCCCCC" w:sz="6"/>
              <w:bottom w:val="single" w:color="CCCCCC" w:sz="6"/>
              <w:right w:val="single" w:color="CCCCCC" w:sz="6"/>
            </w:tcBorders>
            <w:shd w:fill="F2F2F2" w:val="clear"/>
            <w:tcMar>
              <w:top w:type="dxa" w:w="50"/>
              <w:left w:type="dxa" w:w="80"/>
              <w:bottom w:type="dxa" w:w="50"/>
              <w:right w:type="dxa" w:w="80"/>
            </w:tcMar>
          </w:tcPr>
          <w:p>
            <w:r>
              <w:rPr>
                <w:rFonts w:ascii="Arial" w:cs="Arial" w:eastAsia="Arial" w:hAnsi="Arial"/>
                <w:sz w:val="17"/>
                <w:szCs w:val="17"/>
              </w:rPr>
              <w:t xml:space="preserve">15.08.2025</w:t>
            </w:r>
          </w:p>
        </w:tc>
      </w:tr>
      <w:tr>
        <w:tc>
          <w:tcPr>
            <w:tcW w:type="dxa" w:w="2000"/>
            <w:tcBorders>
              <w:top w:val="single" w:color="CCCCCC" w:sz="6"/>
              <w:left w:val="single" w:color="CCCCCC" w:sz="6"/>
              <w:bottom w:val="single" w:color="CCCCCC" w:sz="6"/>
              <w:right w:val="single" w:color="CCCCCC" w:sz="6"/>
            </w:tcBorders>
            <w:shd w:fill="FFFFFF" w:val="clear"/>
            <w:tcMar>
              <w:top w:type="dxa" w:w="50"/>
              <w:left w:type="dxa" w:w="80"/>
              <w:bottom w:type="dxa" w:w="50"/>
              <w:right w:type="dxa" w:w="80"/>
            </w:tcMar>
          </w:tcPr>
          <w:p>
            <w:r>
              <w:rPr>
                <w:rFonts w:ascii="Arial" w:cs="Arial" w:eastAsia="Arial" w:hAnsi="Arial"/>
                <w:sz w:val="17"/>
                <w:szCs w:val="17"/>
              </w:rPr>
              <w:t xml:space="preserve">G-13-P-01</w:t>
            </w:r>
          </w:p>
        </w:tc>
        <w:tc>
          <w:tcPr>
            <w:tcW w:type="dxa" w:w="4000"/>
            <w:tcBorders>
              <w:top w:val="single" w:color="CCCCCC" w:sz="6"/>
              <w:left w:val="single" w:color="CCCCCC" w:sz="6"/>
              <w:bottom w:val="single" w:color="CCCCCC" w:sz="6"/>
              <w:right w:val="single" w:color="CCCCCC" w:sz="6"/>
            </w:tcBorders>
            <w:shd w:fill="FFFFFF" w:val="clear"/>
            <w:tcMar>
              <w:top w:type="dxa" w:w="50"/>
              <w:left w:type="dxa" w:w="80"/>
              <w:bottom w:type="dxa" w:w="50"/>
              <w:right w:type="dxa" w:w="80"/>
            </w:tcMar>
          </w:tcPr>
          <w:p>
            <w:r>
              <w:rPr>
                <w:rFonts w:ascii="Arial" w:cs="Arial" w:eastAsia="Arial" w:hAnsi="Arial"/>
                <w:sz w:val="17"/>
                <w:szCs w:val="17"/>
              </w:rPr>
              <w:t xml:space="preserve">Handling of Out-of-Specification (OOS) Results</w:t>
            </w:r>
          </w:p>
        </w:tc>
        <w:tc>
          <w:tcPr>
            <w:tcW w:type="dxa" w:w="1680"/>
            <w:tcBorders>
              <w:top w:val="single" w:color="CCCCCC" w:sz="6"/>
              <w:left w:val="single" w:color="CCCCCC" w:sz="6"/>
              <w:bottom w:val="single" w:color="CCCCCC" w:sz="6"/>
              <w:right w:val="single" w:color="CCCCCC" w:sz="6"/>
            </w:tcBorders>
            <w:shd w:fill="FFFFFF" w:val="clear"/>
            <w:tcMar>
              <w:top w:type="dxa" w:w="50"/>
              <w:left w:type="dxa" w:w="80"/>
              <w:bottom w:type="dxa" w:w="50"/>
              <w:right w:type="dxa" w:w="80"/>
            </w:tcMar>
          </w:tcPr>
          <w:p>
            <w:r>
              <w:rPr>
                <w:rFonts w:ascii="Arial" w:cs="Arial" w:eastAsia="Arial" w:hAnsi="Arial"/>
                <w:sz w:val="17"/>
                <w:szCs w:val="17"/>
              </w:rPr>
              <w:t xml:space="preserve">Ed. 14</w:t>
            </w:r>
          </w:p>
        </w:tc>
        <w:tc>
          <w:tcPr>
            <w:tcW w:type="dxa" w:w="1680"/>
            <w:tcBorders>
              <w:top w:val="single" w:color="CCCCCC" w:sz="6"/>
              <w:left w:val="single" w:color="CCCCCC" w:sz="6"/>
              <w:bottom w:val="single" w:color="CCCCCC" w:sz="6"/>
              <w:right w:val="single" w:color="CCCCCC" w:sz="6"/>
            </w:tcBorders>
            <w:shd w:fill="FFFFFF" w:val="clear"/>
            <w:tcMar>
              <w:top w:type="dxa" w:w="50"/>
              <w:left w:type="dxa" w:w="80"/>
              <w:bottom w:type="dxa" w:w="50"/>
              <w:right w:type="dxa" w:w="80"/>
            </w:tcMar>
          </w:tcPr>
          <w:p>
            <w:r>
              <w:rPr>
                <w:rFonts w:ascii="Arial" w:cs="Arial" w:eastAsia="Arial" w:hAnsi="Arial"/>
                <w:sz w:val="17"/>
                <w:szCs w:val="17"/>
              </w:rPr>
              <w:t xml:space="preserve">16.09.2025</w:t>
            </w:r>
          </w:p>
        </w:tc>
      </w:tr>
      <w:tr>
        <w:tc>
          <w:tcPr>
            <w:tcW w:type="dxa" w:w="2000"/>
            <w:tcBorders>
              <w:top w:val="single" w:color="CCCCCC" w:sz="6"/>
              <w:left w:val="single" w:color="CCCCCC" w:sz="6"/>
              <w:bottom w:val="single" w:color="CCCCCC" w:sz="6"/>
              <w:right w:val="single" w:color="CCCCCC" w:sz="6"/>
            </w:tcBorders>
            <w:shd w:fill="F2F2F2" w:val="clear"/>
            <w:tcMar>
              <w:top w:type="dxa" w:w="50"/>
              <w:left w:type="dxa" w:w="80"/>
              <w:bottom w:type="dxa" w:w="50"/>
              <w:right w:type="dxa" w:w="80"/>
            </w:tcMar>
          </w:tcPr>
          <w:p>
            <w:r>
              <w:rPr>
                <w:rFonts w:ascii="Arial" w:cs="Arial" w:eastAsia="Arial" w:hAnsi="Arial"/>
                <w:sz w:val="17"/>
                <w:szCs w:val="17"/>
              </w:rPr>
              <w:t xml:space="preserve">G-09-P-01</w:t>
            </w:r>
          </w:p>
        </w:tc>
        <w:tc>
          <w:tcPr>
            <w:tcW w:type="dxa" w:w="4000"/>
            <w:tcBorders>
              <w:top w:val="single" w:color="CCCCCC" w:sz="6"/>
              <w:left w:val="single" w:color="CCCCCC" w:sz="6"/>
              <w:bottom w:val="single" w:color="CCCCCC" w:sz="6"/>
              <w:right w:val="single" w:color="CCCCCC" w:sz="6"/>
            </w:tcBorders>
            <w:shd w:fill="F2F2F2" w:val="clear"/>
            <w:tcMar>
              <w:top w:type="dxa" w:w="50"/>
              <w:left w:type="dxa" w:w="80"/>
              <w:bottom w:type="dxa" w:w="50"/>
              <w:right w:type="dxa" w:w="80"/>
            </w:tcMar>
          </w:tcPr>
          <w:p>
            <w:r>
              <w:rPr>
                <w:rFonts w:ascii="Arial" w:cs="Arial" w:eastAsia="Arial" w:hAnsi="Arial"/>
                <w:sz w:val="17"/>
                <w:szCs w:val="17"/>
              </w:rPr>
              <w:t xml:space="preserve">Internal Audits</w:t>
            </w:r>
          </w:p>
        </w:tc>
        <w:tc>
          <w:tcPr>
            <w:tcW w:type="dxa" w:w="1680"/>
            <w:tcBorders>
              <w:top w:val="single" w:color="CCCCCC" w:sz="6"/>
              <w:left w:val="single" w:color="CCCCCC" w:sz="6"/>
              <w:bottom w:val="single" w:color="CCCCCC" w:sz="6"/>
              <w:right w:val="single" w:color="CCCCCC" w:sz="6"/>
            </w:tcBorders>
            <w:shd w:fill="F2F2F2" w:val="clear"/>
            <w:tcMar>
              <w:top w:type="dxa" w:w="50"/>
              <w:left w:type="dxa" w:w="80"/>
              <w:bottom w:type="dxa" w:w="50"/>
              <w:right w:type="dxa" w:w="80"/>
            </w:tcMar>
          </w:tcPr>
          <w:p>
            <w:r>
              <w:rPr>
                <w:rFonts w:ascii="Arial" w:cs="Arial" w:eastAsia="Arial" w:hAnsi="Arial"/>
                <w:sz w:val="17"/>
                <w:szCs w:val="17"/>
              </w:rPr>
              <w:t xml:space="preserve">Ed. 19</w:t>
            </w:r>
          </w:p>
        </w:tc>
        <w:tc>
          <w:tcPr>
            <w:tcW w:type="dxa" w:w="1680"/>
            <w:tcBorders>
              <w:top w:val="single" w:color="CCCCCC" w:sz="6"/>
              <w:left w:val="single" w:color="CCCCCC" w:sz="6"/>
              <w:bottom w:val="single" w:color="CCCCCC" w:sz="6"/>
              <w:right w:val="single" w:color="CCCCCC" w:sz="6"/>
            </w:tcBorders>
            <w:shd w:fill="F2F2F2" w:val="clear"/>
            <w:tcMar>
              <w:top w:type="dxa" w:w="50"/>
              <w:left w:type="dxa" w:w="80"/>
              <w:bottom w:type="dxa" w:w="50"/>
              <w:right w:type="dxa" w:w="80"/>
            </w:tcMar>
          </w:tcPr>
          <w:p>
            <w:r>
              <w:rPr>
                <w:rFonts w:ascii="Arial" w:cs="Arial" w:eastAsia="Arial" w:hAnsi="Arial"/>
                <w:sz w:val="17"/>
                <w:szCs w:val="17"/>
              </w:rPr>
              <w:t xml:space="preserve">02.07.2025</w:t>
            </w:r>
          </w:p>
        </w:tc>
      </w:tr>
      <w:tr>
        <w:tc>
          <w:tcPr>
            <w:tcW w:type="dxa" w:w="2000"/>
            <w:tcBorders>
              <w:top w:val="single" w:color="CCCCCC" w:sz="6"/>
              <w:left w:val="single" w:color="CCCCCC" w:sz="6"/>
              <w:bottom w:val="single" w:color="CCCCCC" w:sz="6"/>
              <w:right w:val="single" w:color="CCCCCC" w:sz="6"/>
            </w:tcBorders>
            <w:shd w:fill="FFFFFF" w:val="clear"/>
            <w:tcMar>
              <w:top w:type="dxa" w:w="50"/>
              <w:left w:type="dxa" w:w="80"/>
              <w:bottom w:type="dxa" w:w="50"/>
              <w:right w:type="dxa" w:w="80"/>
            </w:tcMar>
          </w:tcPr>
          <w:p>
            <w:r>
              <w:rPr>
                <w:rFonts w:ascii="Arial" w:cs="Arial" w:eastAsia="Arial" w:hAnsi="Arial"/>
                <w:sz w:val="17"/>
                <w:szCs w:val="17"/>
              </w:rPr>
              <w:t xml:space="preserve">G-02-P-01</w:t>
            </w:r>
          </w:p>
        </w:tc>
        <w:tc>
          <w:tcPr>
            <w:tcW w:type="dxa" w:w="4000"/>
            <w:tcBorders>
              <w:top w:val="single" w:color="CCCCCC" w:sz="6"/>
              <w:left w:val="single" w:color="CCCCCC" w:sz="6"/>
              <w:bottom w:val="single" w:color="CCCCCC" w:sz="6"/>
              <w:right w:val="single" w:color="CCCCCC" w:sz="6"/>
            </w:tcBorders>
            <w:shd w:fill="FFFFFF" w:val="clear"/>
            <w:tcMar>
              <w:top w:type="dxa" w:w="50"/>
              <w:left w:type="dxa" w:w="80"/>
              <w:bottom w:type="dxa" w:w="50"/>
              <w:right w:type="dxa" w:w="80"/>
            </w:tcMar>
          </w:tcPr>
          <w:p>
            <w:r>
              <w:rPr>
                <w:rFonts w:ascii="Arial" w:cs="Arial" w:eastAsia="Arial" w:hAnsi="Arial"/>
                <w:sz w:val="17"/>
                <w:szCs w:val="17"/>
              </w:rPr>
              <w:t xml:space="preserve">In-House Training</w:t>
            </w:r>
          </w:p>
        </w:tc>
        <w:tc>
          <w:tcPr>
            <w:tcW w:type="dxa" w:w="1680"/>
            <w:tcBorders>
              <w:top w:val="single" w:color="CCCCCC" w:sz="6"/>
              <w:left w:val="single" w:color="CCCCCC" w:sz="6"/>
              <w:bottom w:val="single" w:color="CCCCCC" w:sz="6"/>
              <w:right w:val="single" w:color="CCCCCC" w:sz="6"/>
            </w:tcBorders>
            <w:shd w:fill="FFFFFF" w:val="clear"/>
            <w:tcMar>
              <w:top w:type="dxa" w:w="50"/>
              <w:left w:type="dxa" w:w="80"/>
              <w:bottom w:type="dxa" w:w="50"/>
              <w:right w:type="dxa" w:w="80"/>
            </w:tcMar>
          </w:tcPr>
          <w:p>
            <w:r>
              <w:rPr>
                <w:rFonts w:ascii="Arial" w:cs="Arial" w:eastAsia="Arial" w:hAnsi="Arial"/>
                <w:sz w:val="17"/>
                <w:szCs w:val="17"/>
              </w:rPr>
              <w:t xml:space="preserve">Ed. 19</w:t>
            </w:r>
          </w:p>
        </w:tc>
        <w:tc>
          <w:tcPr>
            <w:tcW w:type="dxa" w:w="1680"/>
            <w:tcBorders>
              <w:top w:val="single" w:color="CCCCCC" w:sz="6"/>
              <w:left w:val="single" w:color="CCCCCC" w:sz="6"/>
              <w:bottom w:val="single" w:color="CCCCCC" w:sz="6"/>
              <w:right w:val="single" w:color="CCCCCC" w:sz="6"/>
            </w:tcBorders>
            <w:shd w:fill="FFFFFF" w:val="clear"/>
            <w:tcMar>
              <w:top w:type="dxa" w:w="50"/>
              <w:left w:type="dxa" w:w="80"/>
              <w:bottom w:type="dxa" w:w="50"/>
              <w:right w:type="dxa" w:w="80"/>
            </w:tcMar>
          </w:tcPr>
          <w:p>
            <w:r>
              <w:rPr>
                <w:rFonts w:ascii="Arial" w:cs="Arial" w:eastAsia="Arial" w:hAnsi="Arial"/>
                <w:sz w:val="17"/>
                <w:szCs w:val="17"/>
              </w:rPr>
              <w:t xml:space="preserve">03.07.2025</w:t>
            </w:r>
          </w:p>
        </w:tc>
      </w:tr>
      <w:tr>
        <w:tc>
          <w:tcPr>
            <w:tcW w:type="dxa" w:w="2000"/>
            <w:tcBorders>
              <w:top w:val="single" w:color="CCCCCC" w:sz="6"/>
              <w:left w:val="single" w:color="CCCCCC" w:sz="6"/>
              <w:bottom w:val="single" w:color="CCCCCC" w:sz="6"/>
              <w:right w:val="single" w:color="CCCCCC" w:sz="6"/>
            </w:tcBorders>
            <w:shd w:fill="F2F2F2" w:val="clear"/>
            <w:tcMar>
              <w:top w:type="dxa" w:w="50"/>
              <w:left w:type="dxa" w:w="80"/>
              <w:bottom w:type="dxa" w:w="50"/>
              <w:right w:type="dxa" w:w="80"/>
            </w:tcMar>
          </w:tcPr>
          <w:p>
            <w:r>
              <w:rPr>
                <w:rFonts w:ascii="Arial" w:cs="Arial" w:eastAsia="Arial" w:hAnsi="Arial"/>
                <w:sz w:val="17"/>
                <w:szCs w:val="17"/>
              </w:rPr>
              <w:t xml:space="preserve">PR-EM-07-06</w:t>
            </w:r>
          </w:p>
        </w:tc>
        <w:tc>
          <w:tcPr>
            <w:tcW w:type="dxa" w:w="4000"/>
            <w:tcBorders>
              <w:top w:val="single" w:color="CCCCCC" w:sz="6"/>
              <w:left w:val="single" w:color="CCCCCC" w:sz="6"/>
              <w:bottom w:val="single" w:color="CCCCCC" w:sz="6"/>
              <w:right w:val="single" w:color="CCCCCC" w:sz="6"/>
            </w:tcBorders>
            <w:shd w:fill="F2F2F2" w:val="clear"/>
            <w:tcMar>
              <w:top w:type="dxa" w:w="50"/>
              <w:left w:type="dxa" w:w="80"/>
              <w:bottom w:type="dxa" w:w="50"/>
              <w:right w:type="dxa" w:w="80"/>
            </w:tcMar>
          </w:tcPr>
          <w:p>
            <w:r>
              <w:rPr>
                <w:rFonts w:ascii="Arial" w:cs="Arial" w:eastAsia="Arial" w:hAnsi="Arial"/>
                <w:sz w:val="17"/>
                <w:szCs w:val="17"/>
              </w:rPr>
              <w:t xml:space="preserve">Complaints and Non-Conforming Product Control (EmergoPharm SOP)</w:t>
            </w:r>
          </w:p>
        </w:tc>
        <w:tc>
          <w:tcPr>
            <w:tcW w:type="dxa" w:w="1680"/>
            <w:tcBorders>
              <w:top w:val="single" w:color="CCCCCC" w:sz="6"/>
              <w:left w:val="single" w:color="CCCCCC" w:sz="6"/>
              <w:bottom w:val="single" w:color="CCCCCC" w:sz="6"/>
              <w:right w:val="single" w:color="CCCCCC" w:sz="6"/>
            </w:tcBorders>
            <w:shd w:fill="F2F2F2" w:val="clear"/>
            <w:tcMar>
              <w:top w:type="dxa" w:w="50"/>
              <w:left w:type="dxa" w:w="80"/>
              <w:bottom w:type="dxa" w:w="50"/>
              <w:right w:type="dxa" w:w="80"/>
            </w:tcMar>
          </w:tcPr>
          <w:p>
            <w:r>
              <w:rPr>
                <w:rFonts w:ascii="Arial" w:cs="Arial" w:eastAsia="Arial" w:hAnsi="Arial"/>
                <w:sz w:val="17"/>
                <w:szCs w:val="17"/>
              </w:rPr>
              <w:t xml:space="preserve">Ed. 06</w:t>
            </w:r>
          </w:p>
        </w:tc>
        <w:tc>
          <w:tcPr>
            <w:tcW w:type="dxa" w:w="1680"/>
            <w:tcBorders>
              <w:top w:val="single" w:color="CCCCCC" w:sz="6"/>
              <w:left w:val="single" w:color="CCCCCC" w:sz="6"/>
              <w:bottom w:val="single" w:color="CCCCCC" w:sz="6"/>
              <w:right w:val="single" w:color="CCCCCC" w:sz="6"/>
            </w:tcBorders>
            <w:shd w:fill="F2F2F2" w:val="clear"/>
            <w:tcMar>
              <w:top w:type="dxa" w:w="50"/>
              <w:left w:type="dxa" w:w="80"/>
              <w:bottom w:type="dxa" w:w="50"/>
              <w:right w:type="dxa" w:w="80"/>
            </w:tcMar>
          </w:tcPr>
          <w:p>
            <w:r>
              <w:rPr>
                <w:rFonts w:ascii="Arial" w:cs="Arial" w:eastAsia="Arial" w:hAnsi="Arial"/>
                <w:sz w:val="17"/>
                <w:szCs w:val="17"/>
              </w:rPr>
              <w:t xml:space="preserve">11.12.2023</w:t>
            </w:r>
          </w:p>
        </w:tc>
      </w:tr>
      <w:tr>
        <w:tc>
          <w:tcPr>
            <w:tcW w:type="dxa" w:w="2000"/>
            <w:tcBorders>
              <w:top w:val="single" w:color="CCCCCC" w:sz="6"/>
              <w:left w:val="single" w:color="CCCCCC" w:sz="6"/>
              <w:bottom w:val="single" w:color="CCCCCC" w:sz="6"/>
              <w:right w:val="single" w:color="CCCCCC" w:sz="6"/>
            </w:tcBorders>
            <w:shd w:fill="FFFFFF" w:val="clear"/>
            <w:tcMar>
              <w:top w:type="dxa" w:w="50"/>
              <w:left w:type="dxa" w:w="80"/>
              <w:bottom w:type="dxa" w:w="50"/>
              <w:right w:type="dxa" w:w="80"/>
            </w:tcMar>
          </w:tcPr>
          <w:p>
            <w:r>
              <w:rPr>
                <w:rFonts w:ascii="Arial" w:cs="Arial" w:eastAsia="Arial" w:hAnsi="Arial"/>
                <w:sz w:val="17"/>
                <w:szCs w:val="17"/>
              </w:rPr>
              <w:t xml:space="preserve">PR-EM-15-03</w:t>
            </w:r>
          </w:p>
        </w:tc>
        <w:tc>
          <w:tcPr>
            <w:tcW w:type="dxa" w:w="4000"/>
            <w:tcBorders>
              <w:top w:val="single" w:color="CCCCCC" w:sz="6"/>
              <w:left w:val="single" w:color="CCCCCC" w:sz="6"/>
              <w:bottom w:val="single" w:color="CCCCCC" w:sz="6"/>
              <w:right w:val="single" w:color="CCCCCC" w:sz="6"/>
            </w:tcBorders>
            <w:shd w:fill="FFFFFF" w:val="clear"/>
            <w:tcMar>
              <w:top w:type="dxa" w:w="50"/>
              <w:left w:type="dxa" w:w="80"/>
              <w:bottom w:type="dxa" w:w="50"/>
              <w:right w:type="dxa" w:w="80"/>
            </w:tcMar>
          </w:tcPr>
          <w:p>
            <w:r>
              <w:rPr>
                <w:rFonts w:ascii="Arial" w:cs="Arial" w:eastAsia="Arial" w:hAnsi="Arial"/>
                <w:sz w:val="17"/>
                <w:szCs w:val="17"/>
              </w:rPr>
              <w:t xml:space="preserve">Suspension of Sales and Product Recall (EmergoPharm SOP)</w:t>
            </w:r>
          </w:p>
        </w:tc>
        <w:tc>
          <w:tcPr>
            <w:tcW w:type="dxa" w:w="1680"/>
            <w:tcBorders>
              <w:top w:val="single" w:color="CCCCCC" w:sz="6"/>
              <w:left w:val="single" w:color="CCCCCC" w:sz="6"/>
              <w:bottom w:val="single" w:color="CCCCCC" w:sz="6"/>
              <w:right w:val="single" w:color="CCCCCC" w:sz="6"/>
            </w:tcBorders>
            <w:shd w:fill="FFFFFF" w:val="clear"/>
            <w:tcMar>
              <w:top w:type="dxa" w:w="50"/>
              <w:left w:type="dxa" w:w="80"/>
              <w:bottom w:type="dxa" w:w="50"/>
              <w:right w:type="dxa" w:w="80"/>
            </w:tcMar>
          </w:tcPr>
          <w:p>
            <w:r>
              <w:rPr>
                <w:rFonts w:ascii="Arial" w:cs="Arial" w:eastAsia="Arial" w:hAnsi="Arial"/>
                <w:sz w:val="17"/>
                <w:szCs w:val="17"/>
              </w:rPr>
              <w:t xml:space="preserve">Ed. 03</w:t>
            </w:r>
          </w:p>
        </w:tc>
        <w:tc>
          <w:tcPr>
            <w:tcW w:type="dxa" w:w="1680"/>
            <w:tcBorders>
              <w:top w:val="single" w:color="CCCCCC" w:sz="6"/>
              <w:left w:val="single" w:color="CCCCCC" w:sz="6"/>
              <w:bottom w:val="single" w:color="CCCCCC" w:sz="6"/>
              <w:right w:val="single" w:color="CCCCCC" w:sz="6"/>
            </w:tcBorders>
            <w:shd w:fill="FFFFFF" w:val="clear"/>
            <w:tcMar>
              <w:top w:type="dxa" w:w="50"/>
              <w:left w:type="dxa" w:w="80"/>
              <w:bottom w:type="dxa" w:w="50"/>
              <w:right w:type="dxa" w:w="80"/>
            </w:tcMar>
          </w:tcPr>
          <w:p>
            <w:r>
              <w:rPr>
                <w:rFonts w:ascii="Arial" w:cs="Arial" w:eastAsia="Arial" w:hAnsi="Arial"/>
                <w:sz w:val="17"/>
                <w:szCs w:val="17"/>
              </w:rPr>
              <w:t xml:space="preserve">01.07.2022</w:t>
            </w:r>
          </w:p>
        </w:tc>
      </w:tr>
      <w:tr>
        <w:tc>
          <w:tcPr>
            <w:tcW w:type="dxa" w:w="2000"/>
            <w:tcBorders>
              <w:top w:val="single" w:color="CCCCCC" w:sz="6"/>
              <w:left w:val="single" w:color="CCCCCC" w:sz="6"/>
              <w:bottom w:val="single" w:color="CCCCCC" w:sz="6"/>
              <w:right w:val="single" w:color="CCCCCC" w:sz="6"/>
            </w:tcBorders>
            <w:shd w:fill="F2F2F2" w:val="clear"/>
            <w:tcMar>
              <w:top w:type="dxa" w:w="50"/>
              <w:left w:type="dxa" w:w="80"/>
              <w:bottom w:type="dxa" w:w="50"/>
              <w:right w:type="dxa" w:w="80"/>
            </w:tcMar>
          </w:tcPr>
          <w:p>
            <w:r>
              <w:rPr>
                <w:rFonts w:ascii="Arial" w:cs="Arial" w:eastAsia="Arial" w:hAnsi="Arial"/>
                <w:sz w:val="17"/>
                <w:szCs w:val="17"/>
              </w:rPr>
              <w:t xml:space="preserve">G-01-P-03</w:t>
            </w:r>
          </w:p>
        </w:tc>
        <w:tc>
          <w:tcPr>
            <w:tcW w:type="dxa" w:w="4000"/>
            <w:tcBorders>
              <w:top w:val="single" w:color="CCCCCC" w:sz="6"/>
              <w:left w:val="single" w:color="CCCCCC" w:sz="6"/>
              <w:bottom w:val="single" w:color="CCCCCC" w:sz="6"/>
              <w:right w:val="single" w:color="CCCCCC" w:sz="6"/>
            </w:tcBorders>
            <w:shd w:fill="F2F2F2" w:val="clear"/>
            <w:tcMar>
              <w:top w:type="dxa" w:w="50"/>
              <w:left w:type="dxa" w:w="80"/>
              <w:bottom w:type="dxa" w:w="50"/>
              <w:right w:type="dxa" w:w="80"/>
            </w:tcMar>
          </w:tcPr>
          <w:p>
            <w:r>
              <w:rPr>
                <w:rFonts w:ascii="Arial" w:cs="Arial" w:eastAsia="Arial" w:hAnsi="Arial"/>
                <w:sz w:val="17"/>
                <w:szCs w:val="17"/>
              </w:rPr>
              <w:t xml:space="preserve">Annual Product Review (APR)</w:t>
            </w:r>
          </w:p>
        </w:tc>
        <w:tc>
          <w:tcPr>
            <w:tcW w:type="dxa" w:w="1680"/>
            <w:tcBorders>
              <w:top w:val="single" w:color="CCCCCC" w:sz="6"/>
              <w:left w:val="single" w:color="CCCCCC" w:sz="6"/>
              <w:bottom w:val="single" w:color="CCCCCC" w:sz="6"/>
              <w:right w:val="single" w:color="CCCCCC" w:sz="6"/>
            </w:tcBorders>
            <w:shd w:fill="F2F2F2" w:val="clear"/>
            <w:tcMar>
              <w:top w:type="dxa" w:w="50"/>
              <w:left w:type="dxa" w:w="80"/>
              <w:bottom w:type="dxa" w:w="50"/>
              <w:right w:type="dxa" w:w="80"/>
            </w:tcMar>
          </w:tcPr>
          <w:p>
            <w:r>
              <w:rPr>
                <w:rFonts w:ascii="Arial" w:cs="Arial" w:eastAsia="Arial" w:hAnsi="Arial"/>
                <w:sz w:val="17"/>
                <w:szCs w:val="17"/>
              </w:rPr>
              <w:t xml:space="preserve">Current</w:t>
            </w:r>
          </w:p>
        </w:tc>
        <w:tc>
          <w:tcPr>
            <w:tcW w:type="dxa" w:w="1680"/>
            <w:tcBorders>
              <w:top w:val="single" w:color="CCCCCC" w:sz="6"/>
              <w:left w:val="single" w:color="CCCCCC" w:sz="6"/>
              <w:bottom w:val="single" w:color="CCCCCC" w:sz="6"/>
              <w:right w:val="single" w:color="CCCCCC" w:sz="6"/>
            </w:tcBorders>
            <w:shd w:fill="F2F2F2" w:val="clear"/>
            <w:tcMar>
              <w:top w:type="dxa" w:w="50"/>
              <w:left w:type="dxa" w:w="80"/>
              <w:bottom w:type="dxa" w:w="50"/>
              <w:right w:type="dxa" w:w="80"/>
            </w:tcMar>
          </w:tcPr>
          <w:p>
            <w:r>
              <w:rPr>
                <w:rFonts w:ascii="Arial" w:cs="Arial" w:eastAsia="Arial" w:hAnsi="Arial"/>
                <w:sz w:val="17"/>
                <w:szCs w:val="17"/>
              </w:rPr>
              <w:t xml:space="preserve">–</w:t>
            </w:r>
          </w:p>
        </w:tc>
      </w:tr>
      <w:tr>
        <w:tc>
          <w:tcPr>
            <w:tcW w:type="dxa" w:w="2000"/>
            <w:tcBorders>
              <w:top w:val="single" w:color="CCCCCC" w:sz="6"/>
              <w:left w:val="single" w:color="CCCCCC" w:sz="6"/>
              <w:bottom w:val="single" w:color="CCCCCC" w:sz="6"/>
              <w:right w:val="single" w:color="CCCCCC" w:sz="6"/>
            </w:tcBorders>
            <w:shd w:fill="FFFFFF" w:val="clear"/>
            <w:tcMar>
              <w:top w:type="dxa" w:w="50"/>
              <w:left w:type="dxa" w:w="80"/>
              <w:bottom w:type="dxa" w:w="50"/>
              <w:right w:type="dxa" w:w="80"/>
            </w:tcMar>
          </w:tcPr>
          <w:p>
            <w:r>
              <w:rPr>
                <w:rFonts w:ascii="Arial" w:cs="Arial" w:eastAsia="Arial" w:hAnsi="Arial"/>
                <w:sz w:val="17"/>
                <w:szCs w:val="17"/>
              </w:rPr>
              <w:t xml:space="preserve">G-09-P-02</w:t>
            </w:r>
          </w:p>
        </w:tc>
        <w:tc>
          <w:tcPr>
            <w:tcW w:type="dxa" w:w="4000"/>
            <w:tcBorders>
              <w:top w:val="single" w:color="CCCCCC" w:sz="6"/>
              <w:left w:val="single" w:color="CCCCCC" w:sz="6"/>
              <w:bottom w:val="single" w:color="CCCCCC" w:sz="6"/>
              <w:right w:val="single" w:color="CCCCCC" w:sz="6"/>
            </w:tcBorders>
            <w:shd w:fill="FFFFFF" w:val="clear"/>
            <w:tcMar>
              <w:top w:type="dxa" w:w="50"/>
              <w:left w:type="dxa" w:w="80"/>
              <w:bottom w:type="dxa" w:w="50"/>
              <w:right w:type="dxa" w:w="80"/>
            </w:tcMar>
          </w:tcPr>
          <w:p>
            <w:r>
              <w:rPr>
                <w:rFonts w:ascii="Arial" w:cs="Arial" w:eastAsia="Arial" w:hAnsi="Arial"/>
                <w:sz w:val="17"/>
                <w:szCs w:val="17"/>
              </w:rPr>
              <w:t xml:space="preserve">Qualification of Raw Material Manufacturers / Distributors</w:t>
            </w:r>
          </w:p>
        </w:tc>
        <w:tc>
          <w:tcPr>
            <w:tcW w:type="dxa" w:w="1680"/>
            <w:tcBorders>
              <w:top w:val="single" w:color="CCCCCC" w:sz="6"/>
              <w:left w:val="single" w:color="CCCCCC" w:sz="6"/>
              <w:bottom w:val="single" w:color="CCCCCC" w:sz="6"/>
              <w:right w:val="single" w:color="CCCCCC" w:sz="6"/>
            </w:tcBorders>
            <w:shd w:fill="FFFFFF" w:val="clear"/>
            <w:tcMar>
              <w:top w:type="dxa" w:w="50"/>
              <w:left w:type="dxa" w:w="80"/>
              <w:bottom w:type="dxa" w:w="50"/>
              <w:right w:type="dxa" w:w="80"/>
            </w:tcMar>
          </w:tcPr>
          <w:p>
            <w:r>
              <w:rPr>
                <w:rFonts w:ascii="Arial" w:cs="Arial" w:eastAsia="Arial" w:hAnsi="Arial"/>
                <w:sz w:val="17"/>
                <w:szCs w:val="17"/>
              </w:rPr>
              <w:t xml:space="preserve">Current</w:t>
            </w:r>
          </w:p>
        </w:tc>
        <w:tc>
          <w:tcPr>
            <w:tcW w:type="dxa" w:w="1680"/>
            <w:tcBorders>
              <w:top w:val="single" w:color="CCCCCC" w:sz="6"/>
              <w:left w:val="single" w:color="CCCCCC" w:sz="6"/>
              <w:bottom w:val="single" w:color="CCCCCC" w:sz="6"/>
              <w:right w:val="single" w:color="CCCCCC" w:sz="6"/>
            </w:tcBorders>
            <w:shd w:fill="FFFFFF" w:val="clear"/>
            <w:tcMar>
              <w:top w:type="dxa" w:w="50"/>
              <w:left w:type="dxa" w:w="80"/>
              <w:bottom w:type="dxa" w:w="50"/>
              <w:right w:type="dxa" w:w="80"/>
            </w:tcMar>
          </w:tcPr>
          <w:p>
            <w:r>
              <w:rPr>
                <w:rFonts w:ascii="Arial" w:cs="Arial" w:eastAsia="Arial" w:hAnsi="Arial"/>
                <w:sz w:val="17"/>
                <w:szCs w:val="17"/>
              </w:rPr>
              <w:t xml:space="preserve">–</w:t>
            </w:r>
          </w:p>
        </w:tc>
      </w:tr>
      <w:tr>
        <w:tc>
          <w:tcPr>
            <w:tcW w:type="dxa" w:w="2000"/>
            <w:tcBorders>
              <w:top w:val="single" w:color="CCCCCC" w:sz="6"/>
              <w:left w:val="single" w:color="CCCCCC" w:sz="6"/>
              <w:bottom w:val="single" w:color="CCCCCC" w:sz="6"/>
              <w:right w:val="single" w:color="CCCCCC" w:sz="6"/>
            </w:tcBorders>
            <w:shd w:fill="F2F2F2" w:val="clear"/>
            <w:tcMar>
              <w:top w:type="dxa" w:w="50"/>
              <w:left w:type="dxa" w:w="80"/>
              <w:bottom w:type="dxa" w:w="50"/>
              <w:right w:type="dxa" w:w="80"/>
            </w:tcMar>
          </w:tcPr>
          <w:p>
            <w:r>
              <w:rPr>
                <w:rFonts w:ascii="Arial" w:cs="Arial" w:eastAsia="Arial" w:hAnsi="Arial"/>
                <w:sz w:val="17"/>
                <w:szCs w:val="17"/>
              </w:rPr>
              <w:t xml:space="preserve">G-16-P-01</w:t>
            </w:r>
          </w:p>
        </w:tc>
        <w:tc>
          <w:tcPr>
            <w:tcW w:type="dxa" w:w="4000"/>
            <w:tcBorders>
              <w:top w:val="single" w:color="CCCCCC" w:sz="6"/>
              <w:left w:val="single" w:color="CCCCCC" w:sz="6"/>
              <w:bottom w:val="single" w:color="CCCCCC" w:sz="6"/>
              <w:right w:val="single" w:color="CCCCCC" w:sz="6"/>
            </w:tcBorders>
            <w:shd w:fill="F2F2F2" w:val="clear"/>
            <w:tcMar>
              <w:top w:type="dxa" w:w="50"/>
              <w:left w:type="dxa" w:w="80"/>
              <w:bottom w:type="dxa" w:w="50"/>
              <w:right w:type="dxa" w:w="80"/>
            </w:tcMar>
          </w:tcPr>
          <w:p>
            <w:r>
              <w:rPr>
                <w:rFonts w:ascii="Arial" w:cs="Arial" w:eastAsia="Arial" w:hAnsi="Arial"/>
                <w:sz w:val="17"/>
                <w:szCs w:val="17"/>
              </w:rPr>
              <w:t xml:space="preserve">Risk Management in the Quality Assurance System</w:t>
            </w:r>
          </w:p>
        </w:tc>
        <w:tc>
          <w:tcPr>
            <w:tcW w:type="dxa" w:w="1680"/>
            <w:tcBorders>
              <w:top w:val="single" w:color="CCCCCC" w:sz="6"/>
              <w:left w:val="single" w:color="CCCCCC" w:sz="6"/>
              <w:bottom w:val="single" w:color="CCCCCC" w:sz="6"/>
              <w:right w:val="single" w:color="CCCCCC" w:sz="6"/>
            </w:tcBorders>
            <w:shd w:fill="F2F2F2" w:val="clear"/>
            <w:tcMar>
              <w:top w:type="dxa" w:w="50"/>
              <w:left w:type="dxa" w:w="80"/>
              <w:bottom w:type="dxa" w:w="50"/>
              <w:right w:type="dxa" w:w="80"/>
            </w:tcMar>
          </w:tcPr>
          <w:p>
            <w:r>
              <w:rPr>
                <w:rFonts w:ascii="Arial" w:cs="Arial" w:eastAsia="Arial" w:hAnsi="Arial"/>
                <w:sz w:val="17"/>
                <w:szCs w:val="17"/>
              </w:rPr>
              <w:t xml:space="preserve">Current</w:t>
            </w:r>
          </w:p>
        </w:tc>
        <w:tc>
          <w:tcPr>
            <w:tcW w:type="dxa" w:w="1680"/>
            <w:tcBorders>
              <w:top w:val="single" w:color="CCCCCC" w:sz="6"/>
              <w:left w:val="single" w:color="CCCCCC" w:sz="6"/>
              <w:bottom w:val="single" w:color="CCCCCC" w:sz="6"/>
              <w:right w:val="single" w:color="CCCCCC" w:sz="6"/>
            </w:tcBorders>
            <w:shd w:fill="F2F2F2" w:val="clear"/>
            <w:tcMar>
              <w:top w:type="dxa" w:w="50"/>
              <w:left w:type="dxa" w:w="80"/>
              <w:bottom w:type="dxa" w:w="50"/>
              <w:right w:type="dxa" w:w="80"/>
            </w:tcMar>
          </w:tcPr>
          <w:p>
            <w:r>
              <w:rPr>
                <w:rFonts w:ascii="Arial" w:cs="Arial" w:eastAsia="Arial" w:hAnsi="Arial"/>
                <w:sz w:val="17"/>
                <w:szCs w:val="17"/>
              </w:rPr>
              <w:t xml:space="preserve">–</w:t>
            </w:r>
          </w:p>
        </w:tc>
      </w:tr>
    </w:tbl>
    <w:p>
      <w:pPr>
        <w:spacing w:before="80" w:after="80"/>
      </w:pPr>
      <w:r>
        <w:t xml:space="preserve"/>
      </w:r>
    </w:p>
    <w:p>
      <w:pPr>
        <w:spacing w:before="60" w:after="60"/>
      </w:pPr>
      <w:r>
        <w:rPr>
          <w:rFonts w:ascii="Arial" w:cs="Arial" w:eastAsia="Arial" w:hAnsi="Arial"/>
          <w:sz w:val="20"/>
          <w:szCs w:val="20"/>
        </w:rPr>
        <w:t xml:space="preserve">Additional documents reviewed include: Site Master File (Summary Version), GMP Certificate (GIF, Jan 2023), Manufacturing Authorisation (No. 122/0180/15), Sanitary Approval (GIS), Contract Testing Agreement with Eurofins BPT Slovakia (04.09.2025), Batch Records (Batch No. 060625 and 101025), Equipment Qualification Report (Mixer-6, Study No. W-06-PL-08/2025), Environmental Monitoring Report (No. R-01/KJ-10-P-01/2025), Cleaning Validation Protocol (Study No. W/09/PL/2023, Rev. 01), and the List of Participants signed on 17.11.2025.</w:t>
      </w:r>
    </w:p>
    <w:p>
      <w:pPr>
        <w:spacing w:before="80" w:after="80"/>
      </w:pPr>
      <w:r>
        <w:t xml:space="preserve"/>
      </w:r>
    </w:p>
    <w:p>
      <w:r>
        <w:br w:type="page"/>
      </w:r>
    </w:p>
    <w:p>
      <w:pPr>
        <w:pStyle w:val="Heading1"/>
        <w:shd w:fill="1F3864" w:val="clear"/>
        <w:spacing w:before="200" w:after="100"/>
        <w:ind w:left="100"/>
      </w:pPr>
      <w:r>
        <w:rPr>
          <w:rFonts w:ascii="Arial" w:cs="Arial" w:eastAsia="Arial" w:hAnsi="Arial"/>
          <w:b/>
          <w:bCs/>
          <w:color w:val="FFFFFF"/>
          <w:sz w:val="28"/>
          <w:szCs w:val="28"/>
        </w:rPr>
        <w:t xml:space="preserve">SECTION 5: EXECUTION COMMENTS</w:t>
      </w:r>
    </w:p>
    <w:p>
      <w:pPr>
        <w:spacing w:before="80" w:after="80"/>
      </w:pPr>
      <w:r>
        <w:t xml:space="preserve"/>
      </w:r>
    </w:p>
    <w:p>
      <w:pPr>
        <w:pStyle w:val="Heading2"/>
        <w:shd w:fill="2E75B6" w:val="clear"/>
        <w:spacing w:before="200" w:after="100"/>
        <w:ind w:left="100"/>
      </w:pPr>
      <w:r>
        <w:rPr>
          <w:rFonts w:ascii="Arial" w:cs="Arial" w:eastAsia="Arial" w:hAnsi="Arial"/>
          <w:b/>
          <w:bCs/>
          <w:color w:val="FFFFFF"/>
          <w:sz w:val="24"/>
          <w:szCs w:val="24"/>
        </w:rPr>
        <w:t xml:space="preserve">5.1 Overview of the Company</w:t>
      </w:r>
    </w:p>
    <w:p>
      <w:pPr>
        <w:spacing w:before="60" w:after="60"/>
      </w:pPr>
      <w:r>
        <w:rPr>
          <w:rFonts w:ascii="Arial" w:cs="Arial" w:eastAsia="Arial" w:hAnsi="Arial"/>
          <w:sz w:val="20"/>
          <w:szCs w:val="20"/>
        </w:rPr>
        <w:t xml:space="preserve">PPFK PROFARM Sp. z o.o. is a pharmaceutical and cosmetic manufacturing enterprise established in 1989, located at ul. Słupska 18, 84-300 Lębork, Poland. The site holds a valid Manufacturing Authorisation (No. 122/0180/15) issued by the Polish Chief Pharmaceutical Inspectorate (Główny Inspektor Farmaceutyczny – GIF) for the production of non-sterile medicinal products. The facility was last inspected by the Polish GIF from 10–12 January 2023, and by an EU regulatory authority in September 2025.</w:t>
      </w:r>
    </w:p>
    <w:p>
      <w:pPr>
        <w:spacing w:before="60" w:after="60"/>
      </w:pPr>
      <w:r>
        <w:rPr>
          <w:rFonts w:ascii="Arial" w:cs="Arial" w:eastAsia="Arial" w:hAnsi="Arial"/>
          <w:sz w:val="20"/>
          <w:szCs w:val="20"/>
        </w:rPr>
        <w:t xml:space="preserve">The company manufactures non-sterile liquid and semi-solid dosage forms including solutions, suspensions, gels, ointments, emulsions, and oils. In addition, the site produces cosmetic products, medical devices, food supplements (dietary supplements), and veterinary preparations. No hormonal, poisonous, or other highly potent materials requiring dedicated installations are handled on site.</w:t>
      </w:r>
    </w:p>
    <w:p>
      <w:pPr>
        <w:spacing w:before="60" w:after="60"/>
      </w:pPr>
      <w:r>
        <w:rPr>
          <w:rFonts w:ascii="Arial" w:cs="Arial" w:eastAsia="Arial" w:hAnsi="Arial"/>
          <w:sz w:val="20"/>
          <w:szCs w:val="20"/>
        </w:rPr>
        <w:t xml:space="preserve">As confirmed by the GMP Certificate issued by GIF (latest inspection 10–12 January 2023), PROFARM complies with GMP requirements as laid down in EU Directive 2003/94/EC for non-sterile products including liquids for external use, semi-solid dosage forms, batch certification, and herbal medicinal products.</w:t>
      </w:r>
    </w:p>
    <w:p>
      <w:pPr>
        <w:spacing w:before="60" w:after="60"/>
      </w:pPr>
      <w:r>
        <w:rPr>
          <w:rFonts w:ascii="Arial" w:cs="Arial" w:eastAsia="Arial" w:hAnsi="Arial"/>
          <w:sz w:val="20"/>
          <w:szCs w:val="20"/>
        </w:rPr>
        <w:t xml:space="preserve">Although the audited product – Dossantos (Vitamin D3 oral oil supplement) – is classified as a food supplement rather than a medicinal product, PROFARM's entire QMS infrastructure, personnel practices, equipment controls, and documentation system are aligned with EU GMP principles, providing a higher quality and hygiene standard than the minimum required for food supplements.</w:t>
      </w:r>
    </w:p>
    <w:p>
      <w:pPr>
        <w:spacing w:before="60" w:after="60"/>
      </w:pPr>
      <w:r>
        <w:rPr>
          <w:rFonts w:ascii="Arial" w:cs="Arial" w:eastAsia="Arial" w:hAnsi="Arial"/>
          <w:sz w:val="20"/>
          <w:szCs w:val="20"/>
        </w:rPr>
        <w:t xml:space="preserve">Total workforce: 31 personnel (27 in production, 3 in Quality). The Quality Assurance function is independent of production.</w:t>
      </w:r>
    </w:p>
    <w:p>
      <w:pPr>
        <w:spacing w:before="80" w:after="80"/>
      </w:pPr>
      <w:r>
        <w:t xml:space="preserve"/>
      </w:r>
    </w:p>
    <w:p>
      <w:pPr>
        <w:pStyle w:val="Heading2"/>
        <w:shd w:fill="2E75B6" w:val="clear"/>
        <w:spacing w:before="200" w:after="100"/>
        <w:ind w:left="100"/>
      </w:pPr>
      <w:r>
        <w:rPr>
          <w:rFonts w:ascii="Arial" w:cs="Arial" w:eastAsia="Arial" w:hAnsi="Arial"/>
          <w:b/>
          <w:bCs/>
          <w:color w:val="FFFFFF"/>
          <w:sz w:val="24"/>
          <w:szCs w:val="24"/>
        </w:rPr>
        <w:t xml:space="preserve">5.2 Facility and Manufacturing Areas</w:t>
      </w:r>
    </w:p>
    <w:p>
      <w:pPr>
        <w:spacing w:before="60" w:after="60"/>
      </w:pPr>
      <w:r>
        <w:rPr>
          <w:rFonts w:ascii="Arial" w:cs="Arial" w:eastAsia="Arial" w:hAnsi="Arial"/>
          <w:sz w:val="20"/>
          <w:szCs w:val="20"/>
        </w:rPr>
        <w:t xml:space="preserve">The manufacturing facility encompasses dedicated production areas for liquid and semi-solid dosage forms, warehouses for raw materials, packaging materials, and finished products, Quality Control laboratories (physico-chemical and microbiological), and supporting utilities. The product of interest (Dossantos Vitamin D3 oil solution) is manufactured using Mixer-6, located in the manufacturing area.</w:t>
      </w:r>
    </w:p>
    <w:p>
      <w:pPr>
        <w:spacing w:before="60" w:after="60"/>
      </w:pPr>
      <w:r>
        <w:rPr>
          <w:rFonts w:ascii="Arial" w:cs="Arial" w:eastAsia="Arial" w:hAnsi="Arial"/>
          <w:sz w:val="20"/>
          <w:szCs w:val="20"/>
        </w:rPr>
        <w:t xml:space="preserve">The facility is designed to prevent contamination and cross-contamination through controlled access, segregated personnel and material flows, and adequate environmental controls. Areas are controlled to meet EU GMP Class D requirements, or are monitored controlled/unclassified areas that are tracked for microbial load, particle count, temperature, and relative humidity.</w:t>
      </w:r>
    </w:p>
    <w:p>
      <w:pPr>
        <w:spacing w:before="60" w:after="60"/>
      </w:pPr>
      <w:r>
        <w:rPr>
          <w:rFonts w:ascii="Arial" w:cs="Arial" w:eastAsia="Arial" w:hAnsi="Arial"/>
          <w:sz w:val="20"/>
          <w:szCs w:val="20"/>
        </w:rPr>
        <w:t xml:space="preserve">Temperature in manufacturing areas is maintained at 15–25°C and relative humidity at ≤80% RH. Environmental conditions are monitored and recorded. Pest and rodent management was observed during the plant tour and found satisfactory.</w:t>
      </w:r>
    </w:p>
    <w:p>
      <w:pPr>
        <w:spacing w:before="80" w:after="80"/>
      </w:pPr>
      <w:r>
        <w:t xml:space="preserve"/>
      </w:r>
    </w:p>
    <w:p>
      <w:pPr>
        <w:pStyle w:val="Heading2"/>
        <w:shd w:fill="2E75B6" w:val="clear"/>
        <w:spacing w:before="200" w:after="100"/>
        <w:ind w:left="100"/>
      </w:pPr>
      <w:r>
        <w:rPr>
          <w:rFonts w:ascii="Arial" w:cs="Arial" w:eastAsia="Arial" w:hAnsi="Arial"/>
          <w:b/>
          <w:bCs/>
          <w:color w:val="FFFFFF"/>
          <w:sz w:val="24"/>
          <w:szCs w:val="24"/>
        </w:rPr>
        <w:t xml:space="preserve">5.3 Warehouse and Material Management</w:t>
      </w:r>
    </w:p>
    <w:p>
      <w:pPr>
        <w:spacing w:before="60" w:after="60"/>
      </w:pPr>
      <w:r>
        <w:rPr>
          <w:rFonts w:ascii="Arial" w:cs="Arial" w:eastAsia="Arial" w:hAnsi="Arial"/>
          <w:sz w:val="20"/>
          <w:szCs w:val="20"/>
        </w:rPr>
        <w:t xml:space="preserve">The warehouse is located on the premises and is used for storage of incoming raw materials, packaging materials, and finished products at defined environmental conditions (15–25°C, ≤80% RH). Temperature and humidity are monitored three times daily using calibrated thermo-hygrometers. The calibration of instrument NrNew.02 was verified and found within its defined calibration range (calibration interval: once every 3 years).</w:t>
      </w:r>
    </w:p>
    <w:p>
      <w:pPr>
        <w:spacing w:before="60" w:after="60"/>
      </w:pPr>
      <w:r>
        <w:rPr>
          <w:rFonts w:ascii="Arial" w:cs="Arial" w:eastAsia="Arial" w:hAnsi="Arial"/>
          <w:sz w:val="20"/>
          <w:szCs w:val="20"/>
        </w:rPr>
        <w:t xml:space="preserve">Upon receipt of raw materials and packaging materials, the warehouse team performs de-dusting and pre-inspection checks including physical condition, label verification, container seal integrity, vendor details, and weight verification against the invoice. After satisfactory inspection, materials are labelled with quarantine status and transferred to the QUARANTINE area, segregated batch-wise. Material tracking is maintained via a paper-based system and the Symphonia ERP application.</w:t>
      </w:r>
    </w:p>
    <w:p>
      <w:pPr>
        <w:spacing w:before="60" w:after="60"/>
      </w:pPr>
      <w:r>
        <w:rPr>
          <w:rFonts w:ascii="Arial" w:cs="Arial" w:eastAsia="Arial" w:hAnsi="Arial"/>
          <w:sz w:val="20"/>
          <w:szCs w:val="20"/>
        </w:rPr>
        <w:t xml:space="preserve">Sampling of incoming materials is performed under a qualified reverse laminar airflow (RLAF) booth. A First In, First Out (FIFO) / First Expiry, First Out (FEFO) system is followed. Rejected materials are stored in a designated, locked area. No rejected materials were observed during the visit.</w:t>
      </w:r>
    </w:p>
    <w:p>
      <w:pPr>
        <w:spacing w:before="60" w:after="60"/>
      </w:pPr>
      <w:r>
        <w:rPr>
          <w:rFonts w:ascii="Arial" w:cs="Arial" w:eastAsia="Arial" w:hAnsi="Arial"/>
          <w:sz w:val="20"/>
          <w:szCs w:val="20"/>
        </w:rPr>
        <w:t xml:space="preserve">An approved vendor list for incoming critical raw materials, including APIs, was not available during the audit. This constitutes a Major Observation (see Section 6: Findings).</w:t>
      </w:r>
    </w:p>
    <w:p>
      <w:pPr>
        <w:spacing w:before="60" w:after="60"/>
      </w:pPr>
      <w:r>
        <w:rPr>
          <w:rFonts w:ascii="Arial" w:cs="Arial" w:eastAsia="Arial" w:hAnsi="Arial"/>
          <w:sz w:val="20"/>
          <w:szCs w:val="20"/>
        </w:rPr>
        <w:t xml:space="preserve">Regarding API storage: Lot No. UT25060206 (Vitamin D3 from DSM Nutrition) was found stored at 19.5°C, as indicated by hygrometer NrNew.11. The manufacturer (DSM Nutrition) recommends storage below 15°C (cool conditions). Temperature mapping studies for the raw material warehouse where APIs are stored have not been performed. This is a Major Observation (see Section 6: Findings).</w:t>
      </w:r>
    </w:p>
    <w:p>
      <w:pPr>
        <w:spacing w:before="80" w:after="80"/>
      </w:pPr>
      <w:r>
        <w:t xml:space="preserve"/>
      </w:r>
    </w:p>
    <w:p>
      <w:pPr>
        <w:pStyle w:val="Heading2"/>
        <w:shd w:fill="2E75B6" w:val="clear"/>
        <w:spacing w:before="200" w:after="100"/>
        <w:ind w:left="100"/>
      </w:pPr>
      <w:r>
        <w:rPr>
          <w:rFonts w:ascii="Arial" w:cs="Arial" w:eastAsia="Arial" w:hAnsi="Arial"/>
          <w:b/>
          <w:bCs/>
          <w:color w:val="FFFFFF"/>
          <w:sz w:val="24"/>
          <w:szCs w:val="24"/>
        </w:rPr>
        <w:t xml:space="preserve">5.4 Manufacturing and Equipment</w:t>
      </w:r>
    </w:p>
    <w:p>
      <w:pPr>
        <w:spacing w:before="60" w:after="60"/>
      </w:pPr>
      <w:r>
        <w:rPr>
          <w:rFonts w:ascii="Arial" w:cs="Arial" w:eastAsia="Arial" w:hAnsi="Arial"/>
          <w:sz w:val="20"/>
          <w:szCs w:val="20"/>
        </w:rPr>
        <w:t xml:space="preserve">Equipment is uniquely identified, and usage status is tracked via status boards. Equipment logbooks for operations, cleaning, and preventive maintenance are maintained, ensuring full traceability. Manufacturing processes are carried out in closed systems to minimise contamination risk.</w:t>
      </w:r>
    </w:p>
    <w:p>
      <w:pPr>
        <w:spacing w:before="60" w:after="60"/>
      </w:pPr>
      <w:r>
        <w:rPr>
          <w:rFonts w:ascii="Arial" w:cs="Arial" w:eastAsia="Arial" w:hAnsi="Arial"/>
          <w:sz w:val="20"/>
          <w:szCs w:val="20"/>
        </w:rPr>
        <w:t xml:space="preserve">All critical equipment is qualified. The qualification of Mixer-6 (SS, 600 L capacity) was completed with reference to Study No. W-06-PL-08/2025 (dated 06 June 2025). The study included measurement of rotation speed, spinning direction (clockwise and anticlockwise), measuring instrument verification, temperature measurement, and vacuum hold test. All results were found satisfactory, confirming the equipment is suitable for its intended operations.</w:t>
      </w:r>
    </w:p>
    <w:p>
      <w:pPr>
        <w:spacing w:before="60" w:after="60"/>
      </w:pPr>
      <w:r>
        <w:rPr>
          <w:rFonts w:ascii="Arial" w:cs="Arial" w:eastAsia="Arial" w:hAnsi="Arial"/>
          <w:sz w:val="20"/>
          <w:szCs w:val="20"/>
        </w:rPr>
        <w:t xml:space="preserve">Cleaning of equipment is performed according to approved methods by trained operators, designed based on risk analysis and process/equipment knowledge. Cleaning validation studies are ongoing (scheduled August 2025 – April 2026, Study No. W/09/PL/2023 Rev. 01). Risk assessment studies are underway to define Clean Equipment Hold Time (CEHT) and to identify the worst-case product.</w:t>
      </w:r>
    </w:p>
    <w:p>
      <w:pPr>
        <w:spacing w:before="60" w:after="60"/>
      </w:pPr>
      <w:r>
        <w:rPr>
          <w:rFonts w:ascii="Arial" w:cs="Arial" w:eastAsia="Arial" w:hAnsi="Arial"/>
          <w:sz w:val="20"/>
          <w:szCs w:val="20"/>
        </w:rPr>
        <w:t xml:space="preserve">Note: Powder transfer systems including vacuum suction tubes used for transferring materials to SS 316 containers are identified as non-dedicated. This arrangement should be documented as part of the cleaning risk assessment.</w:t>
      </w:r>
    </w:p>
    <w:p>
      <w:pPr>
        <w:spacing w:before="60" w:after="60"/>
      </w:pPr>
      <w:r>
        <w:rPr>
          <w:rFonts w:ascii="Arial" w:cs="Arial" w:eastAsia="Arial" w:hAnsi="Arial"/>
          <w:sz w:val="20"/>
          <w:szCs w:val="20"/>
        </w:rPr>
        <w:t xml:space="preserve">No automated inspection system is in place, and no procedure exists for verification of cosmetic defects on finished bottles. A recommendation has been raised (see Section 6).</w:t>
      </w:r>
    </w:p>
    <w:p>
      <w:pPr>
        <w:spacing w:before="80" w:after="80"/>
      </w:pPr>
      <w:r>
        <w:t xml:space="preserve"/>
      </w:r>
    </w:p>
    <w:p>
      <w:pPr>
        <w:pStyle w:val="Heading2"/>
        <w:shd w:fill="2E75B6" w:val="clear"/>
        <w:spacing w:before="200" w:after="100"/>
        <w:ind w:left="100"/>
      </w:pPr>
      <w:r>
        <w:rPr>
          <w:rFonts w:ascii="Arial" w:cs="Arial" w:eastAsia="Arial" w:hAnsi="Arial"/>
          <w:b/>
          <w:bCs/>
          <w:color w:val="FFFFFF"/>
          <w:sz w:val="24"/>
          <w:szCs w:val="24"/>
        </w:rPr>
        <w:t xml:space="preserve">5.5 Batch Record Review – Dossantos (Batch No. 060625)</w:t>
      </w:r>
    </w:p>
    <w:p>
      <w:pPr>
        <w:spacing w:before="60" w:after="60"/>
      </w:pPr>
      <w:r>
        <w:rPr>
          <w:rFonts w:ascii="Arial" w:cs="Arial" w:eastAsia="Arial" w:hAnsi="Arial"/>
          <w:sz w:val="20"/>
          <w:szCs w:val="20"/>
        </w:rPr>
        <w:t xml:space="preserve">Batch No. 060625 was manufactured in accordance with Master Batch Manufacturing Record SD-03-R-23, Ver. 01. The batch record includes batch numbers of raw materials used, quantities, equipment references, in-process results, yield, cleaning evidence, and labelling details. No residual solvents or water are used in the manufacturing process.</w:t>
      </w:r>
    </w:p>
    <w:p>
      <w:pPr>
        <w:spacing w:before="60" w:after="60"/>
      </w:pPr>
      <w:r>
        <w:rPr>
          <w:rFonts w:ascii="Arial" w:cs="Arial" w:eastAsia="Arial" w:hAnsi="Arial"/>
          <w:sz w:val="20"/>
          <w:szCs w:val="20"/>
        </w:rPr>
        <w:t xml:space="preserve">Traceability of key raw materials was confirmed: MCT Oil lot number, Vitamin D (lots UT250202201 and UT23120184), and coco aroma lot number are traceable with quantity used per batch. Mixer-6 engagement and cleaning details are documented. Electric pump and supply containers are noted as cleaned. Pre-start inspections are performed, and electronic weighing balances WPT60/150 (No. 05 and No. 09) are verified before operations. In-process controls (homogeneity and translucency) are verified by visual inspection.</w:t>
      </w:r>
    </w:p>
    <w:p>
      <w:pPr>
        <w:spacing w:before="60" w:after="60"/>
      </w:pPr>
      <w:r>
        <w:rPr>
          <w:rFonts w:ascii="Arial" w:cs="Arial" w:eastAsia="Arial" w:hAnsi="Arial"/>
          <w:sz w:val="20"/>
          <w:szCs w:val="20"/>
        </w:rPr>
        <w:t xml:space="preserve">Packing details are maintained in Packing Record No. SD-03-R-24, Ver. 01, including packing material lot numbers, filling machine usage (Filling Machine-01), line clearance information, and density testing (in-house, using pycnometer). Testing for heavy metals was performed at Eurofins. A Certificate of Analysis for Batch No. 101025 was verified: Dossantos Vitamin D3 content (USP 41/NF36 / LC-DAD) and microbiology were tested at Eurofins.</w:t>
      </w:r>
    </w:p>
    <w:p>
      <w:pPr>
        <w:spacing w:before="80" w:after="80"/>
      </w:pPr>
      <w:r>
        <w:t xml:space="preserve"/>
      </w:r>
    </w:p>
    <w:p>
      <w:pPr>
        <w:pStyle w:val="Heading2"/>
        <w:shd w:fill="2E75B6" w:val="clear"/>
        <w:spacing w:before="200" w:after="100"/>
        <w:ind w:left="100"/>
      </w:pPr>
      <w:r>
        <w:rPr>
          <w:rFonts w:ascii="Arial" w:cs="Arial" w:eastAsia="Arial" w:hAnsi="Arial"/>
          <w:b/>
          <w:bCs/>
          <w:color w:val="FFFFFF"/>
          <w:sz w:val="24"/>
          <w:szCs w:val="24"/>
        </w:rPr>
        <w:t xml:space="preserve">5.6 Quality Control and Contract Testing</w:t>
      </w:r>
    </w:p>
    <w:p>
      <w:pPr>
        <w:spacing w:before="60" w:after="60"/>
      </w:pPr>
      <w:r>
        <w:rPr>
          <w:rFonts w:ascii="Arial" w:cs="Arial" w:eastAsia="Arial" w:hAnsi="Arial"/>
          <w:sz w:val="20"/>
          <w:szCs w:val="20"/>
        </w:rPr>
        <w:t xml:space="preserve">PROFARM maintains an on-site Quality Control laboratory for physico-chemical testing. All raw materials related to Dossantos are released based on vendor Certificate of Analysis (CoA). Testing for Vitamin D3 content and microbiological analysis is performed at an external contract testing laboratory – Eurofins.</w:t>
      </w:r>
    </w:p>
    <w:p>
      <w:pPr>
        <w:spacing w:before="60" w:after="60"/>
      </w:pPr>
      <w:r>
        <w:rPr>
          <w:rFonts w:ascii="Arial" w:cs="Arial" w:eastAsia="Arial" w:hAnsi="Arial"/>
          <w:sz w:val="20"/>
          <w:szCs w:val="20"/>
        </w:rPr>
        <w:t xml:space="preserve">A contract testing agreement between PROFARM and Eurofins BPT Slovakia s.r.o. was signed on 04 September 2025. However, Appendix 1 of this agreement (detailing the list of agreed analytical tests) does not include tests for the Dossantos product. Furthermore, clauses 8.2 and 8.3 of the agreement state that method validation and technology transfer cannot be performed without written approval from the contract giver. PROFARM was unable to provide evidence of technology transfer or verification of analytical methods prior to use at Eurofins for Dossantos release testing. This constitutes a Major Observation.</w:t>
      </w:r>
    </w:p>
    <w:p>
      <w:pPr>
        <w:spacing w:before="60" w:after="60"/>
      </w:pPr>
      <w:r>
        <w:rPr>
          <w:rFonts w:ascii="Arial" w:cs="Arial" w:eastAsia="Arial" w:hAnsi="Arial"/>
          <w:sz w:val="20"/>
          <w:szCs w:val="20"/>
        </w:rPr>
        <w:t xml:space="preserve">Additionally, it was confirmed from the Certificate of Analysis for Batch No. 060625 that microbiological testing was performed at Eurofins Polska Sp. z o.o. There is no formal quality agreement in place between PROFARM and Eurofins Polska Sp. z o.o. Neither EmergoPharm nor PROFARM has conducted a supplier audit of Eurofins Polska Sp. z o.o. as a contract testing laboratory. This constitutes a Major Observation.</w:t>
      </w:r>
    </w:p>
    <w:p>
      <w:pPr>
        <w:spacing w:before="60" w:after="60"/>
      </w:pPr>
      <w:r>
        <w:rPr>
          <w:rFonts w:ascii="Arial" w:cs="Arial" w:eastAsia="Arial" w:hAnsi="Arial"/>
          <w:sz w:val="20"/>
          <w:szCs w:val="20"/>
        </w:rPr>
        <w:t xml:space="preserve">Retention samples for Dossantos are maintained at defined environmental conditions. Details of samples dispatched to external laboratories are traceable, and upon receipt of results, CoAs are reviewed and released by QC.</w:t>
      </w:r>
    </w:p>
    <w:p>
      <w:pPr>
        <w:spacing w:before="80" w:after="80"/>
      </w:pPr>
      <w:r>
        <w:t xml:space="preserve"/>
      </w:r>
    </w:p>
    <w:p>
      <w:pPr>
        <w:pStyle w:val="Heading2"/>
        <w:shd w:fill="2E75B6" w:val="clear"/>
        <w:spacing w:before="200" w:after="100"/>
        <w:ind w:left="100"/>
      </w:pPr>
      <w:r>
        <w:rPr>
          <w:rFonts w:ascii="Arial" w:cs="Arial" w:eastAsia="Arial" w:hAnsi="Arial"/>
          <w:b/>
          <w:bCs/>
          <w:color w:val="FFFFFF"/>
          <w:sz w:val="24"/>
          <w:szCs w:val="24"/>
        </w:rPr>
        <w:t xml:space="preserve">5.7 Quality Management System</w:t>
      </w:r>
    </w:p>
    <w:p>
      <w:pPr>
        <w:spacing w:before="60" w:after="60"/>
      </w:pPr>
      <w:r>
        <w:rPr>
          <w:rFonts w:ascii="Arial" w:cs="Arial" w:eastAsia="Arial" w:hAnsi="Arial"/>
          <w:sz w:val="20"/>
          <w:szCs w:val="20"/>
        </w:rPr>
        <w:t xml:space="preserve">PROFARM operates a documented Quality Management System (QMS) aligned with EU GMP requirements and supported by a comprehensive suite of SOPs. The QMS encompasses document control, change management, deviation management, CAPA, OOS handling, complaints, internal audits, training, supplier qualification, and product recalls/withdrawals.</w:t>
      </w:r>
    </w:p>
    <w:p>
      <w:pPr>
        <w:pStyle w:val="Heading3"/>
        <w:shd w:fill="D6E4F0" w:val="clear"/>
        <w:spacing w:before="200" w:after="100"/>
        <w:ind w:left="100"/>
      </w:pPr>
      <w:r>
        <w:rPr>
          <w:rFonts w:ascii="Arial" w:cs="Arial" w:eastAsia="Arial" w:hAnsi="Arial"/>
          <w:b/>
          <w:bCs/>
          <w:color w:val="1F3864"/>
          <w:sz w:val="22"/>
          <w:szCs w:val="22"/>
        </w:rPr>
        <w:t xml:space="preserve">5.7.1 CAPA Management (SOP G-08-P-02, Ed. 06, dated 16.06.2025)</w:t>
      </w:r>
    </w:p>
    <w:p>
      <w:pPr>
        <w:spacing w:before="60" w:after="60"/>
      </w:pPr>
      <w:r>
        <w:rPr>
          <w:rFonts w:ascii="Arial" w:cs="Arial" w:eastAsia="Arial" w:hAnsi="Arial"/>
          <w:sz w:val="20"/>
          <w:szCs w:val="20"/>
        </w:rPr>
        <w:t xml:space="preserve">The CAPA procedure defines the methodology for developing Corrective and Preventive Action Plans (CAPA Plans). The system distinguishes between corrective actions (eliminating the effect of a non-conformity), corrective measures (eliminating the cause and preventing recurrence), and preventive actions. CAPA Plans are prepared on Form F-01/G-08-P-02 and are reviewed for their impact on product quality and legal compliance prior to implementation.</w:t>
      </w:r>
    </w:p>
    <w:p>
      <w:pPr>
        <w:spacing w:before="60" w:after="60"/>
      </w:pPr>
      <w:r>
        <w:rPr>
          <w:rFonts w:ascii="Arial" w:cs="Arial" w:eastAsia="Arial" w:hAnsi="Arial"/>
          <w:sz w:val="20"/>
          <w:szCs w:val="20"/>
        </w:rPr>
        <w:t xml:space="preserve">Responsibilities: The QA Specialist is responsible for approving, storing, supervising, and coordinating CAPA Plans, as well as designating responsible persons and verifying effectiveness. The Plant Director approves financial action requests and evaluates CAPA effectiveness when the plan is prepared by the QA Specialist.</w:t>
      </w:r>
    </w:p>
    <w:p>
      <w:pPr>
        <w:spacing w:before="60" w:after="60"/>
      </w:pPr>
      <w:r>
        <w:rPr>
          <w:rFonts w:ascii="Arial" w:cs="Arial" w:eastAsia="Arial" w:hAnsi="Arial"/>
          <w:sz w:val="20"/>
          <w:szCs w:val="20"/>
        </w:rPr>
        <w:t xml:space="preserve">CAPA Plans are retained in the QA department for 3 years from the date of implementation. Where actions require financial resources, a financial action request (Form F-02/G-08-P-02) must be submitted to the responsible Director for approval.</w:t>
      </w:r>
    </w:p>
    <w:p>
      <w:pPr>
        <w:pStyle w:val="Heading3"/>
        <w:shd w:fill="D6E4F0" w:val="clear"/>
        <w:spacing w:before="200" w:after="100"/>
        <w:ind w:left="100"/>
      </w:pPr>
      <w:r>
        <w:rPr>
          <w:rFonts w:ascii="Arial" w:cs="Arial" w:eastAsia="Arial" w:hAnsi="Arial"/>
          <w:b/>
          <w:bCs/>
          <w:color w:val="1F3864"/>
          <w:sz w:val="22"/>
          <w:szCs w:val="22"/>
        </w:rPr>
        <w:t xml:space="preserve">5.7.2 Deviation Management (SOP G-13-P-03, Ed. 12, dated 15.08.2025)</w:t>
      </w:r>
    </w:p>
    <w:p>
      <w:pPr>
        <w:spacing w:before="60" w:after="60"/>
      </w:pPr>
      <w:r>
        <w:rPr>
          <w:rFonts w:ascii="Arial" w:cs="Arial" w:eastAsia="Arial" w:hAnsi="Arial"/>
          <w:sz w:val="20"/>
          <w:szCs w:val="20"/>
        </w:rPr>
        <w:t xml:space="preserve">The deviation procedure defines non-conformances as unintentional and unconscious errors resulting from process oversight or inadequate implementation of procedures. Deviations are defined as accidental departures from approved procedural requirements – such as changes in analytical methods due to equipment failure, or spillage of raw materials during weighing. Existing deviations should not affect the quality of the finished product.</w:t>
      </w:r>
    </w:p>
    <w:p>
      <w:pPr>
        <w:spacing w:before="60" w:after="60"/>
      </w:pPr>
      <w:r>
        <w:rPr>
          <w:rFonts w:ascii="Arial" w:cs="Arial" w:eastAsia="Arial" w:hAnsi="Arial"/>
          <w:sz w:val="20"/>
          <w:szCs w:val="20"/>
        </w:rPr>
        <w:t xml:space="preserve">All deviations and non-conformances must be reported and assessed within 24 hours of observation. Critical non-conformances require immediate notification to the Qualified Person (QP). All investigation protocols must be approved by the QP, who makes the decision on the fate of the affected batch. The Plant Director also approves completed protocols. Deviation records are retained for at minimum 1 year after batch expiry, but not less than 5 years.</w:t>
      </w:r>
    </w:p>
    <w:p>
      <w:pPr>
        <w:spacing w:before="60" w:after="60"/>
      </w:pPr>
      <w:r>
        <w:rPr>
          <w:rFonts w:ascii="Arial" w:cs="Arial" w:eastAsia="Arial" w:hAnsi="Arial"/>
          <w:sz w:val="20"/>
          <w:szCs w:val="20"/>
        </w:rPr>
        <w:t xml:space="preserve">The legal basis of this procedure is Art. 51 of Directive 2001/83/EC and Annex 16 of EU GMP (Qualified Person responsibilities). Root cause categories include: human error, process errors, and environmental errors.</w:t>
      </w:r>
    </w:p>
    <w:p>
      <w:pPr>
        <w:pStyle w:val="Heading3"/>
        <w:shd w:fill="D6E4F0" w:val="clear"/>
        <w:spacing w:before="200" w:after="100"/>
        <w:ind w:left="100"/>
      </w:pPr>
      <w:r>
        <w:rPr>
          <w:rFonts w:ascii="Arial" w:cs="Arial" w:eastAsia="Arial" w:hAnsi="Arial"/>
          <w:b/>
          <w:bCs/>
          <w:color w:val="1F3864"/>
          <w:sz w:val="22"/>
          <w:szCs w:val="22"/>
        </w:rPr>
        <w:t xml:space="preserve">5.7.3 OOS Management (SOP G-13-P-01, Ed. 14, dated 16.09.2025)</w:t>
      </w:r>
    </w:p>
    <w:p>
      <w:pPr>
        <w:spacing w:before="60" w:after="60"/>
      </w:pPr>
      <w:r>
        <w:rPr>
          <w:rFonts w:ascii="Arial" w:cs="Arial" w:eastAsia="Arial" w:hAnsi="Arial"/>
          <w:sz w:val="20"/>
          <w:szCs w:val="20"/>
        </w:rPr>
        <w:t xml:space="preserve">The OOS procedure covers all analytical results outside specification (OOS) or outside the established limit (OOL) for raw materials, packaging materials, in-process, intermediate and finished products, as well as stability studies. Out-of-Trend (OOT) results are excluded and managed under SOP G-16-P-02.</w:t>
      </w:r>
    </w:p>
    <w:p>
      <w:pPr>
        <w:spacing w:before="60" w:after="60"/>
      </w:pPr>
      <w:r>
        <w:rPr>
          <w:rFonts w:ascii="Arial" w:cs="Arial" w:eastAsia="Arial" w:hAnsi="Arial"/>
          <w:sz w:val="20"/>
          <w:szCs w:val="20"/>
        </w:rPr>
        <w:t xml:space="preserve">The procedure identifies four root cause categories: analytical execution errors, sampling errors, inadequate material/product quality, and manufacturing process errors. The QC Specialist/Analyst must report each individual OOS result to their supervisor and complete the first section of the OOS Protocol (Form No. 01). The QC Manager/QA Specialist is responsible for conducting explanatory investigations to confirm or invalidate the OOS result, including review of raw data, chromatograms, calculation verification, instrument performance, method compliance, and historical data.</w:t>
      </w:r>
    </w:p>
    <w:p>
      <w:pPr>
        <w:spacing w:before="60" w:after="60"/>
      </w:pPr>
      <w:r>
        <w:rPr>
          <w:rFonts w:ascii="Arial" w:cs="Arial" w:eastAsia="Arial" w:hAnsi="Arial"/>
          <w:sz w:val="20"/>
          <w:szCs w:val="20"/>
        </w:rPr>
        <w:t xml:space="preserve">Retesting requirements: Retesting must be performed from the same original sample; repeated retesting until specification is met is strictly prohibited. Decisions on retesting must be scientifically justified and authorized by the QC Manager. Confirmed OOL results in on-going stability studies must be immediately reported to the Chief Pharmaceutical Inspector (GIF).</w:t>
      </w:r>
    </w:p>
    <w:p>
      <w:pPr>
        <w:spacing w:before="60" w:after="60"/>
      </w:pPr>
      <w:r>
        <w:rPr>
          <w:rFonts w:ascii="Arial" w:cs="Arial" w:eastAsia="Arial" w:hAnsi="Arial"/>
          <w:sz w:val="20"/>
          <w:szCs w:val="20"/>
        </w:rPr>
        <w:t xml:space="preserve">All OOS results are documented in the OOS register (Form No. 03) maintained by the QC Manager.</w:t>
      </w:r>
    </w:p>
    <w:p>
      <w:pPr>
        <w:pStyle w:val="Heading3"/>
        <w:shd w:fill="D6E4F0" w:val="clear"/>
        <w:spacing w:before="200" w:after="100"/>
        <w:ind w:left="100"/>
      </w:pPr>
      <w:r>
        <w:rPr>
          <w:rFonts w:ascii="Arial" w:cs="Arial" w:eastAsia="Arial" w:hAnsi="Arial"/>
          <w:b/>
          <w:bCs/>
          <w:color w:val="1F3864"/>
          <w:sz w:val="22"/>
          <w:szCs w:val="22"/>
        </w:rPr>
        <w:t xml:space="preserve">5.7.4 Internal Audits (SOP G-09-P-01, Ed. 19, dated 02.07.2025)</w:t>
      </w:r>
    </w:p>
    <w:p>
      <w:pPr>
        <w:spacing w:before="60" w:after="60"/>
      </w:pPr>
      <w:r>
        <w:rPr>
          <w:rFonts w:ascii="Arial" w:cs="Arial" w:eastAsia="Arial" w:hAnsi="Arial"/>
          <w:sz w:val="20"/>
          <w:szCs w:val="20"/>
        </w:rPr>
        <w:t xml:space="preserve">The internal audit procedure ensures a system of planned, regular, and independent audits covering the Quality System and GMP compliance. The annual audit plan is prepared by the QA Specialist/QA Department and approved by the Plant Director. Monthly inspections of Production and Warehouse areas are performed by the Lead Auditor. The audit scope covers all areas with an impact on product quality.</w:t>
      </w:r>
    </w:p>
    <w:p>
      <w:pPr>
        <w:spacing w:before="60" w:after="60"/>
      </w:pPr>
      <w:r>
        <w:rPr>
          <w:rFonts w:ascii="Arial" w:cs="Arial" w:eastAsia="Arial" w:hAnsi="Arial"/>
          <w:sz w:val="20"/>
          <w:szCs w:val="20"/>
        </w:rPr>
        <w:t xml:space="preserve">Audit reports are issued within 5 days of audit completion. The CAPA Plan in response to audit findings must be submitted within 7 days of receipt of the audit report. Audit reports are approved by the Plant Director and retained in the QA department. CAPA Plans are managed under SOP G-08-P-02.</w:t>
      </w:r>
    </w:p>
    <w:p>
      <w:pPr>
        <w:spacing w:before="60" w:after="60"/>
      </w:pPr>
      <w:r>
        <w:rPr>
          <w:rFonts w:ascii="Arial" w:cs="Arial" w:eastAsia="Arial" w:hAnsi="Arial"/>
          <w:sz w:val="20"/>
          <w:szCs w:val="20"/>
        </w:rPr>
        <w:t xml:space="preserve">A closing meeting is held with the responsible area manager to review findings, resolve interpretation differences, and agree on corrective actions. The audit is considered closed upon the Plant Director's approval of the audit report.</w:t>
      </w:r>
    </w:p>
    <w:p>
      <w:pPr>
        <w:pStyle w:val="Heading3"/>
        <w:shd w:fill="D6E4F0" w:val="clear"/>
        <w:spacing w:before="200" w:after="100"/>
        <w:ind w:left="100"/>
      </w:pPr>
      <w:r>
        <w:rPr>
          <w:rFonts w:ascii="Arial" w:cs="Arial" w:eastAsia="Arial" w:hAnsi="Arial"/>
          <w:b/>
          <w:bCs/>
          <w:color w:val="1F3864"/>
          <w:sz w:val="22"/>
          <w:szCs w:val="22"/>
        </w:rPr>
        <w:t xml:space="preserve">5.7.5 Training (SOP G-02-P-01, Ed. 19, dated 03.07.2025)</w:t>
      </w:r>
    </w:p>
    <w:p>
      <w:pPr>
        <w:spacing w:before="60" w:after="60"/>
      </w:pPr>
      <w:r>
        <w:rPr>
          <w:rFonts w:ascii="Arial" w:cs="Arial" w:eastAsia="Arial" w:hAnsi="Arial"/>
          <w:sz w:val="20"/>
          <w:szCs w:val="20"/>
        </w:rPr>
        <w:t xml:space="preserve">The training procedure defines rules for conducting internal and external training, including training on GMP principles. The procedure applies to all employees with an impact on product quality. GMP and QMS training is mandatory for all employees and must be conducted at least once per year.</w:t>
      </w:r>
    </w:p>
    <w:p>
      <w:pPr>
        <w:spacing w:before="60" w:after="60"/>
      </w:pPr>
      <w:r>
        <w:rPr>
          <w:rFonts w:ascii="Arial" w:cs="Arial" w:eastAsia="Arial" w:hAnsi="Arial"/>
          <w:sz w:val="20"/>
          <w:szCs w:val="20"/>
        </w:rPr>
        <w:t xml:space="preserve">An annual training schedule is prepared at the beginning of each calendar year, incorporating needs identified from internal audits and inspections. Unplanned training may be conducted for urgent needs (e.g., new equipment, serious non-conformances). A written post-training test is required after each periodic training session, with a passing threshold of 80% correct answers. Training records are maintained individually per employee by the QA Department (Form F-03). New document issues and updates are distributed electronically to all relevant personnel, who must acknowledge receipt (Form F-04-G-02-P-01).</w:t>
      </w:r>
    </w:p>
    <w:p>
      <w:pPr>
        <w:spacing w:before="60" w:after="60"/>
      </w:pPr>
      <w:r>
        <w:rPr>
          <w:rFonts w:ascii="Arial" w:cs="Arial" w:eastAsia="Arial" w:hAnsi="Arial"/>
          <w:sz w:val="20"/>
          <w:szCs w:val="20"/>
        </w:rPr>
        <w:t xml:space="preserve">External training (minimum 1 per year) is selected based on identified needs. Participation is confirmed by submission of a certificate of attendance to the QA Department.</w:t>
      </w:r>
    </w:p>
    <w:p>
      <w:pPr>
        <w:pStyle w:val="Heading3"/>
        <w:shd w:fill="D6E4F0" w:val="clear"/>
        <w:spacing w:before="200" w:after="100"/>
        <w:ind w:left="100"/>
      </w:pPr>
      <w:r>
        <w:rPr>
          <w:rFonts w:ascii="Arial" w:cs="Arial" w:eastAsia="Arial" w:hAnsi="Arial"/>
          <w:b/>
          <w:bCs/>
          <w:color w:val="1F3864"/>
          <w:sz w:val="22"/>
          <w:szCs w:val="22"/>
        </w:rPr>
        <w:t xml:space="preserve">5.7.6 Complaints and Recall (SOPs G-07-P-01 / PR-EM-07-06 / PR-EM-15-03)</w:t>
      </w:r>
    </w:p>
    <w:p>
      <w:pPr>
        <w:spacing w:before="60" w:after="60"/>
      </w:pPr>
      <w:r>
        <w:rPr>
          <w:rFonts w:ascii="Arial" w:cs="Arial" w:eastAsia="Arial" w:hAnsi="Arial"/>
          <w:sz w:val="20"/>
          <w:szCs w:val="20"/>
        </w:rPr>
        <w:t xml:space="preserve">PROFARM maintains a complaints procedure (G-07-P-01) for medicinal products and medical devices, including recall and market withdrawal procedures (G-08-P-01). EmergoPharm, as the contract giver, also operates its own complaints SOP (PR-EM-07-06) and recall procedure (PR-EM-15-03), which governs product withdrawal and sales suspension.</w:t>
      </w:r>
    </w:p>
    <w:p>
      <w:pPr>
        <w:spacing w:before="60" w:after="60"/>
      </w:pPr>
      <w:r>
        <w:rPr>
          <w:rFonts w:ascii="Arial" w:cs="Arial" w:eastAsia="Arial" w:hAnsi="Arial"/>
          <w:sz w:val="20"/>
          <w:szCs w:val="20"/>
        </w:rPr>
        <w:t xml:space="preserve">Complaints are categorised as medical incidents (serious incidents), significant defects, or minor defects. The RA&amp;Q Manager at EmergoPharm is responsible for complaint assessment, classification, and response within one month of receipt of the returned product. An annual review of complaints is performed under the Post-Market Surveillance (PMS) procedure.</w:t>
      </w:r>
    </w:p>
    <w:p>
      <w:pPr>
        <w:spacing w:before="60" w:after="60"/>
      </w:pPr>
      <w:r>
        <w:rPr>
          <w:rFonts w:ascii="Arial" w:cs="Arial" w:eastAsia="Arial" w:hAnsi="Arial"/>
          <w:sz w:val="20"/>
          <w:szCs w:val="20"/>
        </w:rPr>
        <w:t xml:space="preserve">Recall decisions are taken by EmergoPharm's Board. All recalls and sales suspensions are registered on the Withdrawn/Suspended Products Register (Form F-EM-22). Withdrawn products are returned to the contract manufacturer for assessment, testing, or disposal.</w:t>
      </w:r>
    </w:p>
    <w:p>
      <w:pPr>
        <w:spacing w:before="80" w:after="80"/>
      </w:pPr>
      <w:r>
        <w:t xml:space="preserve"/>
      </w:r>
    </w:p>
    <w:p>
      <w:pPr>
        <w:pStyle w:val="Heading2"/>
        <w:shd w:fill="2E75B6" w:val="clear"/>
        <w:spacing w:before="200" w:after="100"/>
        <w:ind w:left="100"/>
      </w:pPr>
      <w:r>
        <w:rPr>
          <w:rFonts w:ascii="Arial" w:cs="Arial" w:eastAsia="Arial" w:hAnsi="Arial"/>
          <w:b/>
          <w:bCs/>
          <w:color w:val="FFFFFF"/>
          <w:sz w:val="24"/>
          <w:szCs w:val="24"/>
        </w:rPr>
        <w:t xml:space="preserve">5.8 Process Validation</w:t>
      </w:r>
    </w:p>
    <w:p>
      <w:pPr>
        <w:spacing w:before="60" w:after="60"/>
      </w:pPr>
      <w:r>
        <w:rPr>
          <w:rFonts w:ascii="Arial" w:cs="Arial" w:eastAsia="Arial" w:hAnsi="Arial"/>
          <w:sz w:val="20"/>
          <w:szCs w:val="20"/>
        </w:rPr>
        <w:t xml:space="preserve">No procedure for process validation is in place for Dossantos. Additionally, Annual Product Quality Reviews (APQRs) are not performed for Dossantos, as it is classified as a food supplement. This represents a Major Observation and is inconsistent with the site's stated commitment to GMP-equivalent quality standards for all product categories manufactured at the site. (See Section 6: Findings)</w:t>
      </w:r>
    </w:p>
    <w:p>
      <w:pPr>
        <w:spacing w:before="80" w:after="80"/>
      </w:pPr>
      <w:r>
        <w:t xml:space="preserve"/>
      </w:r>
    </w:p>
    <w:p>
      <w:pPr>
        <w:pStyle w:val="Heading2"/>
        <w:shd w:fill="2E75B6" w:val="clear"/>
        <w:spacing w:before="200" w:after="100"/>
        <w:ind w:left="100"/>
      </w:pPr>
      <w:r>
        <w:rPr>
          <w:rFonts w:ascii="Arial" w:cs="Arial" w:eastAsia="Arial" w:hAnsi="Arial"/>
          <w:b/>
          <w:bCs/>
          <w:color w:val="FFFFFF"/>
          <w:sz w:val="24"/>
          <w:szCs w:val="24"/>
        </w:rPr>
        <w:t xml:space="preserve">5.9 Supplier Management</w:t>
      </w:r>
    </w:p>
    <w:p>
      <w:pPr>
        <w:spacing w:before="60" w:after="60"/>
      </w:pPr>
      <w:r>
        <w:rPr>
          <w:rFonts w:ascii="Arial" w:cs="Arial" w:eastAsia="Arial" w:hAnsi="Arial"/>
          <w:sz w:val="20"/>
          <w:szCs w:val="20"/>
        </w:rPr>
        <w:t xml:space="preserve">PROFARM has a supplier qualification procedure (G-09-P-02) in place. However, during the audit, no approved vendor list (AVL) for critical raw materials including APIs could be provided. This constitutes a Major Observation.</w:t>
      </w:r>
    </w:p>
    <w:p>
      <w:pPr>
        <w:spacing w:before="60" w:after="60"/>
      </w:pPr>
      <w:r>
        <w:rPr>
          <w:rFonts w:ascii="Arial" w:cs="Arial" w:eastAsia="Arial" w:hAnsi="Arial"/>
          <w:sz w:val="20"/>
          <w:szCs w:val="20"/>
        </w:rPr>
        <w:t xml:space="preserve">All raw materials for Dossantos are released based on vendor CoA. The API (Vitamin D3) is tested externally at Eurofins, with arrangements reviewed under Section 5.6 above.</w:t>
      </w:r>
    </w:p>
    <w:p>
      <w:pPr>
        <w:spacing w:before="80" w:after="80"/>
      </w:pPr>
      <w:r>
        <w:t xml:space="preserve"/>
      </w:r>
    </w:p>
    <w:p>
      <w:r>
        <w:br w:type="page"/>
      </w:r>
    </w:p>
    <w:p>
      <w:pPr>
        <w:pStyle w:val="Heading1"/>
        <w:shd w:fill="1F3864" w:val="clear"/>
        <w:spacing w:before="200" w:after="100"/>
        <w:ind w:left="100"/>
      </w:pPr>
      <w:r>
        <w:rPr>
          <w:rFonts w:ascii="Arial" w:cs="Arial" w:eastAsia="Arial" w:hAnsi="Arial"/>
          <w:b/>
          <w:bCs/>
          <w:color w:val="FFFFFF"/>
          <w:sz w:val="28"/>
          <w:szCs w:val="28"/>
        </w:rPr>
        <w:t xml:space="preserve">SECTION 6: FINDINGS SUMMARY</w:t>
      </w:r>
    </w:p>
    <w:p>
      <w:pPr>
        <w:spacing w:before="80" w:after="80"/>
      </w:pPr>
      <w:r>
        <w:t xml:space="preserve"/>
      </w:r>
    </w:p>
    <w:p>
      <w:pPr>
        <w:spacing w:before="60" w:after="60"/>
      </w:pPr>
      <w:r>
        <w:rPr>
          <w:rFonts w:ascii="Arial" w:cs="Arial" w:eastAsia="Arial" w:hAnsi="Arial"/>
          <w:b/>
          <w:bCs/>
          <w:sz w:val="20"/>
          <w:szCs w:val="20"/>
        </w:rPr>
        <w:t xml:space="preserve">Overall Findings Count: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75B6" w:sz="6"/>
              <w:left w:val="single" w:color="2E75B6" w:sz="6"/>
              <w:bottom w:val="single" w:color="2E75B6" w:sz="6"/>
              <w:right w:val="single" w:color="2E75B6" w:sz="6"/>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Critical</w:t>
            </w:r>
          </w:p>
        </w:tc>
        <w:tc>
          <w:tcPr>
            <w:tcW w:type="dxa" w:w="2340"/>
            <w:tcBorders>
              <w:top w:val="single" w:color="2E75B6" w:sz="6"/>
              <w:left w:val="single" w:color="2E75B6" w:sz="6"/>
              <w:bottom w:val="single" w:color="2E75B6" w:sz="6"/>
              <w:right w:val="single" w:color="2E75B6" w:sz="6"/>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Major</w:t>
            </w:r>
          </w:p>
        </w:tc>
        <w:tc>
          <w:tcPr>
            <w:tcW w:type="dxa" w:w="2340"/>
            <w:tcBorders>
              <w:top w:val="single" w:color="2E75B6" w:sz="6"/>
              <w:left w:val="single" w:color="2E75B6" w:sz="6"/>
              <w:bottom w:val="single" w:color="2E75B6" w:sz="6"/>
              <w:right w:val="single" w:color="2E75B6" w:sz="6"/>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Minor</w:t>
            </w:r>
          </w:p>
        </w:tc>
        <w:tc>
          <w:tcPr>
            <w:tcW w:type="dxa" w:w="2340"/>
            <w:tcBorders>
              <w:top w:val="single" w:color="2E75B6" w:sz="6"/>
              <w:left w:val="single" w:color="2E75B6" w:sz="6"/>
              <w:bottom w:val="single" w:color="2E75B6" w:sz="6"/>
              <w:right w:val="single" w:color="2E75B6" w:sz="6"/>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Recommendation</w:t>
            </w:r>
          </w:p>
        </w:tc>
      </w:tr>
      <w:tr>
        <w:tc>
          <w:tcPr>
            <w:tcW w:type="dxa" w:w="2340"/>
            <w:tcBorders>
              <w:top w:val="single" w:color="AAAAAA" w:sz="6"/>
              <w:left w:val="single" w:color="AAAAAA" w:sz="6"/>
              <w:bottom w:val="single" w:color="AAAAAA" w:sz="6"/>
              <w:right w:val="single" w:color="AAAAAA" w:sz="6"/>
            </w:tcBorders>
            <w:shd w:fill="FFE0E0" w:val="clear"/>
            <w:tcMar>
              <w:top w:type="dxa" w:w="80"/>
              <w:left w:type="dxa" w:w="100"/>
              <w:bottom w:type="dxa" w:w="80"/>
              <w:right w:type="dxa" w:w="100"/>
            </w:tcMar>
          </w:tcPr>
          <w:p>
            <w:pPr>
              <w:jc w:val="center"/>
            </w:pPr>
            <w:r>
              <w:rPr>
                <w:rFonts w:ascii="Arial" w:cs="Arial" w:eastAsia="Arial" w:hAnsi="Arial"/>
                <w:b/>
                <w:bCs/>
                <w:sz w:val="22"/>
                <w:szCs w:val="22"/>
              </w:rPr>
              <w:t xml:space="preserve">0</w:t>
            </w:r>
          </w:p>
        </w:tc>
        <w:tc>
          <w:tcPr>
            <w:tcW w:type="dxa" w:w="2340"/>
            <w:tcBorders>
              <w:top w:val="single" w:color="AAAAAA" w:sz="6"/>
              <w:left w:val="single" w:color="AAAAAA" w:sz="6"/>
              <w:bottom w:val="single" w:color="AAAAAA" w:sz="6"/>
              <w:right w:val="single" w:color="AAAAAA" w:sz="6"/>
            </w:tcBorders>
            <w:shd w:fill="FDEBD0" w:val="clear"/>
            <w:tcMar>
              <w:top w:type="dxa" w:w="80"/>
              <w:left w:type="dxa" w:w="100"/>
              <w:bottom w:type="dxa" w:w="80"/>
              <w:right w:type="dxa" w:w="100"/>
            </w:tcMar>
          </w:tcPr>
          <w:p>
            <w:pPr>
              <w:jc w:val="center"/>
            </w:pPr>
            <w:r>
              <w:rPr>
                <w:rFonts w:ascii="Arial" w:cs="Arial" w:eastAsia="Arial" w:hAnsi="Arial"/>
                <w:b/>
                <w:bCs/>
                <w:sz w:val="22"/>
                <w:szCs w:val="22"/>
              </w:rPr>
              <w:t xml:space="preserve">4</w:t>
            </w:r>
          </w:p>
        </w:tc>
        <w:tc>
          <w:tcPr>
            <w:tcW w:type="dxa" w:w="2340"/>
            <w:tcBorders>
              <w:top w:val="single" w:color="AAAAAA" w:sz="6"/>
              <w:left w:val="single" w:color="AAAAAA" w:sz="6"/>
              <w:bottom w:val="single" w:color="AAAAAA" w:sz="6"/>
              <w:right w:val="single" w:color="AAAAAA" w:sz="6"/>
            </w:tcBorders>
            <w:shd w:fill="EAF4FB" w:val="clear"/>
            <w:tcMar>
              <w:top w:type="dxa" w:w="80"/>
              <w:left w:type="dxa" w:w="100"/>
              <w:bottom w:type="dxa" w:w="80"/>
              <w:right w:type="dxa" w:w="100"/>
            </w:tcMar>
          </w:tcPr>
          <w:p>
            <w:pPr>
              <w:jc w:val="center"/>
            </w:pPr>
            <w:r>
              <w:rPr>
                <w:rFonts w:ascii="Arial" w:cs="Arial" w:eastAsia="Arial" w:hAnsi="Arial"/>
                <w:b/>
                <w:bCs/>
                <w:sz w:val="22"/>
                <w:szCs w:val="22"/>
              </w:rPr>
              <w:t xml:space="preserve">0</w:t>
            </w:r>
          </w:p>
        </w:tc>
        <w:tc>
          <w:tcPr>
            <w:tcW w:type="dxa" w:w="2340"/>
            <w:tcBorders>
              <w:top w:val="single" w:color="AAAAAA" w:sz="6"/>
              <w:left w:val="single" w:color="AAAAAA" w:sz="6"/>
              <w:bottom w:val="single" w:color="AAAAAA" w:sz="6"/>
              <w:right w:val="single" w:color="AAAAAA" w:sz="6"/>
            </w:tcBorders>
            <w:shd w:fill="F2F2F2" w:val="clear"/>
            <w:tcMar>
              <w:top w:type="dxa" w:w="80"/>
              <w:left w:type="dxa" w:w="100"/>
              <w:bottom w:type="dxa" w:w="80"/>
              <w:right w:type="dxa" w:w="100"/>
            </w:tcMar>
          </w:tcPr>
          <w:p>
            <w:pPr>
              <w:jc w:val="center"/>
            </w:pPr>
            <w:r>
              <w:rPr>
                <w:rFonts w:ascii="Arial" w:cs="Arial" w:eastAsia="Arial" w:hAnsi="Arial"/>
                <w:b/>
                <w:bCs/>
                <w:sz w:val="22"/>
                <w:szCs w:val="22"/>
              </w:rPr>
              <w:t xml:space="preserve">1</w:t>
            </w:r>
          </w:p>
        </w:tc>
      </w:tr>
    </w:tbl>
    <w:p>
      <w:pPr>
        <w:spacing w:before="80" w:after="80"/>
      </w:pPr>
      <w:r>
        <w:t xml:space="preserve"/>
      </w:r>
    </w:p>
    <w:p>
      <w:pPr>
        <w:pStyle w:val="Heading2"/>
        <w:shd w:fill="2E75B6" w:val="clear"/>
        <w:spacing w:before="200" w:after="100"/>
        <w:ind w:left="100"/>
      </w:pPr>
      <w:r>
        <w:rPr>
          <w:rFonts w:ascii="Arial" w:cs="Arial" w:eastAsia="Arial" w:hAnsi="Arial"/>
          <w:b/>
          <w:bCs/>
          <w:color w:val="FFFFFF"/>
          <w:sz w:val="24"/>
          <w:szCs w:val="24"/>
        </w:rPr>
        <w:t xml:space="preserve">6.1 Classification of Observations</w:t>
      </w:r>
    </w:p>
    <w:p>
      <w:pPr>
        <w:spacing w:before="60" w:after="60"/>
      </w:pPr>
      <w:r>
        <w:rPr>
          <w:rFonts w:ascii="Arial" w:cs="Arial" w:eastAsia="Arial" w:hAnsi="Arial"/>
          <w:sz w:val="20"/>
          <w:szCs w:val="20"/>
        </w:rPr>
        <w:t xml:space="preserve">Critical Observation: A deficiency which has produced or leads to a significant risk of producing either a product that is harmful to the patient, or a product that could result in harmful effects. A combination of major deficiencies indicating a serious systemic failure may also be classified as critical.</w:t>
      </w:r>
    </w:p>
    <w:p>
      <w:pPr>
        <w:spacing w:before="60" w:after="60"/>
      </w:pPr>
      <w:r>
        <w:rPr>
          <w:rFonts w:ascii="Arial" w:cs="Arial" w:eastAsia="Arial" w:hAnsi="Arial"/>
          <w:sz w:val="20"/>
          <w:szCs w:val="20"/>
        </w:rPr>
        <w:t xml:space="preserve">Major Observation: A non-critical deficiency which has produced or may produce a product that does not comply with its marketing authorisation/specification, or which indicates a major deviation from GMP requirements, or failure to carry out satisfactory procedures for batch release.</w:t>
      </w:r>
    </w:p>
    <w:p>
      <w:pPr>
        <w:spacing w:before="60" w:after="60"/>
      </w:pPr>
      <w:r>
        <w:rPr>
          <w:rFonts w:ascii="Arial" w:cs="Arial" w:eastAsia="Arial" w:hAnsi="Arial"/>
          <w:sz w:val="20"/>
          <w:szCs w:val="20"/>
        </w:rPr>
        <w:t xml:space="preserve">Minor Observation: A deficiency representing a departure from GMP that has no direct impact on product quality.</w:t>
      </w:r>
    </w:p>
    <w:p>
      <w:pPr>
        <w:spacing w:before="60" w:after="60"/>
      </w:pPr>
      <w:r>
        <w:rPr>
          <w:rFonts w:ascii="Arial" w:cs="Arial" w:eastAsia="Arial" w:hAnsi="Arial"/>
          <w:sz w:val="20"/>
          <w:szCs w:val="20"/>
        </w:rPr>
        <w:t xml:space="preserve">Recommendation: A one-off minor discrepancy or improvement opportunity not formally classified as a deficiency.</w:t>
      </w:r>
    </w:p>
    <w:p>
      <w:pPr>
        <w:spacing w:before="80" w:after="80"/>
      </w:pPr>
      <w:r>
        <w:t xml:space="preserve"/>
      </w:r>
    </w:p>
    <w:p>
      <w:pPr>
        <w:pStyle w:val="Heading2"/>
        <w:shd w:fill="2E75B6" w:val="clear"/>
        <w:spacing w:before="200" w:after="100"/>
        <w:ind w:left="100"/>
      </w:pPr>
      <w:r>
        <w:rPr>
          <w:rFonts w:ascii="Arial" w:cs="Arial" w:eastAsia="Arial" w:hAnsi="Arial"/>
          <w:b/>
          <w:bCs/>
          <w:color w:val="FFFFFF"/>
          <w:sz w:val="24"/>
          <w:szCs w:val="24"/>
        </w:rPr>
        <w:t xml:space="preserve">6.2 Detailed Observations</w:t>
      </w:r>
    </w:p>
    <w:p>
      <w:pPr>
        <w:spacing w:before="80" w:after="80"/>
      </w:pPr>
      <w:r>
        <w:t xml:space="preserve"/>
      </w:r>
    </w:p>
    <w:p>
      <w:pPr>
        <w:spacing w:before="60" w:after="60"/>
      </w:pPr>
      <w:r>
        <w:rPr>
          <w:rFonts w:ascii="Arial" w:cs="Arial" w:eastAsia="Arial" w:hAnsi="Arial"/>
          <w:b/>
          <w:bCs/>
          <w:sz w:val="20"/>
          <w:szCs w:val="20"/>
        </w:rPr>
        <w:t xml:space="preserve">MAJOR OBSERVATIONS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2"/>
              <w:left w:val="single" w:color="ED7D31" w:sz="12"/>
              <w:bottom w:val="single" w:color="ED7D31" w:sz="12"/>
              <w:right w:val="single" w:color="ED7D31" w:sz="12"/>
            </w:tcBorders>
            <w:shd w:fill="FDEBD0" w:val="clear"/>
            <w:tcMar>
              <w:top w:type="dxa" w:w="80"/>
              <w:left w:type="dxa" w:w="140"/>
              <w:bottom w:type="dxa" w:w="80"/>
              <w:right w:type="dxa" w:w="140"/>
            </w:tcMar>
          </w:tcPr>
          <w:p>
            <w:pPr>
              <w:spacing w:before="40" w:after="40"/>
            </w:pPr>
            <w:r>
              <w:rPr>
                <w:rFonts w:ascii="Arial" w:cs="Arial" w:eastAsia="Arial" w:hAnsi="Arial"/>
                <w:b/>
                <w:bCs/>
                <w:color w:val="ED7D31"/>
                <w:sz w:val="20"/>
                <w:szCs w:val="20"/>
              </w:rPr>
              <w:t xml:space="preserve">🟠 MAJOR OBSERVATION</w:t>
            </w:r>
          </w:p>
          <w:p>
            <w:pPr>
              <w:spacing w:before="40" w:after="40"/>
            </w:pPr>
            <w:r>
              <w:rPr>
                <w:rFonts w:ascii="Arial" w:cs="Arial" w:eastAsia="Arial" w:hAnsi="Arial"/>
                <w:b/>
                <w:bCs/>
                <w:sz w:val="18"/>
                <w:szCs w:val="18"/>
              </w:rPr>
              <w:t xml:space="preserve">Reference: OBS-001 | Contract Testing – Dossantos</w:t>
            </w:r>
          </w:p>
          <w:p>
            <w:pPr>
              <w:spacing w:before="40" w:after="40"/>
            </w:pPr>
            <w:r>
              <w:rPr>
                <w:rFonts w:ascii="Arial" w:cs="Arial" w:eastAsia="Arial" w:hAnsi="Arial"/>
                <w:sz w:val="18"/>
                <w:szCs w:val="18"/>
              </w:rPr>
              <w:t xml:space="preserve">Observation: A contract testing agreement between PROFARM and Eurofins BPT Slovakia s.r.o. was signed on 04 September 2025. However, Appendix 1 of the agreement – which lists the agreed analytical tests – does not include tests for the Dossantos product. Clauses 8.2 and 8.3 of the agreement specify that method validation and technology transfer require written approval from the contract giver before execution. PROFARM was unable to provide evidence that technology transfer was completed or that analytical methods were verified prior to their use at Eurofins BPT Slovakia for Dossantos release testing (Vitamin D3 content).</w:t>
            </w:r>
          </w:p>
          <w:p>
            <w:pPr>
              <w:spacing w:before="40" w:after="40"/>
            </w:pPr>
            <w:r>
              <w:rPr>
                <w:rFonts w:ascii="Arial" w:cs="Arial" w:eastAsia="Arial" w:hAnsi="Arial"/>
                <w:i/>
                <w:iCs/>
                <w:sz w:val="18"/>
                <w:szCs w:val="18"/>
              </w:rPr>
              <w:t xml:space="preserve">Regulatory Reference: EU GMP Part I, Chapter 7 – Outsourced Activities; ICH Q10; Regulation (EU) No. 1169/2011 (food supplements quality requirements)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2"/>
              <w:left w:val="single" w:color="ED7D31" w:sz="12"/>
              <w:bottom w:val="single" w:color="ED7D31" w:sz="12"/>
              <w:right w:val="single" w:color="ED7D31" w:sz="12"/>
            </w:tcBorders>
            <w:shd w:fill="FDEBD0" w:val="clear"/>
            <w:tcMar>
              <w:top w:type="dxa" w:w="80"/>
              <w:left w:type="dxa" w:w="140"/>
              <w:bottom w:type="dxa" w:w="80"/>
              <w:right w:type="dxa" w:w="140"/>
            </w:tcMar>
          </w:tcPr>
          <w:p>
            <w:pPr>
              <w:spacing w:before="40" w:after="40"/>
            </w:pPr>
            <w:r>
              <w:rPr>
                <w:rFonts w:ascii="Arial" w:cs="Arial" w:eastAsia="Arial" w:hAnsi="Arial"/>
                <w:b/>
                <w:bCs/>
                <w:color w:val="ED7D31"/>
                <w:sz w:val="20"/>
                <w:szCs w:val="20"/>
              </w:rPr>
              <w:t xml:space="preserve">🟠 MAJOR OBSERVATION</w:t>
            </w:r>
          </w:p>
          <w:p>
            <w:pPr>
              <w:spacing w:before="40" w:after="40"/>
            </w:pPr>
            <w:r>
              <w:rPr>
                <w:rFonts w:ascii="Arial" w:cs="Arial" w:eastAsia="Arial" w:hAnsi="Arial"/>
                <w:b/>
                <w:bCs/>
                <w:sz w:val="18"/>
                <w:szCs w:val="18"/>
              </w:rPr>
              <w:t xml:space="preserve">Reference: OBS-002 | Unapproved Contract Laboratory – No Quality Agreement</w:t>
            </w:r>
          </w:p>
          <w:p>
            <w:pPr>
              <w:spacing w:before="40" w:after="40"/>
            </w:pPr>
            <w:r>
              <w:rPr>
                <w:rFonts w:ascii="Arial" w:cs="Arial" w:eastAsia="Arial" w:hAnsi="Arial"/>
                <w:sz w:val="18"/>
                <w:szCs w:val="18"/>
              </w:rPr>
              <w:t xml:space="preserve">Observation: Microbiological testing for Dossantos Batch No. 060625 was performed at Eurofins Polska Sp. z o.o., as confirmed by the Certificate of Analysis. No formal quality agreement or contract is in place between PROFARM and Eurofins Polska Sp. z o.o. Furthermore, neither EmergoPharm nor PROFARM has conducted a supplier qualification audit of Eurofins Polska Sp. z o.o. as a contract testing laboratory.</w:t>
            </w:r>
          </w:p>
          <w:p>
            <w:pPr>
              <w:spacing w:before="40" w:after="40"/>
            </w:pPr>
            <w:r>
              <w:rPr>
                <w:rFonts w:ascii="Arial" w:cs="Arial" w:eastAsia="Arial" w:hAnsi="Arial"/>
                <w:i/>
                <w:iCs/>
                <w:sz w:val="18"/>
                <w:szCs w:val="18"/>
              </w:rPr>
              <w:t xml:space="preserve">Regulatory Reference: EU GMP Part I, Chapter 7 – Outsourced Activities; Chapter 6 – Quality Control; ICH Q10 Section 2.7</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2"/>
              <w:left w:val="single" w:color="ED7D31" w:sz="12"/>
              <w:bottom w:val="single" w:color="ED7D31" w:sz="12"/>
              <w:right w:val="single" w:color="ED7D31" w:sz="12"/>
            </w:tcBorders>
            <w:shd w:fill="FDEBD0" w:val="clear"/>
            <w:tcMar>
              <w:top w:type="dxa" w:w="80"/>
              <w:left w:type="dxa" w:w="140"/>
              <w:bottom w:type="dxa" w:w="80"/>
              <w:right w:type="dxa" w:w="140"/>
            </w:tcMar>
          </w:tcPr>
          <w:p>
            <w:pPr>
              <w:spacing w:before="40" w:after="40"/>
            </w:pPr>
            <w:r>
              <w:rPr>
                <w:rFonts w:ascii="Arial" w:cs="Arial" w:eastAsia="Arial" w:hAnsi="Arial"/>
                <w:b/>
                <w:bCs/>
                <w:color w:val="ED7D31"/>
                <w:sz w:val="20"/>
                <w:szCs w:val="20"/>
              </w:rPr>
              <w:t xml:space="preserve">🟠 MAJOR OBSERVATION</w:t>
            </w:r>
          </w:p>
          <w:p>
            <w:pPr>
              <w:spacing w:before="40" w:after="40"/>
            </w:pPr>
            <w:r>
              <w:rPr>
                <w:rFonts w:ascii="Arial" w:cs="Arial" w:eastAsia="Arial" w:hAnsi="Arial"/>
                <w:b/>
                <w:bCs/>
                <w:sz w:val="18"/>
                <w:szCs w:val="18"/>
              </w:rPr>
              <w:t xml:space="preserve">Reference: OBS-003 | API Storage Temperature Deviation &amp; Absence of Warehouse Temperature Mapping</w:t>
            </w:r>
          </w:p>
          <w:p>
            <w:pPr>
              <w:spacing w:before="40" w:after="40"/>
            </w:pPr>
            <w:r>
              <w:rPr>
                <w:rFonts w:ascii="Arial" w:cs="Arial" w:eastAsia="Arial" w:hAnsi="Arial"/>
                <w:sz w:val="18"/>
                <w:szCs w:val="18"/>
              </w:rPr>
              <w:t xml:space="preserve">Observation: During the warehouse visit, API Lot No. UT25060206 (Vitamin D3 from DSM Nutrition) was observed stored at 19.5°C (as measured by hygrometer NrNew.11). The manufacturer (DSM Nutrition) specifies storage in cool conditions (below 15°C). No temperature mapping study has been performed for the raw material warehouse area where APIs are stored, making it impossible to confirm that storage conditions comply with manufacturer requirements throughout the storage area.</w:t>
            </w:r>
          </w:p>
          <w:p>
            <w:pPr>
              <w:spacing w:before="40" w:after="40"/>
            </w:pPr>
            <w:r>
              <w:rPr>
                <w:rFonts w:ascii="Arial" w:cs="Arial" w:eastAsia="Arial" w:hAnsi="Arial"/>
                <w:i/>
                <w:iCs/>
                <w:sz w:val="18"/>
                <w:szCs w:val="18"/>
              </w:rPr>
              <w:t xml:space="preserve">Regulatory Reference: EU GMP Part I, Chapter 3 – Premises and Equipment; Chapter 5 – Production; ICH Q9 – Quality Risk Management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2"/>
              <w:left w:val="single" w:color="ED7D31" w:sz="12"/>
              <w:bottom w:val="single" w:color="ED7D31" w:sz="12"/>
              <w:right w:val="single" w:color="ED7D31" w:sz="12"/>
            </w:tcBorders>
            <w:shd w:fill="FDEBD0" w:val="clear"/>
            <w:tcMar>
              <w:top w:type="dxa" w:w="80"/>
              <w:left w:type="dxa" w:w="140"/>
              <w:bottom w:type="dxa" w:w="80"/>
              <w:right w:type="dxa" w:w="140"/>
            </w:tcMar>
          </w:tcPr>
          <w:p>
            <w:pPr>
              <w:spacing w:before="40" w:after="40"/>
            </w:pPr>
            <w:r>
              <w:rPr>
                <w:rFonts w:ascii="Arial" w:cs="Arial" w:eastAsia="Arial" w:hAnsi="Arial"/>
                <w:b/>
                <w:bCs/>
                <w:color w:val="ED7D31"/>
                <w:sz w:val="20"/>
                <w:szCs w:val="20"/>
              </w:rPr>
              <w:t xml:space="preserve">🟠 MAJOR OBSERVATION</w:t>
            </w:r>
          </w:p>
          <w:p>
            <w:pPr>
              <w:spacing w:before="40" w:after="40"/>
            </w:pPr>
            <w:r>
              <w:rPr>
                <w:rFonts w:ascii="Arial" w:cs="Arial" w:eastAsia="Arial" w:hAnsi="Arial"/>
                <w:b/>
                <w:bCs/>
                <w:sz w:val="18"/>
                <w:szCs w:val="18"/>
              </w:rPr>
              <w:t xml:space="preserve">Reference: OBS-004 | Absence of Process Validation and Annual Product Quality Review for Dossantos</w:t>
            </w:r>
          </w:p>
          <w:p>
            <w:pPr>
              <w:spacing w:before="40" w:after="40"/>
            </w:pPr>
            <w:r>
              <w:rPr>
                <w:rFonts w:ascii="Arial" w:cs="Arial" w:eastAsia="Arial" w:hAnsi="Arial"/>
                <w:sz w:val="18"/>
                <w:szCs w:val="18"/>
              </w:rPr>
              <w:t xml:space="preserve">Observation: No process validation procedure or study is in place for the manufacture of Dossantos (Vitamin D3 food supplement). Additionally, Annual Product Quality Reviews (APQRs) are not conducted for this product, as it is classified as a food supplement. This is inconsistent with the site's GMP-grade quality commitment for all products manufactured at the facility and represents a significant gap in product lifecycle quality management. An approved vendor list (AVL) for critical raw materials and APIs used in Dossantos production is also absent.</w:t>
            </w:r>
          </w:p>
          <w:p>
            <w:pPr>
              <w:spacing w:before="40" w:after="40"/>
            </w:pPr>
            <w:r>
              <w:rPr>
                <w:rFonts w:ascii="Arial" w:cs="Arial" w:eastAsia="Arial" w:hAnsi="Arial"/>
                <w:i/>
                <w:iCs/>
                <w:sz w:val="18"/>
                <w:szCs w:val="18"/>
              </w:rPr>
              <w:t xml:space="preserve">Regulatory Reference: EU GMP Part I, Chapter 1 – Pharmaceutical Quality System; Chapter 4 – Documentation; ICH Q10 Section 3 – Pharmaceutical Quality System Elements</w:t>
            </w:r>
          </w:p>
        </w:tc>
      </w:tr>
    </w:tbl>
    <w:p>
      <w:pPr>
        <w:spacing w:before="80" w:after="80"/>
      </w:pPr>
      <w:r>
        <w:t xml:space="preserve"/>
      </w:r>
    </w:p>
    <w:p>
      <w:pPr>
        <w:spacing w:before="60" w:after="60"/>
      </w:pPr>
      <w:r>
        <w:rPr>
          <w:rFonts w:ascii="Arial" w:cs="Arial" w:eastAsia="Arial" w:hAnsi="Arial"/>
          <w:b/>
          <w:bCs/>
          <w:sz w:val="20"/>
          <w:szCs w:val="20"/>
        </w:rPr>
        <w:t xml:space="preserve">RECOMMENDATIONS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7F7F" w:sz="12"/>
              <w:left w:val="single" w:color="7F7F7F" w:sz="12"/>
              <w:bottom w:val="single" w:color="7F7F7F" w:sz="12"/>
              <w:right w:val="single" w:color="7F7F7F" w:sz="12"/>
            </w:tcBorders>
            <w:shd w:fill="F2F2F2" w:val="clear"/>
            <w:tcMar>
              <w:top w:type="dxa" w:w="80"/>
              <w:left w:type="dxa" w:w="140"/>
              <w:bottom w:type="dxa" w:w="80"/>
              <w:right w:type="dxa" w:w="140"/>
            </w:tcMar>
          </w:tcPr>
          <w:p>
            <w:pPr>
              <w:spacing w:before="40" w:after="40"/>
            </w:pPr>
            <w:r>
              <w:rPr>
                <w:rFonts w:ascii="Arial" w:cs="Arial" w:eastAsia="Arial" w:hAnsi="Arial"/>
                <w:b/>
                <w:bCs/>
                <w:color w:val="7F7F7F"/>
                <w:sz w:val="20"/>
                <w:szCs w:val="20"/>
              </w:rPr>
              <w:t xml:space="preserve">⚪ RECOMMENDATION</w:t>
            </w:r>
          </w:p>
          <w:p>
            <w:pPr>
              <w:spacing w:before="40" w:after="40"/>
            </w:pPr>
            <w:r>
              <w:rPr>
                <w:rFonts w:ascii="Arial" w:cs="Arial" w:eastAsia="Arial" w:hAnsi="Arial"/>
                <w:b/>
                <w:bCs/>
                <w:sz w:val="18"/>
                <w:szCs w:val="18"/>
              </w:rPr>
              <w:t xml:space="preserve">Reference: REC-001 | Visual / Cosmetic Inspection of Finished Products</w:t>
            </w:r>
          </w:p>
          <w:p>
            <w:pPr>
              <w:spacing w:before="40" w:after="40"/>
            </w:pPr>
            <w:r>
              <w:rPr>
                <w:rFonts w:ascii="Arial" w:cs="Arial" w:eastAsia="Arial" w:hAnsi="Arial"/>
                <w:sz w:val="18"/>
                <w:szCs w:val="18"/>
              </w:rPr>
              <w:t xml:space="preserve">Observation: No automated inspection system is in place, and no documented procedure exists for the verification of cosmetic defects (e.g., fill level, cap integrity, label adherence, bottle clarity) of finished Dossantos bottles. It is recommended that a formal procedure for cosmetic defect inspection be established, including defined acceptance criteria and a recording system for inspection outcomes.</w:t>
            </w:r>
          </w:p>
          <w:p>
            <w:pPr>
              <w:spacing w:before="40" w:after="40"/>
            </w:pPr>
            <w:r>
              <w:rPr>
                <w:rFonts w:ascii="Arial" w:cs="Arial" w:eastAsia="Arial" w:hAnsi="Arial"/>
                <w:i/>
                <w:iCs/>
                <w:sz w:val="18"/>
                <w:szCs w:val="18"/>
              </w:rPr>
              <w:t xml:space="preserve">Regulatory Reference: EU GMP Part I, Chapter 6 – Quality Control; Best Practice Recommendation</w:t>
            </w:r>
          </w:p>
        </w:tc>
      </w:tr>
    </w:tbl>
    <w:p>
      <w:pPr>
        <w:spacing w:before="80" w:after="80"/>
      </w:pPr>
      <w:r>
        <w:t xml:space="preserve"/>
      </w:r>
    </w:p>
    <w:p>
      <w:r>
        <w:br w:type="page"/>
      </w:r>
    </w:p>
    <w:p>
      <w:pPr>
        <w:pStyle w:val="Heading1"/>
        <w:shd w:fill="1F3864" w:val="clear"/>
        <w:spacing w:before="200" w:after="100"/>
        <w:ind w:left="100"/>
      </w:pPr>
      <w:r>
        <w:rPr>
          <w:rFonts w:ascii="Arial" w:cs="Arial" w:eastAsia="Arial" w:hAnsi="Arial"/>
          <w:b/>
          <w:bCs/>
          <w:color w:val="FFFFFF"/>
          <w:sz w:val="28"/>
          <w:szCs w:val="28"/>
        </w:rPr>
        <w:t xml:space="preserve">SECTION 7: AUDIT RESULTS &amp; CONCLUSIONS</w:t>
      </w:r>
    </w:p>
    <w:p>
      <w:pPr>
        <w:spacing w:before="80" w:after="80"/>
      </w:pPr>
      <w:r>
        <w:t xml:space="preserve"/>
      </w:r>
    </w:p>
    <w:p>
      <w:pPr>
        <w:pStyle w:val="Heading2"/>
        <w:shd w:fill="2E75B6" w:val="clear"/>
        <w:spacing w:before="200" w:after="100"/>
        <w:ind w:left="100"/>
      </w:pPr>
      <w:r>
        <w:rPr>
          <w:rFonts w:ascii="Arial" w:cs="Arial" w:eastAsia="Arial" w:hAnsi="Arial"/>
          <w:b/>
          <w:bCs/>
          <w:color w:val="FFFFFF"/>
          <w:sz w:val="24"/>
          <w:szCs w:val="24"/>
        </w:rPr>
        <w:t xml:space="preserve">7.1 Audit Outcome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6"/>
              <w:left w:val="single" w:color="ED7D31" w:sz="6"/>
              <w:bottom w:val="single" w:color="ED7D31" w:sz="6"/>
              <w:right w:val="single" w:color="ED7D31" w:sz="6"/>
            </w:tcBorders>
            <w:shd w:fill="FFF2CC" w:val="clear"/>
            <w:tcMar>
              <w:top w:type="dxa" w:w="140"/>
              <w:left w:type="dxa" w:w="200"/>
              <w:bottom w:type="dxa" w:w="140"/>
              <w:right w:type="dxa" w:w="200"/>
            </w:tcMar>
          </w:tcPr>
          <w:p>
            <w:pPr>
              <w:jc w:val="center"/>
            </w:pPr>
            <w:r>
              <w:rPr>
                <w:rFonts w:ascii="Arial" w:cs="Arial" w:eastAsia="Arial" w:hAnsi="Arial"/>
                <w:b/>
                <w:bCs/>
                <w:caps/>
                <w:color w:val="ED7D31"/>
                <w:sz w:val="28"/>
                <w:szCs w:val="28"/>
              </w:rPr>
              <w:t xml:space="preserve">AUDIT RESULT:  ACCEPTABLE WITH CONDITIONS</w:t>
            </w:r>
          </w:p>
          <w:p>
            <w:pPr>
              <w:spacing w:before="80"/>
              <w:jc w:val="center"/>
            </w:pPr>
            <w:r>
              <w:rPr>
                <w:rFonts w:ascii="Arial" w:cs="Arial" w:eastAsia="Arial" w:hAnsi="Arial"/>
                <w:color w:val="1F3864"/>
                <w:sz w:val="20"/>
                <w:szCs w:val="20"/>
              </w:rPr>
              <w:t xml:space="preserve">4 Major Observations  |  0 Minor Observations  |  1 Recommendation</w:t>
            </w:r>
          </w:p>
        </w:tc>
      </w:tr>
    </w:tbl>
    <w:p>
      <w:pPr>
        <w:spacing w:before="80" w:after="80"/>
      </w:pPr>
      <w:r>
        <w:t xml:space="preserve"/>
      </w:r>
    </w:p>
    <w:p>
      <w:pPr>
        <w:pStyle w:val="Heading2"/>
        <w:shd w:fill="2E75B6" w:val="clear"/>
        <w:spacing w:before="200" w:after="100"/>
        <w:ind w:left="100"/>
      </w:pPr>
      <w:r>
        <w:rPr>
          <w:rFonts w:ascii="Arial" w:cs="Arial" w:eastAsia="Arial" w:hAnsi="Arial"/>
          <w:b/>
          <w:bCs/>
          <w:color w:val="FFFFFF"/>
          <w:sz w:val="24"/>
          <w:szCs w:val="24"/>
        </w:rPr>
        <w:t xml:space="preserve">7.2 Audit Conclusions</w:t>
      </w:r>
    </w:p>
    <w:p>
      <w:pPr>
        <w:spacing w:before="60" w:after="60"/>
      </w:pPr>
      <w:r>
        <w:rPr>
          <w:rFonts w:ascii="Arial" w:cs="Arial" w:eastAsia="Arial" w:hAnsi="Arial"/>
          <w:sz w:val="20"/>
          <w:szCs w:val="20"/>
        </w:rPr>
        <w:t xml:space="preserve">The audit was conducted on 17 November 2025 at the PROFARM manufacturing site in Lębork, Poland. The audit team comprised a lead auditor and co-auditor from EmergoPharm, accompanied by key PROFARM representatives including the QA Specialist, Production Manager, and QC Manager.</w:t>
      </w:r>
    </w:p>
    <w:p>
      <w:pPr>
        <w:spacing w:before="60" w:after="60"/>
      </w:pPr>
      <w:r>
        <w:rPr>
          <w:rFonts w:ascii="Arial" w:cs="Arial" w:eastAsia="Arial" w:hAnsi="Arial"/>
          <w:sz w:val="20"/>
          <w:szCs w:val="20"/>
        </w:rPr>
        <w:t xml:space="preserve">The audit included an opening meeting, a comprehensive facility tour covering production areas, warehouse, QC laboratory, and environmental monitoring systems, followed by a detailed review of procedural documents, batch records, contracts, and qualification studies. A closing meeting was held to present preliminary findings.</w:t>
      </w:r>
    </w:p>
    <w:p>
      <w:pPr>
        <w:spacing w:before="60" w:after="60"/>
      </w:pPr>
      <w:r>
        <w:rPr>
          <w:rFonts w:ascii="Arial" w:cs="Arial" w:eastAsia="Arial" w:hAnsi="Arial"/>
          <w:sz w:val="20"/>
          <w:szCs w:val="20"/>
        </w:rPr>
        <w:t xml:space="preserve">The overall assessment indicates that PROFARM has established a functioning Quality Management System that is broadly compliant with EU GMP principles for non-sterile pharmaceutical manufacturing. The site holds a valid GMP Certificate and Manufacturing Authorisation. Key QMS elements including CAPA management, deviation handling, OOS procedures, internal audits, and employee training are documented, well-structured, and implemented.</w:t>
      </w:r>
    </w:p>
    <w:p>
      <w:pPr>
        <w:spacing w:before="60" w:after="60"/>
      </w:pPr>
      <w:r>
        <w:rPr>
          <w:rFonts w:ascii="Arial" w:cs="Arial" w:eastAsia="Arial" w:hAnsi="Arial"/>
          <w:sz w:val="20"/>
          <w:szCs w:val="20"/>
        </w:rPr>
        <w:t xml:space="preserve">However, four Major Observations were identified, primarily relating to: (1) inadequate contract testing arrangements for Dossantos (missing product scope in the Eurofins agreement, absence of technology transfer evidence); (2) use of an unqualified, unagreed secondary contract testing laboratory (Eurofins Polska Sp. z o.o.) with no quality agreement; (3) API storage conditions deviating from manufacturer specifications and absence of warehouse temperature mapping; and (4) absence of process validation and annual product quality review for Dossantos, and missing approved vendor list for critical raw materials/APIs.</w:t>
      </w:r>
    </w:p>
    <w:p>
      <w:pPr>
        <w:spacing w:before="60" w:after="60"/>
      </w:pPr>
      <w:r>
        <w:rPr>
          <w:rFonts w:ascii="Arial" w:cs="Arial" w:eastAsia="Arial" w:hAnsi="Arial"/>
          <w:sz w:val="20"/>
          <w:szCs w:val="20"/>
        </w:rPr>
        <w:t xml:space="preserve">One Recommendation was raised regarding the implementation of a formal cosmetic inspection procedure for finished product bottles.</w:t>
      </w:r>
    </w:p>
    <w:p>
      <w:pPr>
        <w:spacing w:before="60" w:after="60"/>
      </w:pPr>
      <w:r>
        <w:rPr>
          <w:rFonts w:ascii="Arial" w:cs="Arial" w:eastAsia="Arial" w:hAnsi="Arial"/>
          <w:sz w:val="20"/>
          <w:szCs w:val="20"/>
        </w:rPr>
        <w:t xml:space="preserve">Due to the four Major Observations identified, PROFARM is required to submit a Corrective and Preventive Action (CAPA) Plan within 30 calendar days of receipt of this audit report. The CAPA Plan must address each observation with defined root cause, corrective actions, responsible personnel, and target completion dates. A final update with supporting evidence must be provided in line with committed timelines.</w:t>
      </w:r>
    </w:p>
    <w:p>
      <w:pPr>
        <w:spacing w:before="80" w:after="80"/>
      </w:pPr>
      <w:r>
        <w:t xml:space="preserve"/>
      </w:r>
    </w:p>
    <w:p>
      <w:pPr>
        <w:pStyle w:val="Heading2"/>
        <w:shd w:fill="2E75B6" w:val="clear"/>
        <w:spacing w:before="200" w:after="100"/>
        <w:ind w:left="100"/>
      </w:pPr>
      <w:r>
        <w:rPr>
          <w:rFonts w:ascii="Arial" w:cs="Arial" w:eastAsia="Arial" w:hAnsi="Arial"/>
          <w:b/>
          <w:bCs/>
          <w:color w:val="FFFFFF"/>
          <w:sz w:val="24"/>
          <w:szCs w:val="24"/>
        </w:rPr>
        <w:t xml:space="preserve">7.3 Executive Summary</w:t>
      </w:r>
    </w:p>
    <w:p>
      <w:pPr>
        <w:spacing w:before="60" w:after="60"/>
      </w:pPr>
      <w:r>
        <w:rPr>
          <w:rFonts w:ascii="Arial" w:cs="Arial" w:eastAsia="Arial" w:hAnsi="Arial"/>
          <w:sz w:val="20"/>
          <w:szCs w:val="20"/>
        </w:rPr>
        <w:t xml:space="preserve">Company: PPFK PROFARM Sp. z o.o., ul. Słupska 18, 84-300 Lębork, Poland</w:t>
      </w:r>
    </w:p>
    <w:p>
      <w:pPr>
        <w:spacing w:before="60" w:after="60"/>
      </w:pPr>
      <w:r>
        <w:rPr>
          <w:rFonts w:ascii="Arial" w:cs="Arial" w:eastAsia="Arial" w:hAnsi="Arial"/>
          <w:sz w:val="20"/>
          <w:szCs w:val="20"/>
        </w:rPr>
        <w:t xml:space="preserve">Quality Management System Evaluation: PROFARM's QMS is structured, documented, and aligned with EU GMP Volume 4. Key system elements are in place and operational. The QA function is independent of production. An annual internal audit programme is established. Management review and document control systems are functional. The QMS is compliant for medicinal product manufacturing but requires enhancement for food supplement product management (Dossantos).</w:t>
      </w:r>
    </w:p>
    <w:p>
      <w:pPr>
        <w:spacing w:before="60" w:after="60"/>
      </w:pPr>
      <w:r>
        <w:rPr>
          <w:rFonts w:ascii="Arial" w:cs="Arial" w:eastAsia="Arial" w:hAnsi="Arial"/>
          <w:sz w:val="20"/>
          <w:szCs w:val="20"/>
        </w:rPr>
        <w:t xml:space="preserve">Quality Risk Management: Risk management principles are applied via SOP G-16-P-01. Risk assessment is integrated into CAPA, deviation, and cleaning validation activities. Cleaning validation risk assessment is ongoing for CEHT determination.</w:t>
      </w:r>
    </w:p>
    <w:p>
      <w:pPr>
        <w:spacing w:before="60" w:after="60"/>
      </w:pPr>
      <w:r>
        <w:rPr>
          <w:rFonts w:ascii="Arial" w:cs="Arial" w:eastAsia="Arial" w:hAnsi="Arial"/>
          <w:sz w:val="20"/>
          <w:szCs w:val="20"/>
        </w:rPr>
        <w:t xml:space="preserve">Personnel Qualification: Adequate numbers of qualified and trained personnel are present. An annual training programme is in place. Training records are maintained individually and post-training tests with an 80% pass threshold are conducted. GMP training is mandatory annually for all staff.</w:t>
      </w:r>
    </w:p>
    <w:p>
      <w:pPr>
        <w:spacing w:before="60" w:after="60"/>
      </w:pPr>
      <w:r>
        <w:rPr>
          <w:rFonts w:ascii="Arial" w:cs="Arial" w:eastAsia="Arial" w:hAnsi="Arial"/>
          <w:sz w:val="20"/>
          <w:szCs w:val="20"/>
        </w:rPr>
        <w:t xml:space="preserve">Compliance Status: The site is regularly inspected by the Polish GIF and EU regulatory authorities. Manufacturing is carried out under a valid drug manufacturing authorisation. The site is considered an acceptable CMO supplier for EmergoPharm's requirements, subject to satisfactory CAPA responses to the four Major Observations raised in this report.</w:t>
      </w:r>
    </w:p>
    <w:p>
      <w:pPr>
        <w:spacing w:before="80" w:after="80"/>
      </w:pPr>
      <w:r>
        <w:t xml:space="preserve"/>
      </w:r>
    </w:p>
    <w:p>
      <w:pPr>
        <w:pStyle w:val="Heading2"/>
        <w:shd w:fill="2E75B6" w:val="clear"/>
        <w:spacing w:before="200" w:after="100"/>
        <w:ind w:left="100"/>
      </w:pPr>
      <w:r>
        <w:rPr>
          <w:rFonts w:ascii="Arial" w:cs="Arial" w:eastAsia="Arial" w:hAnsi="Arial"/>
          <w:b/>
          <w:bCs/>
          <w:color w:val="FFFFFF"/>
          <w:sz w:val="24"/>
          <w:szCs w:val="24"/>
        </w:rPr>
        <w:t xml:space="preserve">7.4 Next Tentative Audit Date</w:t>
      </w:r>
    </w:p>
    <w:p>
      <w:pPr>
        <w:spacing w:before="60" w:after="60"/>
      </w:pPr>
      <w:r>
        <w:rPr>
          <w:rFonts w:ascii="Arial" w:cs="Arial" w:eastAsia="Arial" w:hAnsi="Arial"/>
          <w:sz w:val="20"/>
          <w:szCs w:val="20"/>
        </w:rPr>
        <w:t xml:space="preserve">Next scheduled audit: November 2028 (3 years from the current audit date), or earlier if triggered by significant CAPA findings, major regulatory changes, or quality-related events.</w:t>
      </w:r>
    </w:p>
    <w:p>
      <w:pPr>
        <w:spacing w:before="80" w:after="80"/>
      </w:pPr>
      <w:r>
        <w:t xml:space="preserve"/>
      </w:r>
    </w:p>
    <w:p>
      <w:r>
        <w:br w:type="page"/>
      </w:r>
    </w:p>
    <w:p>
      <w:pPr>
        <w:pStyle w:val="Heading1"/>
        <w:shd w:fill="1F3864" w:val="clear"/>
        <w:spacing w:before="200" w:after="100"/>
        <w:ind w:left="100"/>
      </w:pPr>
      <w:r>
        <w:rPr>
          <w:rFonts w:ascii="Arial" w:cs="Arial" w:eastAsia="Arial" w:hAnsi="Arial"/>
          <w:b/>
          <w:bCs/>
          <w:color w:val="FFFFFF"/>
          <w:sz w:val="28"/>
          <w:szCs w:val="28"/>
        </w:rPr>
        <w:t xml:space="preserve">SECTION 8: CAPA RESPONSE REQUEST</w:t>
      </w:r>
    </w:p>
    <w:p>
      <w:pPr>
        <w:spacing w:before="80" w:after="80"/>
      </w:pPr>
      <w:r>
        <w:t xml:space="preserve"/>
      </w:r>
    </w:p>
    <w:p>
      <w:pPr>
        <w:spacing w:before="60" w:after="60"/>
      </w:pPr>
      <w:r>
        <w:rPr>
          <w:rFonts w:ascii="Arial" w:cs="Arial" w:eastAsia="Arial" w:hAnsi="Arial"/>
          <w:sz w:val="20"/>
          <w:szCs w:val="20"/>
        </w:rPr>
        <w:t xml:space="preserve">In view of the Major Observations identified during this audit, PROFARM is requested to provide a formal CAPA response plan addressing each observation. The CAPA response must be submitted to EmergoPharm within 30 calendar days of receipt of this report.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3000"/>
        <w:gridCol w:w="1500"/>
        <w:gridCol w:w="1360"/>
      </w:tblGrid>
      <w:tr>
        <w:tc>
          <w:tcPr>
            <w:tcW w:type="dxa" w:w="1500"/>
            <w:tcBorders>
              <w:top w:val="single" w:color="2E75B6" w:sz="6"/>
              <w:left w:val="single" w:color="2E75B6" w:sz="6"/>
              <w:bottom w:val="single" w:color="2E75B6" w:sz="6"/>
              <w:right w:val="single" w:color="2E75B6" w:sz="6"/>
            </w:tcBorders>
            <w:shd w:fill="2E75B6" w:val="clear"/>
            <w:tcMar>
              <w:top w:type="dxa" w:w="80"/>
              <w:left w:type="dxa" w:w="80"/>
              <w:bottom w:type="dxa" w:w="80"/>
              <w:right w:type="dxa" w:w="80"/>
            </w:tcMar>
          </w:tcPr>
          <w:p>
            <w:r>
              <w:rPr>
                <w:rFonts w:ascii="Arial" w:cs="Arial" w:eastAsia="Arial" w:hAnsi="Arial"/>
                <w:b/>
                <w:bCs/>
                <w:color w:val="FFFFFF"/>
                <w:sz w:val="17"/>
                <w:szCs w:val="17"/>
              </w:rPr>
              <w:t xml:space="preserve">Obs. Ref.</w:t>
            </w:r>
          </w:p>
        </w:tc>
        <w:tc>
          <w:tcPr>
            <w:tcW w:type="dxa" w:w="2000"/>
            <w:tcBorders>
              <w:top w:val="single" w:color="2E75B6" w:sz="6"/>
              <w:left w:val="single" w:color="2E75B6" w:sz="6"/>
              <w:bottom w:val="single" w:color="2E75B6" w:sz="6"/>
              <w:right w:val="single" w:color="2E75B6" w:sz="6"/>
            </w:tcBorders>
            <w:shd w:fill="2E75B6" w:val="clear"/>
            <w:tcMar>
              <w:top w:type="dxa" w:w="80"/>
              <w:left w:type="dxa" w:w="80"/>
              <w:bottom w:type="dxa" w:w="80"/>
              <w:right w:type="dxa" w:w="80"/>
            </w:tcMar>
          </w:tcPr>
          <w:p>
            <w:r>
              <w:rPr>
                <w:rFonts w:ascii="Arial" w:cs="Arial" w:eastAsia="Arial" w:hAnsi="Arial"/>
                <w:b/>
                <w:bCs/>
                <w:color w:val="FFFFFF"/>
                <w:sz w:val="17"/>
                <w:szCs w:val="17"/>
              </w:rPr>
              <w:t xml:space="preserve">Classification</w:t>
            </w:r>
          </w:p>
        </w:tc>
        <w:tc>
          <w:tcPr>
            <w:tcW w:type="dxa" w:w="3000"/>
            <w:tcBorders>
              <w:top w:val="single" w:color="2E75B6" w:sz="6"/>
              <w:left w:val="single" w:color="2E75B6" w:sz="6"/>
              <w:bottom w:val="single" w:color="2E75B6" w:sz="6"/>
              <w:right w:val="single" w:color="2E75B6" w:sz="6"/>
            </w:tcBorders>
            <w:shd w:fill="2E75B6" w:val="clear"/>
            <w:tcMar>
              <w:top w:type="dxa" w:w="80"/>
              <w:left w:type="dxa" w:w="80"/>
              <w:bottom w:type="dxa" w:w="80"/>
              <w:right w:type="dxa" w:w="80"/>
            </w:tcMar>
          </w:tcPr>
          <w:p>
            <w:r>
              <w:rPr>
                <w:rFonts w:ascii="Arial" w:cs="Arial" w:eastAsia="Arial" w:hAnsi="Arial"/>
                <w:b/>
                <w:bCs/>
                <w:color w:val="FFFFFF"/>
                <w:sz w:val="17"/>
                <w:szCs w:val="17"/>
              </w:rPr>
              <w:t xml:space="preserve">Brief Description</w:t>
            </w:r>
          </w:p>
        </w:tc>
        <w:tc>
          <w:tcPr>
            <w:tcW w:type="dxa" w:w="1500"/>
            <w:tcBorders>
              <w:top w:val="single" w:color="2E75B6" w:sz="6"/>
              <w:left w:val="single" w:color="2E75B6" w:sz="6"/>
              <w:bottom w:val="single" w:color="2E75B6" w:sz="6"/>
              <w:right w:val="single" w:color="2E75B6" w:sz="6"/>
            </w:tcBorders>
            <w:shd w:fill="2E75B6" w:val="clear"/>
            <w:tcMar>
              <w:top w:type="dxa" w:w="80"/>
              <w:left w:type="dxa" w:w="80"/>
              <w:bottom w:type="dxa" w:w="80"/>
              <w:right w:type="dxa" w:w="80"/>
            </w:tcMar>
          </w:tcPr>
          <w:p>
            <w:r>
              <w:rPr>
                <w:rFonts w:ascii="Arial" w:cs="Arial" w:eastAsia="Arial" w:hAnsi="Arial"/>
                <w:b/>
                <w:bCs/>
                <w:color w:val="FFFFFF"/>
                <w:sz w:val="17"/>
                <w:szCs w:val="17"/>
              </w:rPr>
              <w:t xml:space="preserve">CAPA Due</w:t>
            </w:r>
          </w:p>
        </w:tc>
        <w:tc>
          <w:tcPr>
            <w:tcW w:type="dxa" w:w="1360"/>
            <w:tcBorders>
              <w:top w:val="single" w:color="2E75B6" w:sz="6"/>
              <w:left w:val="single" w:color="2E75B6" w:sz="6"/>
              <w:bottom w:val="single" w:color="2E75B6" w:sz="6"/>
              <w:right w:val="single" w:color="2E75B6" w:sz="6"/>
            </w:tcBorders>
            <w:shd w:fill="2E75B6" w:val="clear"/>
            <w:tcMar>
              <w:top w:type="dxa" w:w="80"/>
              <w:left w:type="dxa" w:w="80"/>
              <w:bottom w:type="dxa" w:w="80"/>
              <w:right w:type="dxa" w:w="80"/>
            </w:tcMar>
          </w:tcPr>
          <w:p>
            <w:r>
              <w:rPr>
                <w:rFonts w:ascii="Arial" w:cs="Arial" w:eastAsia="Arial" w:hAnsi="Arial"/>
                <w:b/>
                <w:bCs/>
                <w:color w:val="FFFFFF"/>
                <w:sz w:val="17"/>
                <w:szCs w:val="17"/>
              </w:rPr>
              <w:t xml:space="preserve">Status</w:t>
            </w:r>
          </w:p>
        </w:tc>
      </w:tr>
      <w:tr>
        <w:tc>
          <w:tcPr>
            <w:tcW w:type="dxa" w:w="1500"/>
            <w:tcBorders>
              <w:top w:val="single" w:color="CCCCCC" w:sz="6"/>
              <w:left w:val="single" w:color="CCCCCC" w:sz="6"/>
              <w:bottom w:val="single" w:color="CCCCCC" w:sz="6"/>
              <w:right w:val="single" w:color="CCCCCC" w:sz="6"/>
            </w:tcBorders>
            <w:shd w:fill="FFFFFF" w:val="clear"/>
            <w:tcMar>
              <w:top w:type="dxa" w:w="60"/>
              <w:left w:type="dxa" w:w="80"/>
              <w:bottom w:type="dxa" w:w="60"/>
              <w:right w:type="dxa" w:w="80"/>
            </w:tcMar>
          </w:tcPr>
          <w:p>
            <w:r>
              <w:rPr>
                <w:rFonts w:ascii="Arial" w:cs="Arial" w:eastAsia="Arial" w:hAnsi="Arial"/>
                <w:b/>
                <w:bCs/>
                <w:sz w:val="17"/>
                <w:szCs w:val="17"/>
              </w:rPr>
              <w:t xml:space="preserve">OBS-001</w:t>
            </w:r>
          </w:p>
        </w:tc>
        <w:tc>
          <w:tcPr>
            <w:tcW w:type="dxa" w:w="2000"/>
            <w:tcBorders>
              <w:top w:val="single" w:color="CCCCCC" w:sz="6"/>
              <w:left w:val="single" w:color="CCCCCC" w:sz="6"/>
              <w:bottom w:val="single" w:color="CCCCCC" w:sz="6"/>
              <w:right w:val="single" w:color="CCCCCC" w:sz="6"/>
            </w:tcBorders>
            <w:shd w:fill="FFFFFF" w:val="clear"/>
            <w:tcMar>
              <w:top w:type="dxa" w:w="60"/>
              <w:left w:type="dxa" w:w="80"/>
              <w:bottom w:type="dxa" w:w="60"/>
              <w:right w:type="dxa" w:w="80"/>
            </w:tcMar>
          </w:tcPr>
          <w:p>
            <w:r>
              <w:rPr>
                <w:rFonts w:ascii="Arial" w:cs="Arial" w:eastAsia="Arial" w:hAnsi="Arial"/>
                <w:b/>
                <w:bCs/>
                <w:color w:val="ED7D31"/>
                <w:sz w:val="17"/>
                <w:szCs w:val="17"/>
              </w:rPr>
              <w:t xml:space="preserve">Major</w:t>
            </w:r>
          </w:p>
        </w:tc>
        <w:tc>
          <w:tcPr>
            <w:tcW w:type="dxa" w:w="3000"/>
            <w:tcBorders>
              <w:top w:val="single" w:color="CCCCCC" w:sz="6"/>
              <w:left w:val="single" w:color="CCCCCC" w:sz="6"/>
              <w:bottom w:val="single" w:color="CCCCCC" w:sz="6"/>
              <w:right w:val="single" w:color="CCCCCC" w:sz="6"/>
            </w:tcBorders>
            <w:shd w:fill="FFFFFF" w:val="clear"/>
            <w:tcMar>
              <w:top w:type="dxa" w:w="60"/>
              <w:left w:type="dxa" w:w="80"/>
              <w:bottom w:type="dxa" w:w="60"/>
              <w:right w:type="dxa" w:w="80"/>
            </w:tcMar>
          </w:tcPr>
          <w:p>
            <w:r>
              <w:rPr>
                <w:rFonts w:ascii="Arial" w:cs="Arial" w:eastAsia="Arial" w:hAnsi="Arial"/>
                <w:sz w:val="17"/>
                <w:szCs w:val="17"/>
              </w:rPr>
              <w:t xml:space="preserve">Contract testing scope – Dossantos absent from Eurofins BPT Slovakia agreement; no technology transfer evidence</w:t>
            </w:r>
          </w:p>
        </w:tc>
        <w:tc>
          <w:tcPr>
            <w:tcW w:type="dxa" w:w="1500"/>
            <w:tcBorders>
              <w:top w:val="single" w:color="CCCCCC" w:sz="6"/>
              <w:left w:val="single" w:color="CCCCCC" w:sz="6"/>
              <w:bottom w:val="single" w:color="CCCCCC" w:sz="6"/>
              <w:right w:val="single" w:color="CCCCCC" w:sz="6"/>
            </w:tcBorders>
            <w:shd w:fill="FFFFFF" w:val="clear"/>
            <w:tcMar>
              <w:top w:type="dxa" w:w="60"/>
              <w:left w:type="dxa" w:w="80"/>
              <w:bottom w:type="dxa" w:w="60"/>
              <w:right w:type="dxa" w:w="80"/>
            </w:tcMar>
          </w:tcPr>
          <w:p>
            <w:r>
              <w:rPr>
                <w:rFonts w:ascii="Arial" w:cs="Arial" w:eastAsia="Arial" w:hAnsi="Arial"/>
                <w:sz w:val="17"/>
                <w:szCs w:val="17"/>
              </w:rPr>
              <w:t xml:space="preserve">30 days</w:t>
            </w:r>
          </w:p>
        </w:tc>
        <w:tc>
          <w:tcPr>
            <w:tcW w:type="dxa" w:w="1360"/>
            <w:tcBorders>
              <w:top w:val="single" w:color="CCCCCC" w:sz="6"/>
              <w:left w:val="single" w:color="CCCCCC" w:sz="6"/>
              <w:bottom w:val="single" w:color="CCCCCC" w:sz="6"/>
              <w:right w:val="single" w:color="CCCCCC" w:sz="6"/>
            </w:tcBorders>
            <w:shd w:fill="FFFFFF" w:val="clear"/>
            <w:tcMar>
              <w:top w:type="dxa" w:w="60"/>
              <w:left w:type="dxa" w:w="80"/>
              <w:bottom w:type="dxa" w:w="60"/>
              <w:right w:type="dxa" w:w="80"/>
            </w:tcMar>
          </w:tcPr>
          <w:p>
            <w:r>
              <w:rPr>
                <w:rFonts w:ascii="Arial" w:cs="Arial" w:eastAsia="Arial" w:hAnsi="Arial"/>
                <w:b/>
                <w:bCs/>
                <w:color w:val="C00000"/>
                <w:sz w:val="17"/>
                <w:szCs w:val="17"/>
              </w:rPr>
              <w:t xml:space="preserve">Open</w:t>
            </w:r>
          </w:p>
        </w:tc>
      </w:tr>
      <w:tr>
        <w:tc>
          <w:tcPr>
            <w:tcW w:type="dxa" w:w="1500"/>
            <w:tcBorders>
              <w:top w:val="single" w:color="CCCCCC" w:sz="6"/>
              <w:left w:val="single" w:color="CCCCCC" w:sz="6"/>
              <w:bottom w:val="single" w:color="CCCCCC" w:sz="6"/>
              <w:right w:val="single" w:color="CCCCCC" w:sz="6"/>
            </w:tcBorders>
            <w:shd w:fill="F2F2F2" w:val="clear"/>
            <w:tcMar>
              <w:top w:type="dxa" w:w="60"/>
              <w:left w:type="dxa" w:w="80"/>
              <w:bottom w:type="dxa" w:w="60"/>
              <w:right w:type="dxa" w:w="80"/>
            </w:tcMar>
          </w:tcPr>
          <w:p>
            <w:r>
              <w:rPr>
                <w:rFonts w:ascii="Arial" w:cs="Arial" w:eastAsia="Arial" w:hAnsi="Arial"/>
                <w:b/>
                <w:bCs/>
                <w:sz w:val="17"/>
                <w:szCs w:val="17"/>
              </w:rPr>
              <w:t xml:space="preserve">OBS-002</w:t>
            </w:r>
          </w:p>
        </w:tc>
        <w:tc>
          <w:tcPr>
            <w:tcW w:type="dxa" w:w="2000"/>
            <w:tcBorders>
              <w:top w:val="single" w:color="CCCCCC" w:sz="6"/>
              <w:left w:val="single" w:color="CCCCCC" w:sz="6"/>
              <w:bottom w:val="single" w:color="CCCCCC" w:sz="6"/>
              <w:right w:val="single" w:color="CCCCCC" w:sz="6"/>
            </w:tcBorders>
            <w:shd w:fill="F2F2F2" w:val="clear"/>
            <w:tcMar>
              <w:top w:type="dxa" w:w="60"/>
              <w:left w:type="dxa" w:w="80"/>
              <w:bottom w:type="dxa" w:w="60"/>
              <w:right w:type="dxa" w:w="80"/>
            </w:tcMar>
          </w:tcPr>
          <w:p>
            <w:r>
              <w:rPr>
                <w:rFonts w:ascii="Arial" w:cs="Arial" w:eastAsia="Arial" w:hAnsi="Arial"/>
                <w:b/>
                <w:bCs/>
                <w:color w:val="ED7D31"/>
                <w:sz w:val="17"/>
                <w:szCs w:val="17"/>
              </w:rPr>
              <w:t xml:space="preserve">Major</w:t>
            </w:r>
          </w:p>
        </w:tc>
        <w:tc>
          <w:tcPr>
            <w:tcW w:type="dxa" w:w="3000"/>
            <w:tcBorders>
              <w:top w:val="single" w:color="CCCCCC" w:sz="6"/>
              <w:left w:val="single" w:color="CCCCCC" w:sz="6"/>
              <w:bottom w:val="single" w:color="CCCCCC" w:sz="6"/>
              <w:right w:val="single" w:color="CCCCCC" w:sz="6"/>
            </w:tcBorders>
            <w:shd w:fill="F2F2F2" w:val="clear"/>
            <w:tcMar>
              <w:top w:type="dxa" w:w="60"/>
              <w:left w:type="dxa" w:w="80"/>
              <w:bottom w:type="dxa" w:w="60"/>
              <w:right w:type="dxa" w:w="80"/>
            </w:tcMar>
          </w:tcPr>
          <w:p>
            <w:r>
              <w:rPr>
                <w:rFonts w:ascii="Arial" w:cs="Arial" w:eastAsia="Arial" w:hAnsi="Arial"/>
                <w:sz w:val="17"/>
                <w:szCs w:val="17"/>
              </w:rPr>
              <w:t xml:space="preserve">No quality agreement with Eurofins Polska Sp. z o.o.; no qualification audit conducted</w:t>
            </w:r>
          </w:p>
        </w:tc>
        <w:tc>
          <w:tcPr>
            <w:tcW w:type="dxa" w:w="1500"/>
            <w:tcBorders>
              <w:top w:val="single" w:color="CCCCCC" w:sz="6"/>
              <w:left w:val="single" w:color="CCCCCC" w:sz="6"/>
              <w:bottom w:val="single" w:color="CCCCCC" w:sz="6"/>
              <w:right w:val="single" w:color="CCCCCC" w:sz="6"/>
            </w:tcBorders>
            <w:shd w:fill="F2F2F2" w:val="clear"/>
            <w:tcMar>
              <w:top w:type="dxa" w:w="60"/>
              <w:left w:type="dxa" w:w="80"/>
              <w:bottom w:type="dxa" w:w="60"/>
              <w:right w:type="dxa" w:w="80"/>
            </w:tcMar>
          </w:tcPr>
          <w:p>
            <w:r>
              <w:rPr>
                <w:rFonts w:ascii="Arial" w:cs="Arial" w:eastAsia="Arial" w:hAnsi="Arial"/>
                <w:sz w:val="17"/>
                <w:szCs w:val="17"/>
              </w:rPr>
              <w:t xml:space="preserve">30 days</w:t>
            </w:r>
          </w:p>
        </w:tc>
        <w:tc>
          <w:tcPr>
            <w:tcW w:type="dxa" w:w="1360"/>
            <w:tcBorders>
              <w:top w:val="single" w:color="CCCCCC" w:sz="6"/>
              <w:left w:val="single" w:color="CCCCCC" w:sz="6"/>
              <w:bottom w:val="single" w:color="CCCCCC" w:sz="6"/>
              <w:right w:val="single" w:color="CCCCCC" w:sz="6"/>
            </w:tcBorders>
            <w:shd w:fill="F2F2F2" w:val="clear"/>
            <w:tcMar>
              <w:top w:type="dxa" w:w="60"/>
              <w:left w:type="dxa" w:w="80"/>
              <w:bottom w:type="dxa" w:w="60"/>
              <w:right w:type="dxa" w:w="80"/>
            </w:tcMar>
          </w:tcPr>
          <w:p>
            <w:r>
              <w:rPr>
                <w:rFonts w:ascii="Arial" w:cs="Arial" w:eastAsia="Arial" w:hAnsi="Arial"/>
                <w:b/>
                <w:bCs/>
                <w:color w:val="C00000"/>
                <w:sz w:val="17"/>
                <w:szCs w:val="17"/>
              </w:rPr>
              <w:t xml:space="preserve">Open</w:t>
            </w:r>
          </w:p>
        </w:tc>
      </w:tr>
      <w:tr>
        <w:tc>
          <w:tcPr>
            <w:tcW w:type="dxa" w:w="1500"/>
            <w:tcBorders>
              <w:top w:val="single" w:color="CCCCCC" w:sz="6"/>
              <w:left w:val="single" w:color="CCCCCC" w:sz="6"/>
              <w:bottom w:val="single" w:color="CCCCCC" w:sz="6"/>
              <w:right w:val="single" w:color="CCCCCC" w:sz="6"/>
            </w:tcBorders>
            <w:shd w:fill="FFFFFF" w:val="clear"/>
            <w:tcMar>
              <w:top w:type="dxa" w:w="60"/>
              <w:left w:type="dxa" w:w="80"/>
              <w:bottom w:type="dxa" w:w="60"/>
              <w:right w:type="dxa" w:w="80"/>
            </w:tcMar>
          </w:tcPr>
          <w:p>
            <w:r>
              <w:rPr>
                <w:rFonts w:ascii="Arial" w:cs="Arial" w:eastAsia="Arial" w:hAnsi="Arial"/>
                <w:b/>
                <w:bCs/>
                <w:sz w:val="17"/>
                <w:szCs w:val="17"/>
              </w:rPr>
              <w:t xml:space="preserve">OBS-003</w:t>
            </w:r>
          </w:p>
        </w:tc>
        <w:tc>
          <w:tcPr>
            <w:tcW w:type="dxa" w:w="2000"/>
            <w:tcBorders>
              <w:top w:val="single" w:color="CCCCCC" w:sz="6"/>
              <w:left w:val="single" w:color="CCCCCC" w:sz="6"/>
              <w:bottom w:val="single" w:color="CCCCCC" w:sz="6"/>
              <w:right w:val="single" w:color="CCCCCC" w:sz="6"/>
            </w:tcBorders>
            <w:shd w:fill="FFFFFF" w:val="clear"/>
            <w:tcMar>
              <w:top w:type="dxa" w:w="60"/>
              <w:left w:type="dxa" w:w="80"/>
              <w:bottom w:type="dxa" w:w="60"/>
              <w:right w:type="dxa" w:w="80"/>
            </w:tcMar>
          </w:tcPr>
          <w:p>
            <w:r>
              <w:rPr>
                <w:rFonts w:ascii="Arial" w:cs="Arial" w:eastAsia="Arial" w:hAnsi="Arial"/>
                <w:b/>
                <w:bCs/>
                <w:color w:val="ED7D31"/>
                <w:sz w:val="17"/>
                <w:szCs w:val="17"/>
              </w:rPr>
              <w:t xml:space="preserve">Major</w:t>
            </w:r>
          </w:p>
        </w:tc>
        <w:tc>
          <w:tcPr>
            <w:tcW w:type="dxa" w:w="3000"/>
            <w:tcBorders>
              <w:top w:val="single" w:color="CCCCCC" w:sz="6"/>
              <w:left w:val="single" w:color="CCCCCC" w:sz="6"/>
              <w:bottom w:val="single" w:color="CCCCCC" w:sz="6"/>
              <w:right w:val="single" w:color="CCCCCC" w:sz="6"/>
            </w:tcBorders>
            <w:shd w:fill="FFFFFF" w:val="clear"/>
            <w:tcMar>
              <w:top w:type="dxa" w:w="60"/>
              <w:left w:type="dxa" w:w="80"/>
              <w:bottom w:type="dxa" w:w="60"/>
              <w:right w:type="dxa" w:w="80"/>
            </w:tcMar>
          </w:tcPr>
          <w:p>
            <w:r>
              <w:rPr>
                <w:rFonts w:ascii="Arial" w:cs="Arial" w:eastAsia="Arial" w:hAnsi="Arial"/>
                <w:sz w:val="17"/>
                <w:szCs w:val="17"/>
              </w:rPr>
              <w:t xml:space="preserve">API stored above manufacturer-recommended temperature; no warehouse temperature mapping</w:t>
            </w:r>
          </w:p>
        </w:tc>
        <w:tc>
          <w:tcPr>
            <w:tcW w:type="dxa" w:w="1500"/>
            <w:tcBorders>
              <w:top w:val="single" w:color="CCCCCC" w:sz="6"/>
              <w:left w:val="single" w:color="CCCCCC" w:sz="6"/>
              <w:bottom w:val="single" w:color="CCCCCC" w:sz="6"/>
              <w:right w:val="single" w:color="CCCCCC" w:sz="6"/>
            </w:tcBorders>
            <w:shd w:fill="FFFFFF" w:val="clear"/>
            <w:tcMar>
              <w:top w:type="dxa" w:w="60"/>
              <w:left w:type="dxa" w:w="80"/>
              <w:bottom w:type="dxa" w:w="60"/>
              <w:right w:type="dxa" w:w="80"/>
            </w:tcMar>
          </w:tcPr>
          <w:p>
            <w:r>
              <w:rPr>
                <w:rFonts w:ascii="Arial" w:cs="Arial" w:eastAsia="Arial" w:hAnsi="Arial"/>
                <w:sz w:val="17"/>
                <w:szCs w:val="17"/>
              </w:rPr>
              <w:t xml:space="preserve">30 days</w:t>
            </w:r>
          </w:p>
        </w:tc>
        <w:tc>
          <w:tcPr>
            <w:tcW w:type="dxa" w:w="1360"/>
            <w:tcBorders>
              <w:top w:val="single" w:color="CCCCCC" w:sz="6"/>
              <w:left w:val="single" w:color="CCCCCC" w:sz="6"/>
              <w:bottom w:val="single" w:color="CCCCCC" w:sz="6"/>
              <w:right w:val="single" w:color="CCCCCC" w:sz="6"/>
            </w:tcBorders>
            <w:shd w:fill="FFFFFF" w:val="clear"/>
            <w:tcMar>
              <w:top w:type="dxa" w:w="60"/>
              <w:left w:type="dxa" w:w="80"/>
              <w:bottom w:type="dxa" w:w="60"/>
              <w:right w:type="dxa" w:w="80"/>
            </w:tcMar>
          </w:tcPr>
          <w:p>
            <w:r>
              <w:rPr>
                <w:rFonts w:ascii="Arial" w:cs="Arial" w:eastAsia="Arial" w:hAnsi="Arial"/>
                <w:b/>
                <w:bCs/>
                <w:color w:val="C00000"/>
                <w:sz w:val="17"/>
                <w:szCs w:val="17"/>
              </w:rPr>
              <w:t xml:space="preserve">Open</w:t>
            </w:r>
          </w:p>
        </w:tc>
      </w:tr>
      <w:tr>
        <w:tc>
          <w:tcPr>
            <w:tcW w:type="dxa" w:w="1500"/>
            <w:tcBorders>
              <w:top w:val="single" w:color="CCCCCC" w:sz="6"/>
              <w:left w:val="single" w:color="CCCCCC" w:sz="6"/>
              <w:bottom w:val="single" w:color="CCCCCC" w:sz="6"/>
              <w:right w:val="single" w:color="CCCCCC" w:sz="6"/>
            </w:tcBorders>
            <w:shd w:fill="F2F2F2" w:val="clear"/>
            <w:tcMar>
              <w:top w:type="dxa" w:w="60"/>
              <w:left w:type="dxa" w:w="80"/>
              <w:bottom w:type="dxa" w:w="60"/>
              <w:right w:type="dxa" w:w="80"/>
            </w:tcMar>
          </w:tcPr>
          <w:p>
            <w:r>
              <w:rPr>
                <w:rFonts w:ascii="Arial" w:cs="Arial" w:eastAsia="Arial" w:hAnsi="Arial"/>
                <w:b/>
                <w:bCs/>
                <w:sz w:val="17"/>
                <w:szCs w:val="17"/>
              </w:rPr>
              <w:t xml:space="preserve">OBS-004</w:t>
            </w:r>
          </w:p>
        </w:tc>
        <w:tc>
          <w:tcPr>
            <w:tcW w:type="dxa" w:w="2000"/>
            <w:tcBorders>
              <w:top w:val="single" w:color="CCCCCC" w:sz="6"/>
              <w:left w:val="single" w:color="CCCCCC" w:sz="6"/>
              <w:bottom w:val="single" w:color="CCCCCC" w:sz="6"/>
              <w:right w:val="single" w:color="CCCCCC" w:sz="6"/>
            </w:tcBorders>
            <w:shd w:fill="F2F2F2" w:val="clear"/>
            <w:tcMar>
              <w:top w:type="dxa" w:w="60"/>
              <w:left w:type="dxa" w:w="80"/>
              <w:bottom w:type="dxa" w:w="60"/>
              <w:right w:type="dxa" w:w="80"/>
            </w:tcMar>
          </w:tcPr>
          <w:p>
            <w:r>
              <w:rPr>
                <w:rFonts w:ascii="Arial" w:cs="Arial" w:eastAsia="Arial" w:hAnsi="Arial"/>
                <w:b/>
                <w:bCs/>
                <w:color w:val="ED7D31"/>
                <w:sz w:val="17"/>
                <w:szCs w:val="17"/>
              </w:rPr>
              <w:t xml:space="preserve">Major</w:t>
            </w:r>
          </w:p>
        </w:tc>
        <w:tc>
          <w:tcPr>
            <w:tcW w:type="dxa" w:w="3000"/>
            <w:tcBorders>
              <w:top w:val="single" w:color="CCCCCC" w:sz="6"/>
              <w:left w:val="single" w:color="CCCCCC" w:sz="6"/>
              <w:bottom w:val="single" w:color="CCCCCC" w:sz="6"/>
              <w:right w:val="single" w:color="CCCCCC" w:sz="6"/>
            </w:tcBorders>
            <w:shd w:fill="F2F2F2" w:val="clear"/>
            <w:tcMar>
              <w:top w:type="dxa" w:w="60"/>
              <w:left w:type="dxa" w:w="80"/>
              <w:bottom w:type="dxa" w:w="60"/>
              <w:right w:type="dxa" w:w="80"/>
            </w:tcMar>
          </w:tcPr>
          <w:p>
            <w:r>
              <w:rPr>
                <w:rFonts w:ascii="Arial" w:cs="Arial" w:eastAsia="Arial" w:hAnsi="Arial"/>
                <w:sz w:val="17"/>
                <w:szCs w:val="17"/>
              </w:rPr>
              <w:t xml:space="preserve">No process validation, no APQR, no approved vendor list for Dossantos</w:t>
            </w:r>
          </w:p>
        </w:tc>
        <w:tc>
          <w:tcPr>
            <w:tcW w:type="dxa" w:w="1500"/>
            <w:tcBorders>
              <w:top w:val="single" w:color="CCCCCC" w:sz="6"/>
              <w:left w:val="single" w:color="CCCCCC" w:sz="6"/>
              <w:bottom w:val="single" w:color="CCCCCC" w:sz="6"/>
              <w:right w:val="single" w:color="CCCCCC" w:sz="6"/>
            </w:tcBorders>
            <w:shd w:fill="F2F2F2" w:val="clear"/>
            <w:tcMar>
              <w:top w:type="dxa" w:w="60"/>
              <w:left w:type="dxa" w:w="80"/>
              <w:bottom w:type="dxa" w:w="60"/>
              <w:right w:type="dxa" w:w="80"/>
            </w:tcMar>
          </w:tcPr>
          <w:p>
            <w:r>
              <w:rPr>
                <w:rFonts w:ascii="Arial" w:cs="Arial" w:eastAsia="Arial" w:hAnsi="Arial"/>
                <w:sz w:val="17"/>
                <w:szCs w:val="17"/>
              </w:rPr>
              <w:t xml:space="preserve">30 days</w:t>
            </w:r>
          </w:p>
        </w:tc>
        <w:tc>
          <w:tcPr>
            <w:tcW w:type="dxa" w:w="1360"/>
            <w:tcBorders>
              <w:top w:val="single" w:color="CCCCCC" w:sz="6"/>
              <w:left w:val="single" w:color="CCCCCC" w:sz="6"/>
              <w:bottom w:val="single" w:color="CCCCCC" w:sz="6"/>
              <w:right w:val="single" w:color="CCCCCC" w:sz="6"/>
            </w:tcBorders>
            <w:shd w:fill="F2F2F2" w:val="clear"/>
            <w:tcMar>
              <w:top w:type="dxa" w:w="60"/>
              <w:left w:type="dxa" w:w="80"/>
              <w:bottom w:type="dxa" w:w="60"/>
              <w:right w:type="dxa" w:w="80"/>
            </w:tcMar>
          </w:tcPr>
          <w:p>
            <w:r>
              <w:rPr>
                <w:rFonts w:ascii="Arial" w:cs="Arial" w:eastAsia="Arial" w:hAnsi="Arial"/>
                <w:b/>
                <w:bCs/>
                <w:color w:val="C00000"/>
                <w:sz w:val="17"/>
                <w:szCs w:val="17"/>
              </w:rPr>
              <w:t xml:space="preserve">Open</w:t>
            </w:r>
          </w:p>
        </w:tc>
      </w:tr>
      <w:tr>
        <w:tc>
          <w:tcPr>
            <w:tcW w:type="dxa" w:w="1500"/>
            <w:tcBorders>
              <w:top w:val="single" w:color="CCCCCC" w:sz="6"/>
              <w:left w:val="single" w:color="CCCCCC" w:sz="6"/>
              <w:bottom w:val="single" w:color="CCCCCC" w:sz="6"/>
              <w:right w:val="single" w:color="CCCCCC" w:sz="6"/>
            </w:tcBorders>
            <w:shd w:fill="FFFFFF" w:val="clear"/>
            <w:tcMar>
              <w:top w:type="dxa" w:w="60"/>
              <w:left w:type="dxa" w:w="80"/>
              <w:bottom w:type="dxa" w:w="60"/>
              <w:right w:type="dxa" w:w="80"/>
            </w:tcMar>
          </w:tcPr>
          <w:p>
            <w:r>
              <w:rPr>
                <w:rFonts w:ascii="Arial" w:cs="Arial" w:eastAsia="Arial" w:hAnsi="Arial"/>
                <w:b/>
                <w:bCs/>
                <w:sz w:val="17"/>
                <w:szCs w:val="17"/>
              </w:rPr>
              <w:t xml:space="preserve">REC-001</w:t>
            </w:r>
          </w:p>
        </w:tc>
        <w:tc>
          <w:tcPr>
            <w:tcW w:type="dxa" w:w="2000"/>
            <w:tcBorders>
              <w:top w:val="single" w:color="CCCCCC" w:sz="6"/>
              <w:left w:val="single" w:color="CCCCCC" w:sz="6"/>
              <w:bottom w:val="single" w:color="CCCCCC" w:sz="6"/>
              <w:right w:val="single" w:color="CCCCCC" w:sz="6"/>
            </w:tcBorders>
            <w:shd w:fill="FFFFFF" w:val="clear"/>
            <w:tcMar>
              <w:top w:type="dxa" w:w="60"/>
              <w:left w:type="dxa" w:w="80"/>
              <w:bottom w:type="dxa" w:w="60"/>
              <w:right w:type="dxa" w:w="80"/>
            </w:tcMar>
          </w:tcPr>
          <w:p>
            <w:r>
              <w:rPr>
                <w:rFonts w:ascii="Arial" w:cs="Arial" w:eastAsia="Arial" w:hAnsi="Arial"/>
                <w:b/>
                <w:bCs/>
                <w:color w:val="7F7F7F"/>
                <w:sz w:val="17"/>
                <w:szCs w:val="17"/>
              </w:rPr>
              <w:t xml:space="preserve">Recommendation</w:t>
            </w:r>
          </w:p>
        </w:tc>
        <w:tc>
          <w:tcPr>
            <w:tcW w:type="dxa" w:w="3000"/>
            <w:tcBorders>
              <w:top w:val="single" w:color="CCCCCC" w:sz="6"/>
              <w:left w:val="single" w:color="CCCCCC" w:sz="6"/>
              <w:bottom w:val="single" w:color="CCCCCC" w:sz="6"/>
              <w:right w:val="single" w:color="CCCCCC" w:sz="6"/>
            </w:tcBorders>
            <w:shd w:fill="FFFFFF" w:val="clear"/>
            <w:tcMar>
              <w:top w:type="dxa" w:w="60"/>
              <w:left w:type="dxa" w:w="80"/>
              <w:bottom w:type="dxa" w:w="60"/>
              <w:right w:type="dxa" w:w="80"/>
            </w:tcMar>
          </w:tcPr>
          <w:p>
            <w:r>
              <w:rPr>
                <w:rFonts w:ascii="Arial" w:cs="Arial" w:eastAsia="Arial" w:hAnsi="Arial"/>
                <w:sz w:val="17"/>
                <w:szCs w:val="17"/>
              </w:rPr>
              <w:t xml:space="preserve">No cosmetic inspection procedure for finished bottles</w:t>
            </w:r>
          </w:p>
        </w:tc>
        <w:tc>
          <w:tcPr>
            <w:tcW w:type="dxa" w:w="1500"/>
            <w:tcBorders>
              <w:top w:val="single" w:color="CCCCCC" w:sz="6"/>
              <w:left w:val="single" w:color="CCCCCC" w:sz="6"/>
              <w:bottom w:val="single" w:color="CCCCCC" w:sz="6"/>
              <w:right w:val="single" w:color="CCCCCC" w:sz="6"/>
            </w:tcBorders>
            <w:shd w:fill="FFFFFF" w:val="clear"/>
            <w:tcMar>
              <w:top w:type="dxa" w:w="60"/>
              <w:left w:type="dxa" w:w="80"/>
              <w:bottom w:type="dxa" w:w="60"/>
              <w:right w:type="dxa" w:w="80"/>
            </w:tcMar>
          </w:tcPr>
          <w:p>
            <w:r>
              <w:rPr>
                <w:rFonts w:ascii="Arial" w:cs="Arial" w:eastAsia="Arial" w:hAnsi="Arial"/>
                <w:sz w:val="17"/>
                <w:szCs w:val="17"/>
              </w:rPr>
              <w:t xml:space="preserve">60 days</w:t>
            </w:r>
          </w:p>
        </w:tc>
        <w:tc>
          <w:tcPr>
            <w:tcW w:type="dxa" w:w="1360"/>
            <w:tcBorders>
              <w:top w:val="single" w:color="CCCCCC" w:sz="6"/>
              <w:left w:val="single" w:color="CCCCCC" w:sz="6"/>
              <w:bottom w:val="single" w:color="CCCCCC" w:sz="6"/>
              <w:right w:val="single" w:color="CCCCCC" w:sz="6"/>
            </w:tcBorders>
            <w:shd w:fill="FFFFFF" w:val="clear"/>
            <w:tcMar>
              <w:top w:type="dxa" w:w="60"/>
              <w:left w:type="dxa" w:w="80"/>
              <w:bottom w:type="dxa" w:w="60"/>
              <w:right w:type="dxa" w:w="80"/>
            </w:tcMar>
          </w:tcPr>
          <w:p>
            <w:r>
              <w:rPr>
                <w:rFonts w:ascii="Arial" w:cs="Arial" w:eastAsia="Arial" w:hAnsi="Arial"/>
                <w:b/>
                <w:bCs/>
                <w:color w:val="C00000"/>
                <w:sz w:val="17"/>
                <w:szCs w:val="17"/>
              </w:rPr>
              <w:t xml:space="preserve">Open</w:t>
            </w:r>
          </w:p>
        </w:tc>
      </w:tr>
    </w:tbl>
    <w:p>
      <w:pPr>
        <w:spacing w:before="80" w:after="80"/>
      </w:pPr>
      <w:r>
        <w:t xml:space="preserve"/>
      </w:r>
    </w:p>
    <w:p>
      <w:pPr>
        <w:spacing w:before="60" w:after="60"/>
      </w:pPr>
      <w:r>
        <w:rPr>
          <w:rFonts w:ascii="Arial" w:cs="Arial" w:eastAsia="Arial" w:hAnsi="Arial"/>
          <w:sz w:val="20"/>
          <w:szCs w:val="20"/>
        </w:rPr>
        <w:t xml:space="preserve">The CAPA Plan should be submitted using PROFARM's standard CAPA Plan form (Form F-01/G-08-P-02) and must include, for each observation: root cause analysis, corrective and preventive actions, responsible persons, target completion dates, and effectiveness verification plan.</w:t>
      </w:r>
    </w:p>
    <w:p>
      <w:pPr>
        <w:spacing w:before="80" w:after="80"/>
      </w:pPr>
      <w:r>
        <w:t xml:space="preserve"/>
      </w:r>
    </w:p>
    <w:p>
      <w:r>
        <w:br w:type="page"/>
      </w:r>
    </w:p>
    <w:p>
      <w:pPr>
        <w:pStyle w:val="Heading1"/>
        <w:shd w:fill="1F3864" w:val="clear"/>
        <w:spacing w:before="200" w:after="100"/>
        <w:ind w:left="100"/>
      </w:pPr>
      <w:r>
        <w:rPr>
          <w:rFonts w:ascii="Arial" w:cs="Arial" w:eastAsia="Arial" w:hAnsi="Arial"/>
          <w:b/>
          <w:bCs/>
          <w:color w:val="FFFFFF"/>
          <w:sz w:val="28"/>
          <w:szCs w:val="28"/>
        </w:rPr>
        <w:t xml:space="preserve">SECTION 9: AUTHORISATION &amp; SIGNATURES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6"/>
              <w:left w:val="single" w:color="2E75B6" w:sz="6"/>
              <w:bottom w:val="single" w:color="2E75B6" w:sz="6"/>
              <w:right w:val="single" w:color="2E75B6" w:sz="6"/>
            </w:tcBorders>
            <w:shd w:fill="2E75B6"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AUDITING ORGANISATION</w:t>
            </w:r>
          </w:p>
        </w:tc>
        <w:tc>
          <w:tcPr>
            <w:tcW w:type="dxa" w:w="4680"/>
            <w:tcBorders>
              <w:top w:val="single" w:color="2E75B6" w:sz="6"/>
              <w:left w:val="single" w:color="2E75B6" w:sz="6"/>
              <w:bottom w:val="single" w:color="2E75B6" w:sz="6"/>
              <w:right w:val="single" w:color="2E75B6" w:sz="6"/>
            </w:tcBorders>
            <w:shd w:fill="2E75B6"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AUDITEE ORGANISATION</w:t>
            </w:r>
          </w:p>
        </w:tc>
      </w:tr>
      <w:tr>
        <w:tc>
          <w:tcPr>
            <w:tcW w:type="dxa" w:w="4680"/>
            <w:tcBorders>
              <w:top w:val="single" w:color="CCCCCC" w:sz="6"/>
              <w:left w:val="single" w:color="CCCCCC" w:sz="6"/>
              <w:bottom w:val="single" w:color="CCCCCC" w:sz="6"/>
              <w:right w:val="single" w:color="CCCCCC" w:sz="6"/>
            </w:tcBorders>
            <w:tcMar>
              <w:top w:type="dxa" w:w="120"/>
              <w:left w:type="dxa" w:w="160"/>
              <w:bottom w:type="dxa" w:w="300"/>
              <w:right w:type="dxa" w:w="160"/>
            </w:tcMar>
          </w:tcPr>
          <w:p>
            <w:r>
              <w:rPr>
                <w:rFonts w:ascii="Arial" w:cs="Arial" w:eastAsia="Arial" w:hAnsi="Arial"/>
                <w:sz w:val="18"/>
                <w:szCs w:val="18"/>
              </w:rPr>
              <w:t xml:space="preserve">Lead Auditor: Mustapha Sahel</w:t>
            </w:r>
          </w:p>
          <w:p>
            <w:pPr>
              <w:spacing w:before="60"/>
            </w:pPr>
            <w:r>
              <w:rPr>
                <w:rFonts w:ascii="Arial" w:cs="Arial" w:eastAsia="Arial" w:hAnsi="Arial"/>
                <w:sz w:val="18"/>
                <w:szCs w:val="18"/>
              </w:rPr>
              <w:t xml:space="preserve">Organisation: EmergoPharm Sp. z o.o. Sp. K.</w:t>
            </w:r>
          </w:p>
          <w:p>
            <w:pPr>
              <w:spacing w:before="60"/>
            </w:pPr>
            <w:r>
              <w:rPr>
                <w:rFonts w:ascii="Arial" w:cs="Arial" w:eastAsia="Arial" w:hAnsi="Arial"/>
                <w:sz w:val="18"/>
                <w:szCs w:val="18"/>
              </w:rPr>
              <w:t xml:space="preserve">Date: ___________________</w:t>
            </w:r>
          </w:p>
          <w:p>
            <w:pPr>
              <w:spacing w:before="120"/>
            </w:pPr>
            <w:r>
              <w:rPr>
                <w:rFonts w:ascii="Arial" w:cs="Arial" w:eastAsia="Arial" w:hAnsi="Arial"/>
                <w:sz w:val="18"/>
                <w:szCs w:val="18"/>
              </w:rPr>
              <w:t xml:space="preserve">Signature: ___________________</w:t>
            </w:r>
          </w:p>
        </w:tc>
        <w:tc>
          <w:tcPr>
            <w:tcW w:type="dxa" w:w="4680"/>
            <w:tcBorders>
              <w:top w:val="single" w:color="CCCCCC" w:sz="6"/>
              <w:left w:val="single" w:color="CCCCCC" w:sz="6"/>
              <w:bottom w:val="single" w:color="CCCCCC" w:sz="6"/>
              <w:right w:val="single" w:color="CCCCCC" w:sz="6"/>
            </w:tcBorders>
            <w:tcMar>
              <w:top w:type="dxa" w:w="120"/>
              <w:left w:type="dxa" w:w="160"/>
              <w:bottom w:type="dxa" w:w="300"/>
              <w:right w:type="dxa" w:w="160"/>
            </w:tcMar>
          </w:tcPr>
          <w:p>
            <w:r>
              <w:rPr>
                <w:rFonts w:ascii="Arial" w:cs="Arial" w:eastAsia="Arial" w:hAnsi="Arial"/>
                <w:sz w:val="18"/>
                <w:szCs w:val="18"/>
              </w:rPr>
              <w:t xml:space="preserve">QA Representative: Dominika Schroeder</w:t>
            </w:r>
          </w:p>
          <w:p>
            <w:pPr>
              <w:spacing w:before="60"/>
            </w:pPr>
            <w:r>
              <w:rPr>
                <w:rFonts w:ascii="Arial" w:cs="Arial" w:eastAsia="Arial" w:hAnsi="Arial"/>
                <w:sz w:val="18"/>
                <w:szCs w:val="18"/>
              </w:rPr>
              <w:t xml:space="preserve">Organisation: PPFK PROFARM Sp. z o.o.</w:t>
            </w:r>
          </w:p>
          <w:p>
            <w:pPr>
              <w:spacing w:before="60"/>
            </w:pPr>
            <w:r>
              <w:rPr>
                <w:rFonts w:ascii="Arial" w:cs="Arial" w:eastAsia="Arial" w:hAnsi="Arial"/>
                <w:sz w:val="18"/>
                <w:szCs w:val="18"/>
              </w:rPr>
              <w:t xml:space="preserve">Date: ___________________</w:t>
            </w:r>
          </w:p>
          <w:p>
            <w:pPr>
              <w:spacing w:before="120"/>
            </w:pPr>
            <w:r>
              <w:rPr>
                <w:rFonts w:ascii="Arial" w:cs="Arial" w:eastAsia="Arial" w:hAnsi="Arial"/>
                <w:sz w:val="18"/>
                <w:szCs w:val="18"/>
              </w:rPr>
              <w:t xml:space="preserve">Signature: ___________________</w:t>
            </w:r>
          </w:p>
        </w:tc>
      </w:tr>
    </w:tbl>
    <w:p>
      <w:pPr>
        <w:spacing w:before="80" w:after="80"/>
      </w:pPr>
      <w:r>
        <w:t xml:space="preserve"/>
      </w:r>
    </w:p>
    <w:p>
      <w:pPr>
        <w:spacing w:before="60" w:after="60"/>
      </w:pPr>
      <w:r>
        <w:rPr>
          <w:rFonts w:ascii="Arial" w:cs="Arial" w:eastAsia="Arial" w:hAnsi="Arial"/>
          <w:sz w:val="20"/>
          <w:szCs w:val="20"/>
        </w:rPr>
        <w:t xml:space="preserve">This report is CONFIDENTIAL and intended solely for the use of EmergoPharm Sp. z o.o. Sp. K. and PPFK PROFARM Sp. z o.o. in connection with the audit conducted on 17 November 2025. Distribution of this document to third parties requires prior written approval from the Lead Auditor.</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pBdr>
      <w:tabs>
        <w:tab w:val="right" w:pos="9026"/>
      </w:tabs>
      <w:spacing w:before="80"/>
    </w:pPr>
    <w:r>
      <w:rPr>
        <w:rFonts w:ascii="Arial" w:cs="Arial" w:eastAsia="Arial" w:hAnsi="Arial"/>
        <w:color w:val="7F7F7F"/>
        <w:sz w:val="16"/>
        <w:szCs w:val="16"/>
      </w:rPr>
      <w:t xml:space="preserve">CONFIDENTIAL  |  EmergoPharm / PROFARM Audit Report  |  Page </w:t>
    </w:r>
    <w:r>
      <w:rPr>
        <w:rFonts w:ascii="Arial" w:cs="Arial" w:eastAsia="Arial" w:hAnsi="Arial"/>
        <w:color w:val="7F7F7F"/>
        <w:sz w:val="16"/>
        <w:szCs w:val="16"/>
      </w:rPr>
      <w:fldChar w:fldCharType="begin"/>
      <w:instrText xml:space="preserve">PAGE</w:instrText>
      <w:fldChar w:fldCharType="separate"/>
      <w:fldChar w:fldCharType="end"/>
    </w:r>
    <w:r>
      <w:rPr>
        <w:rFonts w:ascii="Arial" w:cs="Arial" w:eastAsia="Arial" w:hAnsi="Arial"/>
        <w:color w:val="7F7F7F"/>
        <w:sz w:val="16"/>
        <w:szCs w:val="16"/>
      </w:rPr>
      <w:t xml:space="preserve">	Document Reference: AUD-PROFARM-2025-001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none"/>
        <w:left w:val="none"/>
        <w:bottom w:val="single" w:color="2E75B6" w:sz="12"/>
        <w:right w:val="none"/>
        <w:insideH w:val="single" w:color="auto" w:sz="4"/>
        <w:insideV w:val="single" w:color="auto" w:sz="4"/>
      </w:tblBorders>
    </w:tblPr>
    <w:tblGrid>
      <w:gridCol w:w="7000"/>
      <w:gridCol w:w="3080"/>
    </w:tblGrid>
    <w:tr>
      <w:tc>
        <w:tcPr>
          <w:tcBorders>
            <w:top w:val="none"/>
            <w:left w:val="none"/>
            <w:bottom w:val="none"/>
            <w:right w:val="none"/>
          </w:tcBorders>
        </w:tcPr>
        <w:p>
          <w:r>
            <w:rPr>
              <w:rFonts w:ascii="Arial" w:cs="Arial" w:eastAsia="Arial" w:hAnsi="Arial"/>
              <w:b/>
              <w:bCs/>
              <w:color w:val="1F3864"/>
              <w:sz w:val="18"/>
              <w:szCs w:val="18"/>
            </w:rPr>
            <w:t xml:space="preserve">CMO QUALITY AUDIT REPORT  |  PPFK PROFARM SP. Z O.O.</w:t>
          </w:r>
        </w:p>
      </w:tc>
      <w:tc>
        <w:tcPr>
          <w:tcBorders>
            <w:top w:val="none"/>
            <w:left w:val="none"/>
            <w:bottom w:val="none"/>
            <w:right w:val="none"/>
          </w:tcBorders>
        </w:tcPr>
        <w:p>
          <w:pPr>
            <w:jc w:val="right"/>
          </w:pPr>
          <w:r>
            <w:rPr>
              <w:rFonts w:ascii="Arial" w:cs="Arial" w:eastAsia="Arial" w:hAnsi="Arial"/>
              <w:color w:val="7F7F7F"/>
              <w:sz w:val="16"/>
              <w:szCs w:val="16"/>
            </w:rPr>
            <w:t xml:space="preserve">Audit Date: 17 November 2025</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5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00" w:after="100"/>
      <w:outlineLvl w:val="0"/>
    </w:pPr>
    <w:rPr>
      <w:rFonts w:ascii="Arial" w:cs="Arial" w:eastAsia="Arial" w:hAnsi="Arial"/>
      <w:b/>
      <w:bCs/>
      <w:color w:val="FFFFFF"/>
      <w:sz w:val="28"/>
      <w:szCs w:val="28"/>
    </w:rPr>
  </w:style>
  <w:style w:type="paragraph" w:styleId="Heading2">
    <w:name w:val="Heading 2"/>
    <w:basedOn w:val="Normal"/>
    <w:next w:val="Normal"/>
    <w:qFormat/>
    <w:pPr>
      <w:spacing w:before="160" w:after="80"/>
      <w:outlineLvl w:val="1"/>
    </w:pPr>
    <w:rPr>
      <w:rFonts w:ascii="Arial" w:cs="Arial" w:eastAsia="Arial" w:hAnsi="Arial"/>
      <w:b/>
      <w:bCs/>
      <w:color w:val="FFFFFF"/>
      <w:sz w:val="24"/>
      <w:szCs w:val="24"/>
    </w:rPr>
  </w:style>
  <w:style w:type="paragraph" w:styleId="Heading3">
    <w:name w:val="Heading 3"/>
    <w:basedOn w:val="Normal"/>
    <w:next w:val="Normal"/>
    <w:qFormat/>
    <w:pPr>
      <w:spacing w:before="120" w:after="6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2026-03-30T06:31:18.815Z</dcterms:created>
  <dcterms:modified xsi:type="dcterms:W3CDTF">2026-03-30T06:31:18.816Z</dcterms:modified>
</cp:coreProperties>
</file>

<file path=docProps/custom.xml><?xml version="1.0" encoding="utf-8"?>
<Properties xmlns="http://schemas.openxmlformats.org/officeDocument/2006/custom-properties" xmlns:vt="http://schemas.openxmlformats.org/officeDocument/2006/docPropsVTypes"/>
</file>