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8780"/>
          <w:sz w:val="52"/>
        </w:rPr>
        <w:t>BatchSphere Operations Cloud</w:t>
      </w:r>
    </w:p>
    <w:p>
      <w:pPr>
        <w:jc w:val="center"/>
      </w:pPr>
      <w:r>
        <w:rPr>
          <w:color w:val="5A6475"/>
          <w:sz w:val="26"/>
        </w:rPr>
        <w:t>Pharma Platform — Architecture Review, Improvement Roadmap &amp; Module Design Guide</w:t>
      </w:r>
    </w:p>
    <w:p/>
    <w:p>
      <w:pPr>
        <w:jc w:val="center"/>
      </w:pPr>
      <w:r>
        <w:rPr>
          <w:i/>
          <w:color w:val="5A6475"/>
          <w:sz w:val="20"/>
        </w:rPr>
        <w:t>Prepared by Claude  |  March 2026</w:t>
      </w:r>
    </w:p>
    <w:p>
      <w:r>
        <w:br w:type="page"/>
      </w:r>
    </w:p>
    <w:p>
      <w:pPr>
        <w:spacing w:before="440" w:after="120"/>
        <w:pBdr>
          <w:bottom w:val="single" w:sz="6" w:space="4" w:color="008780"/>
        </w:pBdr>
      </w:pPr>
      <w:r>
        <w:rPr>
          <w:b/>
          <w:color w:val="008780"/>
          <w:sz w:val="22"/>
        </w:rPr>
        <w:t>1. WHAT YOU HAVE BUILT — HONEST ASSESSMENT</w:t>
      </w:r>
    </w:p>
    <w:p>
      <w:pPr>
        <w:spacing w:before="0" w:after="100"/>
      </w:pPr>
      <w:r>
        <w:rPr>
          <w:i w:val="0"/>
          <w:color w:val="1A1F2E"/>
          <w:sz w:val="20"/>
        </w:rPr>
        <w:t>Your codebase is a solid, well-structured start for a GMP-grade pharmaceutical operations platform. The tech choices are modern and appropriate. Here is an honest, module-by-module picture of where things stand.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E8F5F5"/>
            <w:vAlign w:val="center"/>
          </w:tcPr>
          <w:p>
            <w:r>
              <w:rPr>
                <w:b/>
                <w:color w:val="008780"/>
                <w:sz w:val="18"/>
              </w:rPr>
              <w:t>Module</w:t>
            </w:r>
          </w:p>
        </w:tc>
        <w:tc>
          <w:tcPr>
            <w:tcW w:type="dxa" w:w="1440"/>
            <w:shd w:val="clear" w:color="auto" w:fill="E8F5F5"/>
            <w:vAlign w:val="center"/>
          </w:tcPr>
          <w:p>
            <w:r>
              <w:rPr>
                <w:b/>
                <w:color w:val="008780"/>
                <w:sz w:val="18"/>
              </w:rPr>
              <w:t>Status</w:t>
            </w:r>
          </w:p>
        </w:tc>
        <w:tc>
          <w:tcPr>
            <w:tcW w:type="dxa" w:w="1296"/>
            <w:shd w:val="clear" w:color="auto" w:fill="E8F5F5"/>
            <w:vAlign w:val="center"/>
          </w:tcPr>
          <w:p>
            <w:r>
              <w:rPr>
                <w:b/>
                <w:color w:val="008780"/>
                <w:sz w:val="18"/>
              </w:rPr>
              <w:t>Completeness</w:t>
            </w:r>
          </w:p>
        </w:tc>
        <w:tc>
          <w:tcPr>
            <w:tcW w:type="dxa" w:w="5040"/>
            <w:shd w:val="clear" w:color="auto" w:fill="E8F5F5"/>
            <w:vAlign w:val="center"/>
          </w:tcPr>
          <w:p>
            <w:r>
              <w:rPr>
                <w:b/>
                <w:color w:val="008780"/>
                <w:sz w:val="18"/>
              </w:rPr>
              <w:t>Notes</w:t>
            </w:r>
          </w:p>
        </w:tc>
      </w:tr>
      <w:tr>
        <w:tc>
          <w:tcPr>
            <w:tcW w:type="dxa" w:w="2880"/>
          </w:tcPr>
          <w:p>
            <w:r>
              <w:rPr>
                <w:color w:val="1A1F2E"/>
                <w:sz w:val="18"/>
              </w:rPr>
              <w:t>Dashboard</w:t>
            </w:r>
          </w:p>
        </w:tc>
        <w:tc>
          <w:tcPr>
            <w:tcW w:type="dxa" w:w="1440"/>
          </w:tcPr>
          <w:p>
            <w:r>
              <w:rPr>
                <w:b/>
                <w:color w:val="2E7D32"/>
                <w:sz w:val="18"/>
              </w:rPr>
              <w:t>✅ Built</w:t>
            </w:r>
          </w:p>
        </w:tc>
        <w:tc>
          <w:tcPr>
            <w:tcW w:type="dxa" w:w="1296"/>
          </w:tcPr>
          <w:p>
            <w:r>
              <w:rPr>
                <w:color w:val="1A1F2E"/>
                <w:sz w:val="18"/>
              </w:rPr>
              <w:t>~80%</w:t>
            </w:r>
          </w:p>
        </w:tc>
        <w:tc>
          <w:tcPr>
            <w:tcW w:type="dxa" w:w="5040"/>
          </w:tcPr>
          <w:p>
            <w:r>
              <w:rPr>
                <w:color w:val="1A1F2E"/>
                <w:sz w:val="18"/>
              </w:rPr>
              <w:t>Good KPI tiles; data is static/placeholder — needs live API counts</w:t>
            </w:r>
          </w:p>
        </w:tc>
      </w:tr>
      <w:tr>
        <w:tc>
          <w:tcPr>
            <w:tcW w:type="dxa" w:w="2880"/>
          </w:tcPr>
          <w:p>
            <w:r>
              <w:rPr>
                <w:color w:val="1A1F2E"/>
                <w:sz w:val="18"/>
              </w:rPr>
              <w:t>GRN (Goods Receipt)</w:t>
            </w:r>
          </w:p>
        </w:tc>
        <w:tc>
          <w:tcPr>
            <w:tcW w:type="dxa" w:w="1440"/>
          </w:tcPr>
          <w:p>
            <w:r>
              <w:rPr>
                <w:b/>
                <w:color w:val="2E7D32"/>
                <w:sz w:val="18"/>
              </w:rPr>
              <w:t>✅ Built</w:t>
            </w:r>
          </w:p>
        </w:tc>
        <w:tc>
          <w:tcPr>
            <w:tcW w:type="dxa" w:w="1296"/>
          </w:tcPr>
          <w:p>
            <w:r>
              <w:rPr>
                <w:color w:val="1A1F2E"/>
                <w:sz w:val="18"/>
              </w:rPr>
              <w:t>~70%</w:t>
            </w:r>
          </w:p>
        </w:tc>
        <w:tc>
          <w:tcPr>
            <w:tcW w:type="dxa" w:w="5040"/>
          </w:tcPr>
          <w:p>
            <w:r>
              <w:rPr>
                <w:color w:val="1A1F2E"/>
                <w:sz w:val="18"/>
              </w:rPr>
              <w:t>Single-item only per GRN; multi-item not yet wired; document upload present</w:t>
            </w:r>
          </w:p>
        </w:tc>
      </w:tr>
      <w:tr>
        <w:tc>
          <w:tcPr>
            <w:tcW w:type="dxa" w:w="2880"/>
          </w:tcPr>
          <w:p>
            <w:r>
              <w:rPr>
                <w:color w:val="1A1F2E"/>
                <w:sz w:val="18"/>
              </w:rPr>
              <w:t>Inventory Visibility</w:t>
            </w:r>
          </w:p>
        </w:tc>
        <w:tc>
          <w:tcPr>
            <w:tcW w:type="dxa" w:w="1440"/>
          </w:tcPr>
          <w:p>
            <w:r>
              <w:rPr>
                <w:b/>
                <w:color w:val="2E7D32"/>
                <w:sz w:val="18"/>
              </w:rPr>
              <w:t>✅ Built</w:t>
            </w:r>
          </w:p>
        </w:tc>
        <w:tc>
          <w:tcPr>
            <w:tcW w:type="dxa" w:w="1296"/>
          </w:tcPr>
          <w:p>
            <w:r>
              <w:rPr>
                <w:color w:val="1A1F2E"/>
                <w:sz w:val="18"/>
              </w:rPr>
              <w:t>~65%</w:t>
            </w:r>
          </w:p>
        </w:tc>
        <w:tc>
          <w:tcPr>
            <w:tcW w:type="dxa" w:w="5040"/>
          </w:tcPr>
          <w:p>
            <w:r>
              <w:rPr>
                <w:color w:val="1A1F2E"/>
                <w:sz w:val="18"/>
              </w:rPr>
              <w:t>Read-only view; no stock movement, no reorder alerts, no reservations</w:t>
            </w:r>
          </w:p>
        </w:tc>
      </w:tr>
      <w:tr>
        <w:tc>
          <w:tcPr>
            <w:tcW w:type="dxa" w:w="2880"/>
          </w:tcPr>
          <w:p>
            <w:r>
              <w:rPr>
                <w:color w:val="1A1F2E"/>
                <w:sz w:val="18"/>
              </w:rPr>
              <w:t>Sampling &amp; QC</w:t>
            </w:r>
          </w:p>
        </w:tc>
        <w:tc>
          <w:tcPr>
            <w:tcW w:type="dxa" w:w="1440"/>
          </w:tcPr>
          <w:p>
            <w:r>
              <w:rPr>
                <w:b/>
                <w:color w:val="2E7D32"/>
                <w:sz w:val="18"/>
              </w:rPr>
              <w:t>✅ Built</w:t>
            </w:r>
          </w:p>
        </w:tc>
        <w:tc>
          <w:tcPr>
            <w:tcW w:type="dxa" w:w="1296"/>
          </w:tcPr>
          <w:p>
            <w:r>
              <w:rPr>
                <w:color w:val="1A1F2E"/>
                <w:sz w:val="18"/>
              </w:rPr>
              <w:t>~60%</w:t>
            </w:r>
          </w:p>
        </w:tc>
        <w:tc>
          <w:tcPr>
            <w:tcW w:type="dxa" w:w="5040"/>
          </w:tcPr>
          <w:p>
            <w:r>
              <w:rPr>
                <w:color w:val="1A1F2E"/>
                <w:sz w:val="18"/>
              </w:rPr>
              <w:t>Plan creation good; missing results entry, instrument log, CoA generation</w:t>
            </w:r>
          </w:p>
        </w:tc>
      </w:tr>
      <w:tr>
        <w:tc>
          <w:tcPr>
            <w:tcW w:type="dxa" w:w="2880"/>
          </w:tcPr>
          <w:p>
            <w:r>
              <w:rPr>
                <w:color w:val="1A1F2E"/>
                <w:sz w:val="18"/>
              </w:rPr>
              <w:t>Master Data</w:t>
            </w:r>
          </w:p>
        </w:tc>
        <w:tc>
          <w:tcPr>
            <w:tcW w:type="dxa" w:w="1440"/>
          </w:tcPr>
          <w:p>
            <w:r>
              <w:rPr>
                <w:b/>
                <w:color w:val="2E7D32"/>
                <w:sz w:val="18"/>
              </w:rPr>
              <w:t>✅ Built</w:t>
            </w:r>
          </w:p>
        </w:tc>
        <w:tc>
          <w:tcPr>
            <w:tcW w:type="dxa" w:w="1296"/>
          </w:tcPr>
          <w:p>
            <w:r>
              <w:rPr>
                <w:color w:val="1A1F2E"/>
                <w:sz w:val="18"/>
              </w:rPr>
              <w:t>~75%</w:t>
            </w:r>
          </w:p>
        </w:tc>
        <w:tc>
          <w:tcPr>
            <w:tcW w:type="dxa" w:w="5040"/>
          </w:tcPr>
          <w:p>
            <w:r>
              <w:rPr>
                <w:color w:val="1A1F2E"/>
                <w:sz w:val="18"/>
              </w:rPr>
              <w:t>Largest file (2,815 lines); works but needs splitting into sub-pages</w:t>
            </w:r>
          </w:p>
        </w:tc>
      </w:tr>
      <w:tr>
        <w:tc>
          <w:tcPr>
            <w:tcW w:type="dxa" w:w="2880"/>
          </w:tcPr>
          <w:p>
            <w:r>
              <w:rPr>
                <w:color w:val="1A1F2E"/>
                <w:sz w:val="18"/>
              </w:rPr>
              <w:t>Vendor Qualification</w:t>
            </w:r>
          </w:p>
        </w:tc>
        <w:tc>
          <w:tcPr>
            <w:tcW w:type="dxa" w:w="1440"/>
          </w:tcPr>
          <w:p>
            <w:r>
              <w:rPr>
                <w:b/>
                <w:color w:val="C62828"/>
                <w:sz w:val="18"/>
              </w:rPr>
              <w:t>❌ Missing</w:t>
            </w:r>
          </w:p>
        </w:tc>
        <w:tc>
          <w:tcPr>
            <w:tcW w:type="dxa" w:w="1296"/>
          </w:tcPr>
          <w:p>
            <w:r>
              <w:rPr>
                <w:color w:val="1A1F2E"/>
                <w:sz w:val="18"/>
              </w:rPr>
              <w:t>0%</w:t>
            </w:r>
          </w:p>
        </w:tc>
        <w:tc>
          <w:tcPr>
            <w:tcW w:type="dxa" w:w="5040"/>
          </w:tcPr>
          <w:p>
            <w:r>
              <w:rPr>
                <w:color w:val="1A1F2E"/>
                <w:sz w:val="18"/>
              </w:rPr>
              <w:t>Not started; critical for GMP compliance</w:t>
            </w:r>
          </w:p>
        </w:tc>
      </w:tr>
      <w:tr>
        <w:tc>
          <w:tcPr>
            <w:tcW w:type="dxa" w:w="2880"/>
          </w:tcPr>
          <w:p>
            <w:r>
              <w:rPr>
                <w:color w:val="1A1F2E"/>
                <w:sz w:val="18"/>
              </w:rPr>
              <w:t>Warehouse Management</w:t>
            </w:r>
          </w:p>
        </w:tc>
        <w:tc>
          <w:tcPr>
            <w:tcW w:type="dxa" w:w="1440"/>
          </w:tcPr>
          <w:p>
            <w:r>
              <w:rPr>
                <w:b/>
                <w:color w:val="E65C00"/>
                <w:sz w:val="18"/>
              </w:rPr>
              <w:t>⚠️ Partial</w:t>
            </w:r>
          </w:p>
        </w:tc>
        <w:tc>
          <w:tcPr>
            <w:tcW w:type="dxa" w:w="1296"/>
          </w:tcPr>
          <w:p>
            <w:r>
              <w:rPr>
                <w:color w:val="1A1F2E"/>
                <w:sz w:val="18"/>
              </w:rPr>
              <w:t>30%</w:t>
            </w:r>
          </w:p>
        </w:tc>
        <w:tc>
          <w:tcPr>
            <w:tcW w:type="dxa" w:w="5040"/>
          </w:tcPr>
          <w:p>
            <w:r>
              <w:rPr>
                <w:color w:val="1A1F2E"/>
                <w:sz w:val="18"/>
              </w:rPr>
              <w:t>Location hierarchy in master data; no pick/put-away, no bin logic</w:t>
            </w:r>
          </w:p>
        </w:tc>
      </w:tr>
      <w:tr>
        <w:tc>
          <w:tcPr>
            <w:tcW w:type="dxa" w:w="2880"/>
          </w:tcPr>
          <w:p>
            <w:r>
              <w:rPr>
                <w:color w:val="1A1F2E"/>
                <w:sz w:val="18"/>
              </w:rPr>
              <w:t>QMS (Quality Mgmt)</w:t>
            </w:r>
          </w:p>
        </w:tc>
        <w:tc>
          <w:tcPr>
            <w:tcW w:type="dxa" w:w="1440"/>
          </w:tcPr>
          <w:p>
            <w:r>
              <w:rPr>
                <w:b/>
                <w:color w:val="C62828"/>
                <w:sz w:val="18"/>
              </w:rPr>
              <w:t>❌ Missing</w:t>
            </w:r>
          </w:p>
        </w:tc>
        <w:tc>
          <w:tcPr>
            <w:tcW w:type="dxa" w:w="1296"/>
          </w:tcPr>
          <w:p>
            <w:r>
              <w:rPr>
                <w:color w:val="1A1F2E"/>
                <w:sz w:val="18"/>
              </w:rPr>
              <w:t>0%</w:t>
            </w:r>
          </w:p>
        </w:tc>
        <w:tc>
          <w:tcPr>
            <w:tcW w:type="dxa" w:w="5040"/>
          </w:tcPr>
          <w:p>
            <w:r>
              <w:rPr>
                <w:color w:val="1A1F2E"/>
                <w:sz w:val="18"/>
              </w:rPr>
              <w:t>Deviations, CAPAs, Change Controls, SOP management — not started</w:t>
            </w:r>
          </w:p>
        </w:tc>
      </w:tr>
      <w:tr>
        <w:tc>
          <w:tcPr>
            <w:tcW w:type="dxa" w:w="2880"/>
          </w:tcPr>
          <w:p>
            <w:r>
              <w:rPr>
                <w:color w:val="1A1F2E"/>
                <w:sz w:val="18"/>
              </w:rPr>
              <w:t>HRMS</w:t>
            </w:r>
          </w:p>
        </w:tc>
        <w:tc>
          <w:tcPr>
            <w:tcW w:type="dxa" w:w="1440"/>
          </w:tcPr>
          <w:p>
            <w:r>
              <w:rPr>
                <w:b/>
                <w:color w:val="C62828"/>
                <w:sz w:val="18"/>
              </w:rPr>
              <w:t>❌ Missing</w:t>
            </w:r>
          </w:p>
        </w:tc>
        <w:tc>
          <w:tcPr>
            <w:tcW w:type="dxa" w:w="1296"/>
          </w:tcPr>
          <w:p>
            <w:r>
              <w:rPr>
                <w:color w:val="1A1F2E"/>
                <w:sz w:val="18"/>
              </w:rPr>
              <w:t>0%</w:t>
            </w:r>
          </w:p>
        </w:tc>
        <w:tc>
          <w:tcPr>
            <w:tcW w:type="dxa" w:w="5040"/>
          </w:tcPr>
          <w:p>
            <w:r>
              <w:rPr>
                <w:color w:val="1A1F2E"/>
                <w:sz w:val="18"/>
              </w:rPr>
              <w:t>Employee, training, competency, access roles — not started</w:t>
            </w:r>
          </w:p>
        </w:tc>
      </w:tr>
      <w:tr>
        <w:tc>
          <w:tcPr>
            <w:tcW w:type="dxa" w:w="2880"/>
          </w:tcPr>
          <w:p>
            <w:r>
              <w:rPr>
                <w:color w:val="1A1F2E"/>
                <w:sz w:val="18"/>
              </w:rPr>
              <w:t>LIMS</w:t>
            </w:r>
          </w:p>
        </w:tc>
        <w:tc>
          <w:tcPr>
            <w:tcW w:type="dxa" w:w="1440"/>
          </w:tcPr>
          <w:p>
            <w:r>
              <w:rPr>
                <w:b/>
                <w:color w:val="C62828"/>
                <w:sz w:val="18"/>
              </w:rPr>
              <w:t>❌ Missing</w:t>
            </w:r>
          </w:p>
        </w:tc>
        <w:tc>
          <w:tcPr>
            <w:tcW w:type="dxa" w:w="1296"/>
          </w:tcPr>
          <w:p>
            <w:r>
              <w:rPr>
                <w:color w:val="1A1F2E"/>
                <w:sz w:val="18"/>
              </w:rPr>
              <w:t>0%</w:t>
            </w:r>
          </w:p>
        </w:tc>
        <w:tc>
          <w:tcPr>
            <w:tcW w:type="dxa" w:w="5040"/>
          </w:tcPr>
          <w:p>
            <w:r>
              <w:rPr>
                <w:color w:val="1A1F2E"/>
                <w:sz w:val="18"/>
              </w:rPr>
              <w:t>Test results, instruments, CoA, out-of-spec handling — not started</w:t>
            </w:r>
          </w:p>
        </w:tc>
      </w:tr>
    </w:tbl>
    <w:p/>
    <w:p>
      <w:pPr>
        <w:spacing w:before="440" w:after="120"/>
        <w:pBdr>
          <w:bottom w:val="single" w:sz="6" w:space="4" w:color="008780"/>
        </w:pBdr>
      </w:pPr>
      <w:r>
        <w:rPr>
          <w:b/>
          <w:color w:val="008780"/>
          <w:sz w:val="22"/>
        </w:rPr>
        <w:t>2. WHAT IS DONE WELL</w:t>
      </w:r>
    </w:p>
    <w:p>
      <w:pPr>
        <w:spacing w:before="0" w:after="100"/>
      </w:pPr>
      <w:r>
        <w:rPr>
          <w:i/>
          <w:color w:val="5A6475"/>
          <w:sz w:val="20"/>
        </w:rPr>
        <w:t>Before covering what to change, it is important to recognise the solid foundations already in place.</w:t>
      </w:r>
    </w:p>
    <w:p>
      <w:pPr>
        <w:spacing w:before="280" w:after="60"/>
      </w:pPr>
      <w:r>
        <w:rPr>
          <w:b/>
          <w:color w:val="1A1F2E"/>
          <w:sz w:val="22"/>
        </w:rPr>
        <w:t>Strong TypeScript Type System</w:t>
      </w:r>
    </w:p>
    <w:p>
      <w:pPr>
        <w:spacing w:before="0" w:after="100"/>
      </w:pPr>
      <w:r>
        <w:rPr>
          <w:i w:val="0"/>
          <w:color w:val="1A1F2E"/>
          <w:sz w:val="20"/>
        </w:rPr>
        <w:t>You have 12 well-defined type files covering every domain entity: Supplier, Vendor, VendorBusinessUnit, Material, Location, Batch, GRN, Inventory, Sampling, Spec, Moa, SamplingTool. This is the right practice. The types are clean, no 'any' abuse visible, and they will pay dividends as the project grows.</w:t>
      </w:r>
    </w:p>
    <w:p>
      <w:pPr>
        <w:spacing w:before="280" w:after="60"/>
      </w:pPr>
      <w:r>
        <w:rPr>
          <w:b/>
          <w:color w:val="1A1F2E"/>
          <w:sz w:val="22"/>
        </w:rPr>
        <w:t>Centralised API Client (lib/api.ts)</w:t>
      </w:r>
    </w:p>
    <w:p>
      <w:pPr>
        <w:spacing w:before="0" w:after="100"/>
      </w:pPr>
      <w:r>
        <w:rPr>
          <w:i w:val="0"/>
          <w:color w:val="1A1F2E"/>
          <w:sz w:val="20"/>
        </w:rPr>
        <w:t>All HTTP calls live in one place with four well-designed helpers: requestJson, requestMutation, requestVoid, requestMultipart. Error extraction is consistent. Environment-based base URL (VITE_API_BASE_URL) is the correct pattern. This layer is one of the best-engineered parts of the project.</w:t>
      </w:r>
    </w:p>
    <w:p>
      <w:pPr>
        <w:spacing w:before="280" w:after="60"/>
      </w:pPr>
      <w:r>
        <w:rPr>
          <w:b/>
          <w:color w:val="1A1F2E"/>
          <w:sz w:val="22"/>
        </w:rPr>
        <w:t>Coherent Design System</w:t>
      </w:r>
    </w:p>
    <w:p>
      <w:pPr>
        <w:spacing w:before="0" w:after="100"/>
      </w:pPr>
      <w:r>
        <w:rPr>
          <w:i w:val="0"/>
          <w:color w:val="1A1F2E"/>
          <w:sz w:val="20"/>
        </w:rPr>
        <w:t>The custom Tailwind config defines a branded palette (ink, teal, steel, amber, moss) with consistent shadow tokens (panel, float). The AppShell provides a well-structured navigation with grouped sections. The overall visual style is clean and pharmaceutical-appropriate.</w:t>
      </w:r>
    </w:p>
    <w:p>
      <w:pPr>
        <w:spacing w:before="280" w:after="60"/>
      </w:pPr>
      <w:r>
        <w:rPr>
          <w:b/>
          <w:color w:val="1A1F2E"/>
          <w:sz w:val="22"/>
        </w:rPr>
        <w:t>GMP-Aware Data Model</w:t>
      </w:r>
    </w:p>
    <w:p>
      <w:pPr>
        <w:spacing w:before="0" w:after="100"/>
      </w:pPr>
      <w:r>
        <w:rPr>
          <w:i w:val="0"/>
          <w:color w:val="1A1F2E"/>
          <w:sz w:val="20"/>
        </w:rPr>
        <w:t>The data model reflects real GMP thinking: container-level tracking, sampling methods (SQRT_N+1, 100%, CoA-based release), batch status lifecycle (QUARANTINE → SAMPLING → UNDER_TEST → RELEASED/REJECTED), storage condition-aware room hierarchy — these show strong domain understanding.</w:t>
      </w:r>
    </w:p>
    <w:p>
      <w:pPr>
        <w:spacing w:before="280" w:after="60"/>
      </w:pPr>
      <w:r>
        <w:rPr>
          <w:b/>
          <w:color w:val="1A1F2E"/>
          <w:sz w:val="22"/>
        </w:rPr>
        <w:t>Sampling Logic</w:t>
      </w:r>
    </w:p>
    <w:p>
      <w:pPr>
        <w:spacing w:before="0" w:after="100"/>
      </w:pPr>
      <w:r>
        <w:rPr>
          <w:i w:val="0"/>
          <w:color w:val="1A1F2E"/>
          <w:sz w:val="20"/>
        </w:rPr>
        <w:t>Auto-computing sampling method based on material criticality (CRITICAL → HUNDRED_PERCENT, NON_CRITICAL → SQRT_N+1, CoA-based release for approved vendors) is domain-accurate and a good feature.</w:t>
      </w:r>
    </w:p>
    <w:p>
      <w:pPr>
        <w:spacing w:before="440" w:after="120"/>
        <w:pBdr>
          <w:bottom w:val="single" w:sz="6" w:space="4" w:color="008780"/>
        </w:pBdr>
      </w:pPr>
      <w:r>
        <w:rPr>
          <w:b/>
          <w:color w:val="008780"/>
          <w:sz w:val="22"/>
        </w:rPr>
        <w:t>3. IMMEDIATE IMPROVEMENTS — CODE ARCHITECTURE</w:t>
      </w:r>
    </w:p>
    <w:p>
      <w:pPr>
        <w:spacing w:before="280" w:after="60"/>
      </w:pPr>
      <w:r>
        <w:rPr>
          <w:b/>
          <w:color w:val="1A1F2E"/>
          <w:sz w:val="22"/>
        </w:rPr>
        <w:t>3.1  Break Up the Monolith Files</w:t>
      </w:r>
    </w:p>
    <w:p>
      <w:pPr>
        <w:spacing w:before="0" w:after="100"/>
      </w:pPr>
      <w:r>
        <w:rPr>
          <w:i w:val="0"/>
          <w:color w:val="1A1F2E"/>
          <w:sz w:val="20"/>
        </w:rPr>
        <w:t>MasterDataPage.tsx at 2,815 lines is the most urgent refactor. It is doing the work of at least 6 separate pages. GrnPage.tsx at 1,279 lines is also too large. Large files make collaboration impossible, testing painful, and bundle splitting ineffective.</w:t>
      </w:r>
    </w:p>
    <w:p>
      <w:pPr>
        <w:spacing w:before="200" w:after="40"/>
      </w:pPr>
      <w:r>
        <w:rPr>
          <w:b/>
          <w:color w:val="5A6475"/>
          <w:sz w:val="20"/>
        </w:rPr>
        <w:t>Recommended folder structure for Master Data:</w:t>
      </w:r>
    </w:p>
    <w:p>
      <w:pPr>
        <w:pStyle w:val="ListBullet"/>
        <w:spacing w:before="0" w:after="60"/>
        <w:ind w:left="360"/>
      </w:pPr>
      <w:r>
        <w:rPr>
          <w:color w:val="1A1F2E"/>
          <w:sz w:val="20"/>
        </w:rPr>
        <w:t>features/master-data/partners/SuppliersPage.tsx</w:t>
      </w:r>
    </w:p>
    <w:p>
      <w:pPr>
        <w:pStyle w:val="ListBullet"/>
        <w:spacing w:before="0" w:after="60"/>
        <w:ind w:left="360"/>
      </w:pPr>
      <w:r>
        <w:rPr>
          <w:color w:val="1A1F2E"/>
          <w:sz w:val="20"/>
        </w:rPr>
        <w:t>features/master-data/partners/VendorsPage.tsx</w:t>
      </w:r>
    </w:p>
    <w:p>
      <w:pPr>
        <w:pStyle w:val="ListBullet"/>
        <w:spacing w:before="0" w:after="60"/>
        <w:ind w:left="360"/>
      </w:pPr>
      <w:r>
        <w:rPr>
          <w:color w:val="1A1F2E"/>
          <w:sz w:val="20"/>
        </w:rPr>
        <w:t>features/master-data/partners/VendorBUsPage.tsx</w:t>
      </w:r>
    </w:p>
    <w:p>
      <w:pPr>
        <w:pStyle w:val="ListBullet"/>
        <w:spacing w:before="0" w:after="60"/>
        <w:ind w:left="360"/>
      </w:pPr>
      <w:r>
        <w:rPr>
          <w:color w:val="1A1F2E"/>
          <w:sz w:val="20"/>
        </w:rPr>
        <w:t>features/master-data/materials/MaterialsPage.tsx</w:t>
      </w:r>
    </w:p>
    <w:p>
      <w:pPr>
        <w:pStyle w:val="ListBullet"/>
        <w:spacing w:before="0" w:after="60"/>
        <w:ind w:left="360"/>
      </w:pPr>
      <w:r>
        <w:rPr>
          <w:color w:val="1A1F2E"/>
          <w:sz w:val="20"/>
        </w:rPr>
        <w:t>features/master-data/locations/WarehousePage.tsx</w:t>
      </w:r>
    </w:p>
    <w:p>
      <w:pPr>
        <w:pStyle w:val="ListBullet"/>
        <w:spacing w:before="0" w:after="60"/>
        <w:ind w:left="360"/>
      </w:pPr>
      <w:r>
        <w:rPr>
          <w:color w:val="1A1F2E"/>
          <w:sz w:val="20"/>
        </w:rPr>
        <w:t>features/master-data/qc-refs/SpecsPage.tsx</w:t>
      </w:r>
    </w:p>
    <w:p>
      <w:pPr>
        <w:pStyle w:val="ListBullet"/>
        <w:spacing w:before="0" w:after="60"/>
        <w:ind w:left="360"/>
      </w:pPr>
      <w:r>
        <w:rPr>
          <w:color w:val="1A1F2E"/>
          <w:sz w:val="20"/>
        </w:rPr>
        <w:t>features/master-data/qc-refs/MoaPage.tsx</w:t>
      </w:r>
    </w:p>
    <w:p>
      <w:pPr>
        <w:pStyle w:val="ListBullet"/>
        <w:spacing w:before="0" w:after="60"/>
        <w:ind w:left="360"/>
      </w:pPr>
      <w:r>
        <w:rPr>
          <w:color w:val="1A1F2E"/>
          <w:sz w:val="20"/>
        </w:rPr>
        <w:t>features/master-data/qc-refs/SamplingToolsPage.tsx</w:t>
      </w:r>
    </w:p>
    <w:p>
      <w:pPr>
        <w:spacing w:before="280" w:after="60"/>
      </w:pPr>
      <w:r>
        <w:rPr>
          <w:b/>
          <w:color w:val="1A1F2E"/>
          <w:sz w:val="22"/>
        </w:rPr>
        <w:t>3.2  Adopt TanStack Query (React Query)</w:t>
      </w:r>
    </w:p>
    <w:p>
      <w:pPr>
        <w:spacing w:before="0" w:after="100"/>
      </w:pPr>
      <w:r>
        <w:rPr>
          <w:i w:val="0"/>
          <w:color w:val="1A1F2E"/>
          <w:sz w:val="20"/>
        </w:rPr>
        <w:t>Every page currently has the same useEffect + useState + loading/error boilerplate repeated 5–10 times. TanStack Query gives you automatic caching, background refetch, loading/error states, stale-while-revalidate, and invalidation — for free. It eliminates roughly 60% of your data-fetching code and makes the app feel significantly faster.</w:t>
      </w:r>
    </w:p>
    <w:p>
      <w:pPr>
        <w:spacing w:before="0" w:after="100"/>
      </w:pPr>
      <w:r>
        <w:rPr>
          <w:i/>
          <w:color w:val="5A6475"/>
          <w:sz w:val="20"/>
        </w:rPr>
        <w:t>Before (current pattern):</w:t>
      </w:r>
    </w:p>
    <w:p>
      <w:pPr>
        <w:spacing w:before="0" w:after="100"/>
      </w:pPr>
      <w:r>
        <w:rPr>
          <w:i w:val="0"/>
          <w:color w:val="1A1F2E"/>
          <w:sz w:val="18"/>
        </w:rPr>
        <w:t>const [suppliers, setSuppliers] = useState([]);</w:t>
        <w:br/>
        <w:t>const [loading, setLoading] = useState(false);</w:t>
        <w:br/>
        <w:t>useEffect(() =&gt; { setLoading(true); fetchSuppliers().then(setSuppliers).finally(() =&gt; setLoading(false)); }, []);</w:t>
      </w:r>
    </w:p>
    <w:p>
      <w:pPr>
        <w:spacing w:before="0" w:after="100"/>
      </w:pPr>
      <w:r>
        <w:rPr>
          <w:i/>
          <w:color w:val="5A6475"/>
          <w:sz w:val="20"/>
        </w:rPr>
        <w:t>After (with React Query):</w:t>
      </w:r>
    </w:p>
    <w:p>
      <w:pPr>
        <w:spacing w:before="0" w:after="100"/>
      </w:pPr>
      <w:r>
        <w:rPr>
          <w:i w:val="0"/>
          <w:color w:val="1A1F2E"/>
          <w:sz w:val="18"/>
        </w:rPr>
        <w:t>const { data: suppliers = [], isLoading } = useQuery({ queryKey: ['suppliers'], queryFn: fetchSuppliers });</w:t>
      </w:r>
    </w:p>
    <w:p>
      <w:pPr>
        <w:spacing w:before="280" w:after="60"/>
      </w:pPr>
      <w:r>
        <w:rPr>
          <w:b/>
          <w:color w:val="1A1F2E"/>
          <w:sz w:val="22"/>
        </w:rPr>
        <w:t>3.3  Add a State Management Layer for Cross-Page State</w:t>
      </w:r>
    </w:p>
    <w:p>
      <w:pPr>
        <w:spacing w:before="0" w:after="100"/>
      </w:pPr>
      <w:r>
        <w:rPr>
          <w:i w:val="0"/>
          <w:color w:val="1A1F2E"/>
          <w:sz w:val="20"/>
        </w:rPr>
        <w:t>Currently there is no shared state. When you navigate between GRN and Inventory, you lose your selection context. Add Zustand (lightweight, no boilerplate) for cross-page state like: current user/role, active warehouse, notification queue, and selected batch context.</w:t>
      </w:r>
    </w:p>
    <w:p>
      <w:pPr>
        <w:spacing w:before="280" w:after="60"/>
      </w:pPr>
      <w:r>
        <w:rPr>
          <w:b/>
          <w:color w:val="1A1F2E"/>
          <w:sz w:val="22"/>
        </w:rPr>
        <w:t>3.4  Form Validation with React Hook Form + Zod</w:t>
      </w:r>
    </w:p>
    <w:p>
      <w:pPr>
        <w:spacing w:before="0" w:after="100"/>
      </w:pPr>
      <w:r>
        <w:rPr>
          <w:i w:val="0"/>
          <w:color w:val="1A1F2E"/>
          <w:sz w:val="20"/>
        </w:rPr>
        <w:t>Forms currently use plain controlled state with manual validation. React Hook Form with Zod schemas will give you: per-field validation with instant feedback, schema reuse between frontend and backend type checking, and significantly less form state code. This is especially important for GRN creation and sampling plan entry where data quality is critical.</w:t>
      </w:r>
    </w:p>
    <w:p>
      <w:pPr>
        <w:spacing w:before="280" w:after="60"/>
      </w:pPr>
      <w:r>
        <w:rPr>
          <w:b/>
          <w:color w:val="1A1F2E"/>
          <w:sz w:val="22"/>
        </w:rPr>
        <w:t>3.5  Add an Error Boundary and Toast System</w:t>
      </w:r>
    </w:p>
    <w:p>
      <w:pPr>
        <w:spacing w:before="0" w:after="100"/>
      </w:pPr>
      <w:r>
        <w:rPr>
          <w:i w:val="0"/>
          <w:color w:val="1A1F2E"/>
          <w:sz w:val="20"/>
        </w:rPr>
        <w:t>There is no global error boundary — a runtime error in any component will crash the entire app. Add React Error Boundary at the route level. Add a toast/notification system (e.g. Sonner or React-Toastify) for success and error messages rather than inline state variables.</w:t>
      </w:r>
    </w:p>
    <w:p>
      <w:pPr>
        <w:spacing w:before="280" w:after="60"/>
      </w:pPr>
      <w:r>
        <w:rPr>
          <w:b/>
          <w:color w:val="1A1F2E"/>
          <w:sz w:val="22"/>
        </w:rPr>
        <w:t>3.6  Split the Router and Add Lazy Loading</w:t>
      </w:r>
    </w:p>
    <w:p>
      <w:pPr>
        <w:spacing w:before="0" w:after="100"/>
      </w:pPr>
      <w:r>
        <w:rPr>
          <w:i w:val="0"/>
          <w:color w:val="1A1F2E"/>
          <w:sz w:val="20"/>
        </w:rPr>
        <w:t>All pages are eagerly loaded in router.tsx. With the full module set (GRN, QMS, HRMS, LIMS etc.) the bundle will be large. Use React.lazy() and Suspense on each route so only the current page's code loads. This is one line of change per route and significantly improves initial load time.</w:t>
      </w:r>
    </w:p>
    <w:p>
      <w:pPr>
        <w:spacing w:before="280" w:after="60"/>
      </w:pPr>
      <w:r>
        <w:rPr>
          <w:b/>
          <w:color w:val="1A1F2E"/>
          <w:sz w:val="22"/>
        </w:rPr>
        <w:t>3.7  Add a Proper Data Table Component</w:t>
      </w:r>
    </w:p>
    <w:p>
      <w:pPr>
        <w:spacing w:before="0" w:after="100"/>
      </w:pPr>
      <w:r>
        <w:rPr>
          <w:i w:val="0"/>
          <w:color w:val="1A1F2E"/>
          <w:sz w:val="20"/>
        </w:rPr>
        <w:t>GRN list, Inventory table, Sampling queue — all use hand-rolled &lt;table&gt; HTML. As data grows you will need sorting, column filtering, pagination, and row selection. Add TanStack Table (headless) which pairs perfectly with TanStack Query and lets you build a reusable DataTable component used across all modules.</w:t>
      </w:r>
    </w:p>
    <w:p>
      <w:pPr>
        <w:spacing w:before="440" w:after="120"/>
        <w:pBdr>
          <w:bottom w:val="single" w:sz="6" w:space="4" w:color="008780"/>
        </w:pBdr>
      </w:pPr>
      <w:r>
        <w:rPr>
          <w:b/>
          <w:color w:val="008780"/>
          <w:sz w:val="22"/>
        </w:rPr>
        <w:t>4. DESIGN SYSTEM IMPROVEMENTS</w:t>
      </w:r>
    </w:p>
    <w:p>
      <w:pPr>
        <w:spacing w:before="280" w:after="60"/>
      </w:pPr>
      <w:r>
        <w:rPr>
          <w:b/>
          <w:color w:val="1A1F2E"/>
          <w:sz w:val="22"/>
        </w:rPr>
        <w:t>4.1  Component Library — Move to Radix UI Primitives</w:t>
      </w:r>
    </w:p>
    <w:p>
      <w:pPr>
        <w:spacing w:before="0" w:after="100"/>
      </w:pPr>
      <w:r>
        <w:rPr>
          <w:i w:val="0"/>
          <w:color w:val="1A1F2E"/>
          <w:sz w:val="20"/>
        </w:rPr>
        <w:t>Your Tailwind tokens are good but you are rebuilding accessibility from scratch every time (modal focus traps, dropdown keyboard navigation, etc.). Use Radix UI primitives (or shadcn/ui which wraps them) for Dialog, Select, Dropdown, Popover, Tabs, and Tooltip. These handle ARIA, keyboard, and focus management correctly — critical for a GMP system where auditors may check accessibility.</w:t>
      </w:r>
    </w:p>
    <w:p>
      <w:pPr>
        <w:spacing w:before="280" w:after="60"/>
      </w:pPr>
      <w:r>
        <w:rPr>
          <w:b/>
          <w:color w:val="1A1F2E"/>
          <w:sz w:val="22"/>
        </w:rPr>
        <w:t>4.2  Status Badge System</w:t>
      </w:r>
    </w:p>
    <w:p>
      <w:pPr>
        <w:spacing w:before="0" w:after="100"/>
      </w:pPr>
      <w:r>
        <w:rPr>
          <w:i w:val="0"/>
          <w:color w:val="1A1F2E"/>
          <w:sz w:val="20"/>
        </w:rPr>
        <w:t>Status colours are coded inline throughout every component. Extract a single StatusBadge component that takes a status string and maps it to the correct colour, label, and icon. This one component will be used in GRN, Inventory, Sampling, QMS, and LIMS.</w:t>
      </w:r>
    </w:p>
    <w:p>
      <w:pPr>
        <w:spacing w:before="280" w:after="60"/>
      </w:pPr>
      <w:r>
        <w:rPr>
          <w:b/>
          <w:color w:val="1A1F2E"/>
          <w:sz w:val="22"/>
        </w:rPr>
        <w:t>4.3  Breadcrumb Navigation</w:t>
      </w:r>
    </w:p>
    <w:p>
      <w:pPr>
        <w:spacing w:before="0" w:after="100"/>
      </w:pPr>
      <w:r>
        <w:rPr>
          <w:i w:val="0"/>
          <w:color w:val="1A1F2E"/>
          <w:sz w:val="20"/>
        </w:rPr>
        <w:t>In a multi-module system (GRN &gt; Create &gt; Container Detail) users get lost without breadcrumbs. Add a breadcrumb component driven by the router that shows the current path and allows back-navigation. This is especially needed once QMS and LIMS are added.</w:t>
      </w:r>
    </w:p>
    <w:p>
      <w:pPr>
        <w:spacing w:before="280" w:after="60"/>
      </w:pPr>
      <w:r>
        <w:rPr>
          <w:b/>
          <w:color w:val="1A1F2E"/>
          <w:sz w:val="22"/>
        </w:rPr>
        <w:t>4.4  Loading Skeletons, Not Spinners</w:t>
      </w:r>
    </w:p>
    <w:p>
      <w:pPr>
        <w:spacing w:before="0" w:after="100"/>
      </w:pPr>
      <w:r>
        <w:rPr>
          <w:i w:val="0"/>
          <w:color w:val="1A1F2E"/>
          <w:sz w:val="20"/>
        </w:rPr>
        <w:t>Replace loading state spinners with skeleton loaders that match the shape of the content being loaded. This removes the jarring layout shift and feels more professional. Tailwind's animate-pulse utility makes this straightforward.</w:t>
      </w:r>
    </w:p>
    <w:p>
      <w:pPr>
        <w:spacing w:before="280" w:after="60"/>
      </w:pPr>
      <w:r>
        <w:rPr>
          <w:b/>
          <w:color w:val="1A1F2E"/>
          <w:sz w:val="22"/>
        </w:rPr>
        <w:t>4.5  Responsive Design Audit</w:t>
      </w:r>
    </w:p>
    <w:p>
      <w:pPr>
        <w:spacing w:before="0" w:after="100"/>
      </w:pPr>
      <w:r>
        <w:rPr>
          <w:i w:val="0"/>
          <w:color w:val="1A1F2E"/>
          <w:sz w:val="20"/>
        </w:rPr>
        <w:t>The AppShell has mobile breakpoints but several page tables (GRN list, Inventory) overflow on small screens. Given that warehouse staff may use tablets, ensure all table views have a card-based mobile fallback. The Tailwind config already has the right breakpoints — it just needs to be applied consistently.</w:t>
      </w:r>
    </w:p>
    <w:p>
      <w:pPr>
        <w:spacing w:before="280" w:after="60"/>
      </w:pPr>
      <w:r>
        <w:rPr>
          <w:b/>
          <w:color w:val="1A1F2E"/>
          <w:sz w:val="22"/>
        </w:rPr>
        <w:t>4.6  Print / PDF Stylesheet</w:t>
      </w:r>
    </w:p>
    <w:p>
      <w:pPr>
        <w:spacing w:before="0" w:after="100"/>
      </w:pPr>
      <w:r>
        <w:rPr>
          <w:i w:val="0"/>
          <w:color w:val="1A1F2E"/>
          <w:sz w:val="20"/>
        </w:rPr>
        <w:t>GRN label printing, CoA printing, and sampling worksheets need a print stylesheet. Add @media print CSS rules or a dedicated print layout so users can print from the browser without UI chrome interfering. This is a common gap in pharma web apps.</w:t>
      </w:r>
    </w:p>
    <w:p>
      <w:pPr>
        <w:spacing w:before="440" w:after="120"/>
        <w:pBdr>
          <w:bottom w:val="single" w:sz="6" w:space="4" w:color="008780"/>
        </w:pBdr>
      </w:pPr>
      <w:r>
        <w:rPr>
          <w:b/>
          <w:color w:val="008780"/>
          <w:sz w:val="22"/>
        </w:rPr>
        <w:t>5. MISSING MODULES — DETAILED DESIGN GUIDE</w:t>
      </w:r>
    </w:p>
    <w:p>
      <w:pPr>
        <w:spacing w:before="280" w:after="60"/>
      </w:pPr>
      <w:r>
        <w:rPr>
          <w:b/>
          <w:color w:val="1A1F2E"/>
          <w:sz w:val="22"/>
        </w:rPr>
        <w:t>5.1  Vendor Qualification Management</w:t>
      </w:r>
    </w:p>
    <w:p>
      <w:pPr>
        <w:spacing w:before="0" w:after="100"/>
      </w:pPr>
      <w:r>
        <w:rPr>
          <w:i w:val="0"/>
          <w:color w:val="1A1F2E"/>
          <w:sz w:val="20"/>
        </w:rPr>
        <w:t>This is the most immediately connected missing module — it directly gates which vendors can supply materials and whether CoA-based release is permitted. In GMP, vendor qualification is mandatory and audit-driven.</w:t>
      </w:r>
    </w:p>
    <w:p>
      <w:pPr>
        <w:spacing w:before="200" w:after="40"/>
      </w:pPr>
      <w:r>
        <w:rPr>
          <w:b/>
          <w:color w:val="5A6475"/>
          <w:sz w:val="20"/>
        </w:rPr>
        <w:t>Key Entities to Build:</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E8F5F5"/>
            <w:vAlign w:val="center"/>
          </w:tcPr>
          <w:p>
            <w:r>
              <w:rPr>
                <w:b/>
                <w:color w:val="008780"/>
                <w:sz w:val="18"/>
              </w:rPr>
              <w:t>Entity</w:t>
            </w:r>
          </w:p>
        </w:tc>
        <w:tc>
          <w:tcPr>
            <w:tcW w:type="dxa" w:w="4608"/>
            <w:shd w:val="clear" w:color="auto" w:fill="E8F5F5"/>
            <w:vAlign w:val="center"/>
          </w:tcPr>
          <w:p>
            <w:r>
              <w:rPr>
                <w:b/>
                <w:color w:val="008780"/>
                <w:sz w:val="18"/>
              </w:rPr>
              <w:t>Key Fields</w:t>
            </w:r>
          </w:p>
        </w:tc>
        <w:tc>
          <w:tcPr>
            <w:tcW w:type="dxa" w:w="3744"/>
            <w:shd w:val="clear" w:color="auto" w:fill="E8F5F5"/>
            <w:vAlign w:val="center"/>
          </w:tcPr>
          <w:p>
            <w:r>
              <w:rPr>
                <w:b/>
                <w:color w:val="008780"/>
                <w:sz w:val="18"/>
              </w:rPr>
              <w:t>Purpose</w:t>
            </w:r>
          </w:p>
        </w:tc>
      </w:tr>
      <w:tr>
        <w:tc>
          <w:tcPr>
            <w:tcW w:type="dxa" w:w="2304"/>
          </w:tcPr>
          <w:p>
            <w:r>
              <w:rPr>
                <w:color w:val="1A1F2E"/>
                <w:sz w:val="18"/>
              </w:rPr>
              <w:t>VendorQualification</w:t>
            </w:r>
          </w:p>
        </w:tc>
        <w:tc>
          <w:tcPr>
            <w:tcW w:type="dxa" w:w="4608"/>
          </w:tcPr>
          <w:p>
            <w:r>
              <w:rPr>
                <w:color w:val="1A1F2E"/>
                <w:sz w:val="18"/>
              </w:rPr>
              <w:t>vendorId, materialId, status (APPROVED/PROVISIONAL/SUSPENDED/REVOKED), approvedDate, expiryDate, qualificationRef</w:t>
            </w:r>
          </w:p>
        </w:tc>
        <w:tc>
          <w:tcPr>
            <w:tcW w:type="dxa" w:w="3744"/>
          </w:tcPr>
          <w:p>
            <w:r>
              <w:rPr>
                <w:color w:val="1A1F2E"/>
                <w:sz w:val="18"/>
              </w:rPr>
              <w:t>Core approval record linking a vendor to a material</w:t>
            </w:r>
          </w:p>
        </w:tc>
      </w:tr>
      <w:tr>
        <w:tc>
          <w:tcPr>
            <w:tcW w:type="dxa" w:w="2304"/>
          </w:tcPr>
          <w:p>
            <w:r>
              <w:rPr>
                <w:color w:val="1A1F2E"/>
                <w:sz w:val="18"/>
              </w:rPr>
              <w:t>VendorAudit</w:t>
            </w:r>
          </w:p>
        </w:tc>
        <w:tc>
          <w:tcPr>
            <w:tcW w:type="dxa" w:w="4608"/>
          </w:tcPr>
          <w:p>
            <w:r>
              <w:rPr>
                <w:color w:val="1A1F2E"/>
                <w:sz w:val="18"/>
              </w:rPr>
              <w:t>vendorId, auditDate, auditorId, auditType (INITIAL/PERIODIC/FOR_CAUSE), score, outcome, findingsCount</w:t>
            </w:r>
          </w:p>
        </w:tc>
        <w:tc>
          <w:tcPr>
            <w:tcW w:type="dxa" w:w="3744"/>
          </w:tcPr>
          <w:p>
            <w:r>
              <w:rPr>
                <w:color w:val="1A1F2E"/>
                <w:sz w:val="18"/>
              </w:rPr>
              <w:t>Audit history and scoring</w:t>
            </w:r>
          </w:p>
        </w:tc>
      </w:tr>
      <w:tr>
        <w:tc>
          <w:tcPr>
            <w:tcW w:type="dxa" w:w="2304"/>
          </w:tcPr>
          <w:p>
            <w:r>
              <w:rPr>
                <w:color w:val="1A1F2E"/>
                <w:sz w:val="18"/>
              </w:rPr>
              <w:t>AuditFinding</w:t>
            </w:r>
          </w:p>
        </w:tc>
        <w:tc>
          <w:tcPr>
            <w:tcW w:type="dxa" w:w="4608"/>
          </w:tcPr>
          <w:p>
            <w:r>
              <w:rPr>
                <w:color w:val="1A1F2E"/>
                <w:sz w:val="18"/>
              </w:rPr>
              <w:t>auditId, findingType (CRITICAL/MAJOR/MINOR/OBSERVATION), description, capa, closedDate</w:t>
            </w:r>
          </w:p>
        </w:tc>
        <w:tc>
          <w:tcPr>
            <w:tcW w:type="dxa" w:w="3744"/>
          </w:tcPr>
          <w:p>
            <w:r>
              <w:rPr>
                <w:color w:val="1A1F2E"/>
                <w:sz w:val="18"/>
              </w:rPr>
              <w:t>Individual audit findings with CAPA linkage</w:t>
            </w:r>
          </w:p>
        </w:tc>
      </w:tr>
      <w:tr>
        <w:tc>
          <w:tcPr>
            <w:tcW w:type="dxa" w:w="2304"/>
          </w:tcPr>
          <w:p>
            <w:r>
              <w:rPr>
                <w:color w:val="1A1F2E"/>
                <w:sz w:val="18"/>
              </w:rPr>
              <w:t>QualificationDocument</w:t>
            </w:r>
          </w:p>
        </w:tc>
        <w:tc>
          <w:tcPr>
            <w:tcW w:type="dxa" w:w="4608"/>
          </w:tcPr>
          <w:p>
            <w:r>
              <w:rPr>
                <w:color w:val="1A1F2E"/>
                <w:sz w:val="18"/>
              </w:rPr>
              <w:t>qualificationId, docType (GMP_CERT/FDA_APPROVAL/COA_TEMPLATE/AUDIT_REPORT), fileId, expiryDate</w:t>
            </w:r>
          </w:p>
        </w:tc>
        <w:tc>
          <w:tcPr>
            <w:tcW w:type="dxa" w:w="3744"/>
          </w:tcPr>
          <w:p>
            <w:r>
              <w:rPr>
                <w:color w:val="1A1F2E"/>
                <w:sz w:val="18"/>
              </w:rPr>
              <w:t>Supporting document store</w:t>
            </w:r>
          </w:p>
        </w:tc>
      </w:tr>
      <w:tr>
        <w:tc>
          <w:tcPr>
            <w:tcW w:type="dxa" w:w="2304"/>
          </w:tcPr>
          <w:p>
            <w:r>
              <w:rPr>
                <w:color w:val="1A1F2E"/>
                <w:sz w:val="18"/>
              </w:rPr>
              <w:t>RequalificationSchedule</w:t>
            </w:r>
          </w:p>
        </w:tc>
        <w:tc>
          <w:tcPr>
            <w:tcW w:type="dxa" w:w="4608"/>
          </w:tcPr>
          <w:p>
            <w:r>
              <w:rPr>
                <w:color w:val="1A1F2E"/>
                <w:sz w:val="18"/>
              </w:rPr>
              <w:t>vendorId, materialId, frequencyMonths, lastDoneDate, nextDueDate, reminderDays</w:t>
            </w:r>
          </w:p>
        </w:tc>
        <w:tc>
          <w:tcPr>
            <w:tcW w:type="dxa" w:w="3744"/>
          </w:tcPr>
          <w:p>
            <w:r>
              <w:rPr>
                <w:color w:val="1A1F2E"/>
                <w:sz w:val="18"/>
              </w:rPr>
              <w:t>Periodic re-qualification tracking</w:t>
            </w:r>
          </w:p>
        </w:tc>
      </w:tr>
    </w:tbl>
    <w:p/>
    <w:p>
      <w:pPr>
        <w:spacing w:before="200" w:after="40"/>
      </w:pPr>
      <w:r>
        <w:rPr>
          <w:b/>
          <w:color w:val="5A6475"/>
          <w:sz w:val="20"/>
        </w:rPr>
        <w:t>Key Workflows:</w:t>
      </w:r>
    </w:p>
    <w:p>
      <w:pPr>
        <w:pStyle w:val="ListBullet"/>
        <w:spacing w:before="0" w:after="60"/>
        <w:ind w:left="360"/>
      </w:pPr>
      <w:r>
        <w:rPr>
          <w:color w:val="1A1F2E"/>
          <w:sz w:val="20"/>
        </w:rPr>
        <w:t>New Vendor Onboarding: Vendor created → Qualification application → Document collection → Initial audit → Approval decision → GRN system unlocked for that vendor+material combination</w:t>
      </w:r>
    </w:p>
    <w:p>
      <w:pPr>
        <w:pStyle w:val="ListBullet"/>
        <w:spacing w:before="0" w:after="60"/>
        <w:ind w:left="360"/>
      </w:pPr>
      <w:r>
        <w:rPr>
          <w:color w:val="1A1F2E"/>
          <w:sz w:val="20"/>
        </w:rPr>
        <w:t>Periodic Re-qualification: Scheduler triggers reminder → Audit scheduled → Re-qualification completed → Approval renewed or suspended</w:t>
      </w:r>
    </w:p>
    <w:p>
      <w:pPr>
        <w:pStyle w:val="ListBullet"/>
        <w:spacing w:before="0" w:after="60"/>
        <w:ind w:left="360"/>
      </w:pPr>
      <w:r>
        <w:rPr>
          <w:color w:val="1A1F2E"/>
          <w:sz w:val="20"/>
        </w:rPr>
        <w:t>For-Cause Audit: Triggered by deviation, complaint, or OOS result → Urgent audit workflow → Potential suspension while audit in progress</w:t>
      </w:r>
    </w:p>
    <w:p>
      <w:pPr>
        <w:pStyle w:val="ListBullet"/>
        <w:spacing w:before="0" w:after="60"/>
        <w:ind w:left="360"/>
      </w:pPr>
      <w:r>
        <w:rPr>
          <w:color w:val="1A1F2E"/>
          <w:sz w:val="20"/>
        </w:rPr>
        <w:t>CoA-Based Release Eligibility: Automatically derived from qualification status — only approved vendors with valid CoA template on file can use CoA-based release in the sampling module</w:t>
      </w:r>
    </w:p>
    <w:p>
      <w:pPr>
        <w:pStyle w:val="ListBullet"/>
        <w:spacing w:before="0" w:after="60"/>
        <w:ind w:left="360"/>
      </w:pPr>
      <w:r>
        <w:rPr>
          <w:color w:val="1A1F2E"/>
          <w:sz w:val="20"/>
        </w:rPr>
        <w:t>Dashboard Widget: Show vendors approaching expiry (30/60/90 days), suspended vendors, and overdue re-qualifications</w:t>
      </w:r>
    </w:p>
    <w:p>
      <w:pPr>
        <w:spacing w:before="280" w:after="60"/>
      </w:pPr>
      <w:r>
        <w:rPr>
          <w:b/>
          <w:color w:val="1A1F2E"/>
          <w:sz w:val="22"/>
        </w:rPr>
        <w:t>5.2  QMS — Quality Management System</w:t>
      </w:r>
    </w:p>
    <w:p>
      <w:pPr>
        <w:spacing w:before="0" w:after="100"/>
      </w:pPr>
      <w:r>
        <w:rPr>
          <w:i w:val="0"/>
          <w:color w:val="1A1F2E"/>
          <w:sz w:val="20"/>
        </w:rPr>
        <w:t>QMS is the backbone of GMP compliance. It encompasses deviations, CAPA, change control, SOP management, and product complaints. This is where regulatory audit trails live.</w:t>
      </w:r>
    </w:p>
    <w:p>
      <w:pPr>
        <w:spacing w:before="200" w:after="40"/>
      </w:pPr>
      <w:r>
        <w:rPr>
          <w:b/>
          <w:color w:val="5A6475"/>
          <w:sz w:val="20"/>
        </w:rPr>
        <w:t>Sub-modules to build (in priority order):</w:t>
      </w:r>
    </w:p>
    <w:p>
      <w:pPr>
        <w:spacing w:before="200" w:after="40"/>
      </w:pPr>
      <w:r>
        <w:rPr>
          <w:b/>
          <w:color w:val="5A6475"/>
          <w:sz w:val="20"/>
        </w:rPr>
        <w:t>A. Deviation Management</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E8F5F5"/>
            <w:vAlign w:val="center"/>
          </w:tcPr>
          <w:p>
            <w:r>
              <w:rPr>
                <w:b/>
                <w:color w:val="008780"/>
                <w:sz w:val="18"/>
              </w:rPr>
              <w:t>Field / Feature</w:t>
            </w:r>
          </w:p>
        </w:tc>
        <w:tc>
          <w:tcPr>
            <w:tcW w:type="dxa" w:w="7776"/>
            <w:shd w:val="clear" w:color="auto" w:fill="E8F5F5"/>
            <w:vAlign w:val="center"/>
          </w:tcPr>
          <w:p>
            <w:r>
              <w:rPr>
                <w:b/>
                <w:color w:val="008780"/>
                <w:sz w:val="18"/>
              </w:rPr>
              <w:t>Details</w:t>
            </w:r>
          </w:p>
        </w:tc>
      </w:tr>
      <w:tr>
        <w:tc>
          <w:tcPr>
            <w:tcW w:type="dxa" w:w="2880"/>
          </w:tcPr>
          <w:p>
            <w:r>
              <w:rPr>
                <w:color w:val="1A1F2E"/>
                <w:sz w:val="18"/>
              </w:rPr>
              <w:t>Core fields</w:t>
            </w:r>
          </w:p>
        </w:tc>
        <w:tc>
          <w:tcPr>
            <w:tcW w:type="dxa" w:w="7776"/>
          </w:tcPr>
          <w:p>
            <w:r>
              <w:rPr>
                <w:color w:val="1A1F2E"/>
                <w:sz w:val="18"/>
              </w:rPr>
              <w:t>deviationNo (auto), site, area (WAREHOUSE/LAB/PRODUCTION), type (PROCESS/EQUIPMENT/MATERIAL/ENVIRONMENTAL), severity (CRITICAL/MAJOR/MINOR), description, detectedDate, detectedBy, batchRef, grnRef</w:t>
            </w:r>
          </w:p>
        </w:tc>
      </w:tr>
      <w:tr>
        <w:tc>
          <w:tcPr>
            <w:tcW w:type="dxa" w:w="2880"/>
          </w:tcPr>
          <w:p>
            <w:r>
              <w:rPr>
                <w:color w:val="1A1F2E"/>
                <w:sz w:val="18"/>
              </w:rPr>
              <w:t>Root Cause</w:t>
            </w:r>
          </w:p>
        </w:tc>
        <w:tc>
          <w:tcPr>
            <w:tcW w:type="dxa" w:w="7776"/>
          </w:tcPr>
          <w:p>
            <w:r>
              <w:rPr>
                <w:color w:val="1A1F2E"/>
                <w:sz w:val="18"/>
              </w:rPr>
              <w:t>rootCauseCategory, rootCauseDescription, contributingFactors</w:t>
            </w:r>
          </w:p>
        </w:tc>
      </w:tr>
      <w:tr>
        <w:tc>
          <w:tcPr>
            <w:tcW w:type="dxa" w:w="2880"/>
          </w:tcPr>
          <w:p>
            <w:r>
              <w:rPr>
                <w:color w:val="1A1F2E"/>
                <w:sz w:val="18"/>
              </w:rPr>
              <w:t>Disposition</w:t>
            </w:r>
          </w:p>
        </w:tc>
        <w:tc>
          <w:tcPr>
            <w:tcW w:type="dxa" w:w="7776"/>
          </w:tcPr>
          <w:p>
            <w:r>
              <w:rPr>
                <w:color w:val="1A1F2E"/>
                <w:sz w:val="18"/>
              </w:rPr>
              <w:t>immediateAction, productImpact (YES/NO/UNDER_REVIEW), dispositionDecision (USE/REJECT/REWORK/RETEST), qualityImpact</w:t>
            </w:r>
          </w:p>
        </w:tc>
      </w:tr>
      <w:tr>
        <w:tc>
          <w:tcPr>
            <w:tcW w:type="dxa" w:w="2880"/>
          </w:tcPr>
          <w:p>
            <w:r>
              <w:rPr>
                <w:color w:val="1A1F2E"/>
                <w:sz w:val="18"/>
              </w:rPr>
              <w:t>Lifecycle</w:t>
            </w:r>
          </w:p>
        </w:tc>
        <w:tc>
          <w:tcPr>
            <w:tcW w:type="dxa" w:w="7776"/>
          </w:tcPr>
          <w:p>
            <w:r>
              <w:rPr>
                <w:color w:val="1A1F2E"/>
                <w:sz w:val="18"/>
              </w:rPr>
              <w:t>OPEN → UNDER_INVESTIGATION → PENDING_CAPA → CAPA_IN_PROGRESS → CLOSED / EXTENDED</w:t>
            </w:r>
          </w:p>
        </w:tc>
      </w:tr>
      <w:tr>
        <w:tc>
          <w:tcPr>
            <w:tcW w:type="dxa" w:w="2880"/>
          </w:tcPr>
          <w:p>
            <w:r>
              <w:rPr>
                <w:color w:val="1A1F2E"/>
                <w:sz w:val="18"/>
              </w:rPr>
              <w:t>CAPA Link</w:t>
            </w:r>
          </w:p>
        </w:tc>
        <w:tc>
          <w:tcPr>
            <w:tcW w:type="dxa" w:w="7776"/>
          </w:tcPr>
          <w:p>
            <w:r>
              <w:rPr>
                <w:color w:val="1A1F2E"/>
                <w:sz w:val="18"/>
              </w:rPr>
              <w:t>One deviation can generate one or many CAPAs; cross-reference is mandatory</w:t>
            </w:r>
          </w:p>
        </w:tc>
      </w:tr>
      <w:tr>
        <w:tc>
          <w:tcPr>
            <w:tcW w:type="dxa" w:w="2880"/>
          </w:tcPr>
          <w:p>
            <w:r>
              <w:rPr>
                <w:color w:val="1A1F2E"/>
                <w:sz w:val="18"/>
              </w:rPr>
              <w:t>Approvals</w:t>
            </w:r>
          </w:p>
        </w:tc>
        <w:tc>
          <w:tcPr>
            <w:tcW w:type="dxa" w:w="7776"/>
          </w:tcPr>
          <w:p>
            <w:r>
              <w:rPr>
                <w:color w:val="1A1F2E"/>
                <w:sz w:val="18"/>
              </w:rPr>
              <w:t>Initiator → QA Review → QA Manager Approval → Closure Sign-off; all with date/user stamping</w:t>
            </w:r>
          </w:p>
        </w:tc>
      </w:tr>
    </w:tbl>
    <w:p/>
    <w:p>
      <w:pPr>
        <w:spacing w:before="200" w:after="40"/>
      </w:pPr>
      <w:r>
        <w:rPr>
          <w:b/>
          <w:color w:val="5A6475"/>
          <w:sz w:val="20"/>
        </w:rPr>
        <w:t>B. CAPA (Corrective and Preventive Action)</w:t>
      </w:r>
    </w:p>
    <w:p>
      <w:pPr>
        <w:pStyle w:val="ListBullet"/>
        <w:spacing w:before="0" w:after="60"/>
        <w:ind w:left="360"/>
      </w:pPr>
      <w:r>
        <w:rPr>
          <w:color w:val="1A1F2E"/>
          <w:sz w:val="20"/>
        </w:rPr>
        <w:t>Triggered from: Deviation, Audit Finding, OOS Result, Customer Complaint, or standalone</w:t>
      </w:r>
    </w:p>
    <w:p>
      <w:pPr>
        <w:pStyle w:val="ListBullet"/>
        <w:spacing w:before="0" w:after="60"/>
        <w:ind w:left="360"/>
      </w:pPr>
      <w:r>
        <w:rPr>
          <w:color w:val="1A1F2E"/>
          <w:sz w:val="20"/>
        </w:rPr>
        <w:t>Types: Corrective (fix the specific instance), Preventive (prevent recurrence), Effectiveness Check (verify CAPA worked)</w:t>
      </w:r>
    </w:p>
    <w:p>
      <w:pPr>
        <w:pStyle w:val="ListBullet"/>
        <w:spacing w:before="0" w:after="60"/>
        <w:ind w:left="360"/>
      </w:pPr>
      <w:r>
        <w:rPr>
          <w:color w:val="1A1F2E"/>
          <w:sz w:val="20"/>
        </w:rPr>
        <w:t>Assignee + due date + priority level; escalation if overdue</w:t>
      </w:r>
    </w:p>
    <w:p>
      <w:pPr>
        <w:pStyle w:val="ListBullet"/>
        <w:spacing w:before="0" w:after="60"/>
        <w:ind w:left="360"/>
      </w:pPr>
      <w:r>
        <w:rPr>
          <w:color w:val="1A1F2E"/>
          <w:sz w:val="20"/>
        </w:rPr>
        <w:t>Evidence attachment (photos, test results, training records)</w:t>
      </w:r>
    </w:p>
    <w:p>
      <w:pPr>
        <w:pStyle w:val="ListBullet"/>
        <w:spacing w:before="0" w:after="60"/>
        <w:ind w:left="360"/>
      </w:pPr>
      <w:r>
        <w:rPr>
          <w:color w:val="1A1F2E"/>
          <w:sz w:val="20"/>
        </w:rPr>
        <w:t>Effectiveness verification period — CAPA cannot close until effectiveness confirmed</w:t>
      </w:r>
    </w:p>
    <w:p>
      <w:pPr>
        <w:pStyle w:val="ListBullet"/>
        <w:spacing w:before="0" w:after="60"/>
        <w:ind w:left="360"/>
      </w:pPr>
      <w:r>
        <w:rPr>
          <w:color w:val="1A1F2E"/>
          <w:sz w:val="20"/>
        </w:rPr>
        <w:t>Dashboard: Open CAPAs by age, overdue items, effectiveness check queue</w:t>
      </w:r>
    </w:p>
    <w:p>
      <w:pPr>
        <w:spacing w:before="200" w:after="40"/>
      </w:pPr>
      <w:r>
        <w:rPr>
          <w:b/>
          <w:color w:val="5A6475"/>
          <w:sz w:val="20"/>
        </w:rPr>
        <w:t>C. Change Control</w:t>
      </w:r>
    </w:p>
    <w:p>
      <w:pPr>
        <w:spacing w:before="0" w:after="100"/>
      </w:pPr>
      <w:r>
        <w:rPr>
          <w:i w:val="0"/>
          <w:color w:val="1A1F2E"/>
          <w:sz w:val="20"/>
        </w:rPr>
        <w:t>Change Control tracks all planned changes to processes, equipment, materials, and SOPs before implementation. Key fields: changeCategory, changeDescription, justification, impactAssessment, riskLevel, affectedBatches, regulatoryImpact (YES/NO), implementationPlan, validationRequired.</w:t>
      </w:r>
    </w:p>
    <w:p>
      <w:pPr>
        <w:spacing w:before="200" w:after="40"/>
      </w:pPr>
      <w:r>
        <w:rPr>
          <w:b/>
          <w:color w:val="5A6475"/>
          <w:sz w:val="20"/>
        </w:rPr>
        <w:t>D. SOP / Document Management</w:t>
      </w:r>
    </w:p>
    <w:p>
      <w:pPr>
        <w:pStyle w:val="ListBullet"/>
        <w:spacing w:before="0" w:after="60"/>
        <w:ind w:left="360"/>
      </w:pPr>
      <w:r>
        <w:rPr>
          <w:color w:val="1A1F2E"/>
          <w:sz w:val="20"/>
        </w:rPr>
        <w:t>SOP register with: docNo, title, version, effectiveDate, reviewDate, owner, approver</w:t>
      </w:r>
    </w:p>
    <w:p>
      <w:pPr>
        <w:pStyle w:val="ListBullet"/>
        <w:spacing w:before="0" w:after="60"/>
        <w:ind w:left="360"/>
      </w:pPr>
      <w:r>
        <w:rPr>
          <w:color w:val="1A1F2E"/>
          <w:sz w:val="20"/>
        </w:rPr>
        <w:t>Version control: Draft → Review → Approved → Superseded lifecycle</w:t>
      </w:r>
    </w:p>
    <w:p>
      <w:pPr>
        <w:pStyle w:val="ListBullet"/>
        <w:spacing w:before="0" w:after="60"/>
        <w:ind w:left="360"/>
      </w:pPr>
      <w:r>
        <w:rPr>
          <w:color w:val="1A1F2E"/>
          <w:sz w:val="20"/>
        </w:rPr>
        <w:t>Read-receipt acknowledgement: staff must confirm they have read updated SOPs</w:t>
      </w:r>
    </w:p>
    <w:p>
      <w:pPr>
        <w:pStyle w:val="ListBullet"/>
        <w:spacing w:before="0" w:after="60"/>
        <w:ind w:left="360"/>
      </w:pPr>
      <w:r>
        <w:rPr>
          <w:color w:val="1A1F2E"/>
          <w:sz w:val="20"/>
        </w:rPr>
        <w:t>SOP linkage to: process steps in GRN, Sampling, Warehouse operations</w:t>
      </w:r>
    </w:p>
    <w:p>
      <w:pPr>
        <w:pStyle w:val="ListBullet"/>
        <w:spacing w:before="0" w:after="60"/>
        <w:ind w:left="360"/>
      </w:pPr>
      <w:r>
        <w:rPr>
          <w:color w:val="1A1F2E"/>
          <w:sz w:val="20"/>
        </w:rPr>
        <w:t>Periodic review alerts: 2-year review cycle standard for GMP SOPs</w:t>
      </w:r>
    </w:p>
    <w:p>
      <w:pPr>
        <w:spacing w:before="200" w:after="40"/>
      </w:pPr>
      <w:r>
        <w:rPr>
          <w:b/>
          <w:color w:val="5A6475"/>
          <w:sz w:val="20"/>
        </w:rPr>
        <w:t>E. Customer / Product Complaints</w:t>
      </w:r>
    </w:p>
    <w:p>
      <w:pPr>
        <w:spacing w:before="0" w:after="100"/>
      </w:pPr>
      <w:r>
        <w:rPr>
          <w:i w:val="0"/>
          <w:color w:val="1A1F2E"/>
          <w:sz w:val="20"/>
        </w:rPr>
        <w:t>Track complaints received from customers or internal quality signals. Link to batch numbers, investigate root cause, and issue Field Alerts or recalls if required.</w:t>
      </w:r>
    </w:p>
    <w:p>
      <w:pPr>
        <w:spacing w:before="280" w:after="60"/>
      </w:pPr>
      <w:r>
        <w:rPr>
          <w:b/>
          <w:color w:val="1A1F2E"/>
          <w:sz w:val="22"/>
        </w:rPr>
        <w:t>5.3  HRMS — Human Resource Management System</w:t>
      </w:r>
    </w:p>
    <w:p>
      <w:pPr>
        <w:spacing w:before="0" w:after="100"/>
      </w:pPr>
      <w:r>
        <w:rPr>
          <w:i w:val="0"/>
          <w:color w:val="1A1F2E"/>
          <w:sz w:val="20"/>
        </w:rPr>
        <w:t>In GMP, HRMS is not optional — it is required to demonstrate that personnel performing critical tasks are qualified and trained. Auditors routinely request training records for specific operations.</w:t>
      </w:r>
    </w:p>
    <w:p>
      <w:pPr>
        <w:spacing w:before="200" w:after="40"/>
      </w:pPr>
      <w:r>
        <w:rPr>
          <w:b/>
          <w:color w:val="5A6475"/>
          <w:sz w:val="20"/>
        </w:rPr>
        <w:t>Core Entities:</w:t>
      </w:r>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E8F5F5"/>
            <w:vAlign w:val="center"/>
          </w:tcPr>
          <w:p>
            <w:r>
              <w:rPr>
                <w:b/>
                <w:color w:val="008780"/>
                <w:sz w:val="18"/>
              </w:rPr>
              <w:t>Entity</w:t>
            </w:r>
          </w:p>
        </w:tc>
        <w:tc>
          <w:tcPr>
            <w:tcW w:type="dxa" w:w="8064"/>
            <w:shd w:val="clear" w:color="auto" w:fill="E8F5F5"/>
            <w:vAlign w:val="center"/>
          </w:tcPr>
          <w:p>
            <w:r>
              <w:rPr>
                <w:b/>
                <w:color w:val="008780"/>
                <w:sz w:val="18"/>
              </w:rPr>
              <w:t>Key Fields</w:t>
            </w:r>
          </w:p>
        </w:tc>
      </w:tr>
      <w:tr>
        <w:tc>
          <w:tcPr>
            <w:tcW w:type="dxa" w:w="2592"/>
          </w:tcPr>
          <w:p>
            <w:r>
              <w:rPr>
                <w:color w:val="1A1F2E"/>
                <w:sz w:val="18"/>
              </w:rPr>
              <w:t>Employee</w:t>
            </w:r>
          </w:p>
        </w:tc>
        <w:tc>
          <w:tcPr>
            <w:tcW w:type="dxa" w:w="8064"/>
          </w:tcPr>
          <w:p>
            <w:r>
              <w:rPr>
                <w:color w:val="1A1F2E"/>
                <w:sz w:val="18"/>
              </w:rPr>
              <w:t>empNo, name, department, role, site, status (ACTIVE/INACTIVE), hireDate, reportingManager</w:t>
            </w:r>
          </w:p>
        </w:tc>
      </w:tr>
      <w:tr>
        <w:tc>
          <w:tcPr>
            <w:tcW w:type="dxa" w:w="2592"/>
          </w:tcPr>
          <w:p>
            <w:r>
              <w:rPr>
                <w:color w:val="1A1F2E"/>
                <w:sz w:val="18"/>
              </w:rPr>
              <w:t>Qualification</w:t>
            </w:r>
          </w:p>
        </w:tc>
        <w:tc>
          <w:tcPr>
            <w:tcW w:type="dxa" w:w="8064"/>
          </w:tcPr>
          <w:p>
            <w:r>
              <w:rPr>
                <w:color w:val="1A1F2E"/>
                <w:sz w:val="18"/>
              </w:rPr>
              <w:t>empId, qualificationType (EDUCATION/PROFESSIONAL_CERT/INTERNAL_CERT), name, issuedBy, issueDate, expiryDate, documentRef</w:t>
            </w:r>
          </w:p>
        </w:tc>
      </w:tr>
      <w:tr>
        <w:tc>
          <w:tcPr>
            <w:tcW w:type="dxa" w:w="2592"/>
          </w:tcPr>
          <w:p>
            <w:r>
              <w:rPr>
                <w:color w:val="1A1F2E"/>
                <w:sz w:val="18"/>
              </w:rPr>
              <w:t>TrainingRecord</w:t>
            </w:r>
          </w:p>
        </w:tc>
        <w:tc>
          <w:tcPr>
            <w:tcW w:type="dxa" w:w="8064"/>
          </w:tcPr>
          <w:p>
            <w:r>
              <w:rPr>
                <w:color w:val="1A1F2E"/>
                <w:sz w:val="18"/>
              </w:rPr>
              <w:t>empId, trainingType (SOP_READ/IQ_OQ_PQ/GMP_REFRESHER/EQUIPMENT/JOB_SPECIFIC), title, completedDate, score, passStatus, trainer, validity (months)</w:t>
            </w:r>
          </w:p>
        </w:tc>
      </w:tr>
      <w:tr>
        <w:tc>
          <w:tcPr>
            <w:tcW w:type="dxa" w:w="2592"/>
          </w:tcPr>
          <w:p>
            <w:r>
              <w:rPr>
                <w:color w:val="1A1F2E"/>
                <w:sz w:val="18"/>
              </w:rPr>
              <w:t>Competency</w:t>
            </w:r>
          </w:p>
        </w:tc>
        <w:tc>
          <w:tcPr>
            <w:tcW w:type="dxa" w:w="8064"/>
          </w:tcPr>
          <w:p>
            <w:r>
              <w:rPr>
                <w:color w:val="1A1F2E"/>
                <w:sz w:val="18"/>
              </w:rPr>
              <w:t>empId, taskCode, authorisedFor (YES/NO), assessedDate, assessor, nextReviewDate</w:t>
            </w:r>
          </w:p>
        </w:tc>
      </w:tr>
      <w:tr>
        <w:tc>
          <w:tcPr>
            <w:tcW w:type="dxa" w:w="2592"/>
          </w:tcPr>
          <w:p>
            <w:r>
              <w:rPr>
                <w:color w:val="1A1F2E"/>
                <w:sz w:val="18"/>
              </w:rPr>
              <w:t>AccessRole</w:t>
            </w:r>
          </w:p>
        </w:tc>
        <w:tc>
          <w:tcPr>
            <w:tcW w:type="dxa" w:w="8064"/>
          </w:tcPr>
          <w:p>
            <w:r>
              <w:rPr>
                <w:color w:val="1A1F2E"/>
                <w:sz w:val="18"/>
              </w:rPr>
              <w:t>empId, systemModule, permissionLevel (VIEW/EDIT/APPROVE/ADMIN), grantedBy, grantedDate, expiryDate</w:t>
            </w:r>
          </w:p>
        </w:tc>
      </w:tr>
    </w:tbl>
    <w:p/>
    <w:p>
      <w:pPr>
        <w:spacing w:before="200" w:after="40"/>
      </w:pPr>
      <w:r>
        <w:rPr>
          <w:b/>
          <w:color w:val="5A6475"/>
          <w:sz w:val="20"/>
        </w:rPr>
        <w:t>GMP-Critical Features:</w:t>
      </w:r>
    </w:p>
    <w:p>
      <w:pPr>
        <w:pStyle w:val="ListBullet"/>
        <w:spacing w:before="0" w:after="60"/>
        <w:ind w:left="360"/>
      </w:pPr>
      <w:r>
        <w:rPr>
          <w:color w:val="1A1F2E"/>
          <w:sz w:val="20"/>
        </w:rPr>
        <w:t>Training Matrix: Shows which SOPs each role must be trained on, current compliance % per department</w:t>
      </w:r>
    </w:p>
    <w:p>
      <w:pPr>
        <w:pStyle w:val="ListBullet"/>
        <w:spacing w:before="0" w:after="60"/>
        <w:ind w:left="360"/>
      </w:pPr>
      <w:r>
        <w:rPr>
          <w:color w:val="1A1F2E"/>
          <w:sz w:val="20"/>
        </w:rPr>
        <w:t>Expiry Alerts: Training validity expiry (e.g., GMP awareness expires every 12 months) — system blocks access or raises alert when expired</w:t>
      </w:r>
    </w:p>
    <w:p>
      <w:pPr>
        <w:pStyle w:val="ListBullet"/>
        <w:spacing w:before="0" w:after="60"/>
        <w:ind w:left="360"/>
      </w:pPr>
      <w:r>
        <w:rPr>
          <w:color w:val="1A1F2E"/>
          <w:sz w:val="20"/>
        </w:rPr>
        <w:t>Authorised Personnel Lists: For each GMP operation (e.g., sampling, GRN receipt, QC decision), show the list of currently authorised staff</w:t>
      </w:r>
    </w:p>
    <w:p>
      <w:pPr>
        <w:pStyle w:val="ListBullet"/>
        <w:spacing w:before="0" w:after="60"/>
        <w:ind w:left="360"/>
      </w:pPr>
      <w:r>
        <w:rPr>
          <w:color w:val="1A1F2E"/>
          <w:sz w:val="20"/>
        </w:rPr>
        <w:t>Electronic Signature Eligibility: Only employees with valid GMP training and active competency can apply e-signatures on GRN / sampling records</w:t>
      </w:r>
    </w:p>
    <w:p>
      <w:pPr>
        <w:pStyle w:val="ListBullet"/>
        <w:spacing w:before="0" w:after="60"/>
        <w:ind w:left="360"/>
      </w:pPr>
      <w:r>
        <w:rPr>
          <w:color w:val="1A1F2E"/>
          <w:sz w:val="20"/>
        </w:rPr>
        <w:t>New Hire Onboarding: Automated training task list generated from role, with completion tracking before system access is fully granted</w:t>
      </w:r>
    </w:p>
    <w:p>
      <w:pPr>
        <w:pStyle w:val="ListBullet"/>
        <w:spacing w:before="0" w:after="60"/>
        <w:ind w:left="360"/>
      </w:pPr>
      <w:r>
        <w:rPr>
          <w:color w:val="1A1F2E"/>
          <w:sz w:val="20"/>
        </w:rPr>
        <w:t>Audit Reports: 'Show me all training records for analyst X between 2024–2026' — a common FDA/WHO auditor request</w:t>
      </w:r>
    </w:p>
    <w:p>
      <w:pPr>
        <w:spacing w:before="280" w:after="60"/>
      </w:pPr>
      <w:r>
        <w:rPr>
          <w:b/>
          <w:color w:val="1A1F2E"/>
          <w:sz w:val="22"/>
        </w:rPr>
        <w:t>5.4  LIMS — Laboratory Information Management System</w:t>
      </w:r>
    </w:p>
    <w:p>
      <w:pPr>
        <w:spacing w:before="0" w:after="100"/>
      </w:pPr>
      <w:r>
        <w:rPr>
          <w:i w:val="0"/>
          <w:color w:val="1A1F2E"/>
          <w:sz w:val="20"/>
        </w:rPr>
        <w:t>LIMS manages the complete laboratory workflow from test request through result entry, review, and CoA generation. It is the most technically complex module and integrates deeply with Sampling and Inventory.</w:t>
      </w:r>
    </w:p>
    <w:p>
      <w:pPr>
        <w:spacing w:before="200" w:after="40"/>
      </w:pPr>
      <w:r>
        <w:rPr>
          <w:b/>
          <w:color w:val="5A6475"/>
          <w:sz w:val="20"/>
        </w:rPr>
        <w:t>Core Entities:</w:t>
      </w:r>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E8F5F5"/>
            <w:vAlign w:val="center"/>
          </w:tcPr>
          <w:p>
            <w:r>
              <w:rPr>
                <w:b/>
                <w:color w:val="008780"/>
                <w:sz w:val="18"/>
              </w:rPr>
              <w:t>Entity</w:t>
            </w:r>
          </w:p>
        </w:tc>
        <w:tc>
          <w:tcPr>
            <w:tcW w:type="dxa" w:w="8064"/>
            <w:shd w:val="clear" w:color="auto" w:fill="E8F5F5"/>
            <w:vAlign w:val="center"/>
          </w:tcPr>
          <w:p>
            <w:r>
              <w:rPr>
                <w:b/>
                <w:color w:val="008780"/>
                <w:sz w:val="18"/>
              </w:rPr>
              <w:t>Key Fields</w:t>
            </w:r>
          </w:p>
        </w:tc>
      </w:tr>
      <w:tr>
        <w:tc>
          <w:tcPr>
            <w:tcW w:type="dxa" w:w="2592"/>
          </w:tcPr>
          <w:p>
            <w:r>
              <w:rPr>
                <w:color w:val="1A1F2E"/>
                <w:sz w:val="18"/>
              </w:rPr>
              <w:t>WorkOrder</w:t>
            </w:r>
          </w:p>
        </w:tc>
        <w:tc>
          <w:tcPr>
            <w:tcW w:type="dxa" w:w="8064"/>
          </w:tcPr>
          <w:p>
            <w:r>
              <w:rPr>
                <w:color w:val="1A1F2E"/>
                <w:sz w:val="18"/>
              </w:rPr>
              <w:t>woNo (auto), samplingRequestId, batchId, materialId, priority, status, assignedAnalyst, assignedDate, requiredByDate</w:t>
            </w:r>
          </w:p>
        </w:tc>
      </w:tr>
      <w:tr>
        <w:tc>
          <w:tcPr>
            <w:tcW w:type="dxa" w:w="2592"/>
          </w:tcPr>
          <w:p>
            <w:r>
              <w:rPr>
                <w:color w:val="1A1F2E"/>
                <w:sz w:val="18"/>
              </w:rPr>
              <w:t>TestRequest</w:t>
            </w:r>
          </w:p>
        </w:tc>
        <w:tc>
          <w:tcPr>
            <w:tcW w:type="dxa" w:w="8064"/>
          </w:tcPr>
          <w:p>
            <w:r>
              <w:rPr>
                <w:color w:val="1A1F2E"/>
                <w:sz w:val="18"/>
              </w:rPr>
              <w:t>woId, testCode, specId, moaId, instrumentId, methodVersion, requestedBy</w:t>
            </w:r>
          </w:p>
        </w:tc>
      </w:tr>
      <w:tr>
        <w:tc>
          <w:tcPr>
            <w:tcW w:type="dxa" w:w="2592"/>
          </w:tcPr>
          <w:p>
            <w:r>
              <w:rPr>
                <w:color w:val="1A1F2E"/>
                <w:sz w:val="18"/>
              </w:rPr>
              <w:t>TestResult</w:t>
            </w:r>
          </w:p>
        </w:tc>
        <w:tc>
          <w:tcPr>
            <w:tcW w:type="dxa" w:w="8064"/>
          </w:tcPr>
          <w:p>
            <w:r>
              <w:rPr>
                <w:color w:val="1A1F2E"/>
                <w:sz w:val="18"/>
              </w:rPr>
              <w:t>testRequestId, parameterName, unit, result (numeric/text), lowerLimit, upperLimit, passStatus (PASS/FAIL/OOS), enteredBy, enteredAt, reviewedBy, reviewedAt</w:t>
            </w:r>
          </w:p>
        </w:tc>
      </w:tr>
      <w:tr>
        <w:tc>
          <w:tcPr>
            <w:tcW w:type="dxa" w:w="2592"/>
          </w:tcPr>
          <w:p>
            <w:r>
              <w:rPr>
                <w:color w:val="1A1F2E"/>
                <w:sz w:val="18"/>
              </w:rPr>
              <w:t>OOSInvestigation</w:t>
            </w:r>
          </w:p>
        </w:tc>
        <w:tc>
          <w:tcPr>
            <w:tcW w:type="dxa" w:w="8064"/>
          </w:tcPr>
          <w:p>
            <w:r>
              <w:rPr>
                <w:color w:val="1A1F2E"/>
                <w:sz w:val="18"/>
              </w:rPr>
              <w:t>testResultId, phase (PHASE1_LAB/PHASE2_FULL), rootCause, conclusion, disposition, approvedBy</w:t>
            </w:r>
          </w:p>
        </w:tc>
      </w:tr>
      <w:tr>
        <w:tc>
          <w:tcPr>
            <w:tcW w:type="dxa" w:w="2592"/>
          </w:tcPr>
          <w:p>
            <w:r>
              <w:rPr>
                <w:color w:val="1A1F2E"/>
                <w:sz w:val="18"/>
              </w:rPr>
              <w:t>Instrument</w:t>
            </w:r>
          </w:p>
        </w:tc>
        <w:tc>
          <w:tcPr>
            <w:tcW w:type="dxa" w:w="8064"/>
          </w:tcPr>
          <w:p>
            <w:r>
              <w:rPr>
                <w:color w:val="1A1F2E"/>
                <w:sz w:val="18"/>
              </w:rPr>
              <w:t>instrNo, name, type, location, calibrationDue, qualificationStatus, lastUsedBy, lastUsedAt</w:t>
            </w:r>
          </w:p>
        </w:tc>
      </w:tr>
      <w:tr>
        <w:tc>
          <w:tcPr>
            <w:tcW w:type="dxa" w:w="2592"/>
          </w:tcPr>
          <w:p>
            <w:r>
              <w:rPr>
                <w:color w:val="1A1F2E"/>
                <w:sz w:val="18"/>
              </w:rPr>
              <w:t>CalibrationRecord</w:t>
            </w:r>
          </w:p>
        </w:tc>
        <w:tc>
          <w:tcPr>
            <w:tcW w:type="dxa" w:w="8064"/>
          </w:tcPr>
          <w:p>
            <w:r>
              <w:rPr>
                <w:color w:val="1A1F2E"/>
                <w:sz w:val="18"/>
              </w:rPr>
              <w:t>instrumentId, calibrationType (DAILY/PERIODIC/FULL), performedBy, performedAt, passStatus, nextDueDate</w:t>
            </w:r>
          </w:p>
        </w:tc>
      </w:tr>
      <w:tr>
        <w:tc>
          <w:tcPr>
            <w:tcW w:type="dxa" w:w="2592"/>
          </w:tcPr>
          <w:p>
            <w:r>
              <w:rPr>
                <w:color w:val="1A1F2E"/>
                <w:sz w:val="18"/>
              </w:rPr>
              <w:t>CoA</w:t>
            </w:r>
          </w:p>
        </w:tc>
        <w:tc>
          <w:tcPr>
            <w:tcW w:type="dxa" w:w="8064"/>
          </w:tcPr>
          <w:p>
            <w:r>
              <w:rPr>
                <w:color w:val="1A1F2E"/>
                <w:sz w:val="18"/>
              </w:rPr>
              <w:t>batchId, woId, coaNo, generatedAt, generatedBy, approvedBy, approvedAt, status (DRAFT/APPROVED/ISSUED)</w:t>
            </w:r>
          </w:p>
        </w:tc>
      </w:tr>
      <w:tr>
        <w:tc>
          <w:tcPr>
            <w:tcW w:type="dxa" w:w="2592"/>
          </w:tcPr>
          <w:p>
            <w:r>
              <w:rPr>
                <w:color w:val="1A1F2E"/>
                <w:sz w:val="18"/>
              </w:rPr>
              <w:t>ReagentLot</w:t>
            </w:r>
          </w:p>
        </w:tc>
        <w:tc>
          <w:tcPr>
            <w:tcW w:type="dxa" w:w="8064"/>
          </w:tcPr>
          <w:p>
            <w:r>
              <w:rPr>
                <w:color w:val="1A1F2E"/>
                <w:sz w:val="18"/>
              </w:rPr>
              <w:t>reagentCode, lot, expiryDate, receivedDate, openedDate, storageCondition, usedInTests[]</w:t>
            </w:r>
          </w:p>
        </w:tc>
      </w:tr>
    </w:tbl>
    <w:p/>
    <w:p>
      <w:pPr>
        <w:spacing w:before="200" w:after="40"/>
      </w:pPr>
      <w:r>
        <w:rPr>
          <w:b/>
          <w:color w:val="5A6475"/>
          <w:sz w:val="20"/>
        </w:rPr>
        <w:t>Key LIMS Workflows:</w:t>
      </w:r>
    </w:p>
    <w:p>
      <w:pPr>
        <w:pStyle w:val="ListBullet"/>
        <w:spacing w:before="0" w:after="60"/>
        <w:ind w:left="360"/>
      </w:pPr>
      <w:r>
        <w:rPr>
          <w:color w:val="1A1F2E"/>
          <w:sz w:val="20"/>
        </w:rPr>
        <w:t>Work Order Creation: Triggered automatically when a Sampling Plan is approved in the Sampling module — test requests generated from the spec linked to the sampling plan</w:t>
      </w:r>
    </w:p>
    <w:p>
      <w:pPr>
        <w:pStyle w:val="ListBullet"/>
        <w:spacing w:before="0" w:after="60"/>
        <w:ind w:left="360"/>
      </w:pPr>
      <w:r>
        <w:rPr>
          <w:color w:val="1A1F2E"/>
          <w:sz w:val="20"/>
        </w:rPr>
        <w:t>Result Entry: Analyst selects work order, enters results per parameter, system auto-evaluates pass/fail against spec limits, flags OOS immediately</w:t>
      </w:r>
    </w:p>
    <w:p>
      <w:pPr>
        <w:pStyle w:val="ListBullet"/>
        <w:spacing w:before="0" w:after="60"/>
        <w:ind w:left="360"/>
      </w:pPr>
      <w:r>
        <w:rPr>
          <w:color w:val="1A1F2E"/>
          <w:sz w:val="20"/>
        </w:rPr>
        <w:t>OOS Handling: Out-of-spec result locks the batch and triggers Phase 1 investigation (lab error check). If confirmed, Phase 2 full investigation is initiated with QA involvement</w:t>
      </w:r>
    </w:p>
    <w:p>
      <w:pPr>
        <w:pStyle w:val="ListBullet"/>
        <w:spacing w:before="0" w:after="60"/>
        <w:ind w:left="360"/>
      </w:pPr>
      <w:r>
        <w:rPr>
          <w:color w:val="1A1F2E"/>
          <w:sz w:val="20"/>
        </w:rPr>
        <w:t>CoA Generation: Approved results → auto-populate CoA template with batch info, test results, limits, pass/fail, QC approver e-signature</w:t>
      </w:r>
    </w:p>
    <w:p>
      <w:pPr>
        <w:pStyle w:val="ListBullet"/>
        <w:spacing w:before="0" w:after="60"/>
        <w:ind w:left="360"/>
      </w:pPr>
      <w:r>
        <w:rPr>
          <w:color w:val="1A1F2E"/>
          <w:sz w:val="20"/>
        </w:rPr>
        <w:t>Instrument Qualification: IQ/OQ/PQ records per instrument; system blocks use of unqualified or overdue-calibration instruments</w:t>
      </w:r>
    </w:p>
    <w:p>
      <w:pPr>
        <w:pStyle w:val="ListBullet"/>
        <w:spacing w:before="0" w:after="60"/>
        <w:ind w:left="360"/>
      </w:pPr>
      <w:r>
        <w:rPr>
          <w:color w:val="1A1F2E"/>
          <w:sz w:val="20"/>
        </w:rPr>
        <w:t>Reagent / Standard Traceability: Every test result linked to the reagent lot and standard used — critical for audit traceability</w:t>
      </w:r>
    </w:p>
    <w:p>
      <w:pPr>
        <w:pStyle w:val="ListBullet"/>
        <w:spacing w:before="0" w:after="60"/>
        <w:ind w:left="360"/>
      </w:pPr>
      <w:r>
        <w:rPr>
          <w:color w:val="1A1F2E"/>
          <w:sz w:val="20"/>
        </w:rPr>
        <w:t>Trend Analysis: Charting of results over time per parameter, batch, and analyst — catches systematic drift before OOS</w:t>
      </w:r>
    </w:p>
    <w:p>
      <w:pPr>
        <w:spacing w:before="280" w:after="60"/>
      </w:pPr>
      <w:r>
        <w:rPr>
          <w:b/>
          <w:color w:val="1A1F2E"/>
          <w:sz w:val="22"/>
        </w:rPr>
        <w:t>5.5  Warehouse Management — Completing What Is Started</w:t>
      </w:r>
    </w:p>
    <w:p>
      <w:pPr>
        <w:spacing w:before="0" w:after="100"/>
      </w:pPr>
      <w:r>
        <w:rPr>
          <w:i w:val="0"/>
          <w:color w:val="1A1F2E"/>
          <w:sz w:val="20"/>
        </w:rPr>
        <w:t>You have the location hierarchy (Warehouse &gt; Room &gt; Rack &gt; Shelf &gt; Pallet) in master data. The next step is operational warehouse management: where goods physically move.</w:t>
      </w:r>
    </w:p>
    <w:p>
      <w:pPr>
        <w:spacing w:before="200" w:after="40"/>
      </w:pPr>
      <w:r>
        <w:rPr>
          <w:b/>
          <w:color w:val="5A6475"/>
          <w:sz w:val="20"/>
        </w:rPr>
        <w:t>Add These Workflows:</w:t>
      </w:r>
    </w:p>
    <w:p>
      <w:pPr>
        <w:pStyle w:val="ListBullet"/>
        <w:spacing w:before="0" w:after="60"/>
        <w:ind w:left="360"/>
      </w:pPr>
      <w:r>
        <w:rPr>
          <w:color w:val="1A1F2E"/>
          <w:sz w:val="20"/>
        </w:rPr>
        <w:t>Put-Away: After GRN receipt, generate a put-away task assigning each pallet to a specific bin location based on storage condition, available space, and FEFO (first-expiry, first-out) rules</w:t>
      </w:r>
    </w:p>
    <w:p>
      <w:pPr>
        <w:pStyle w:val="ListBullet"/>
        <w:spacing w:before="0" w:after="60"/>
        <w:ind w:left="360"/>
      </w:pPr>
      <w:r>
        <w:rPr>
          <w:color w:val="1A1F2E"/>
          <w:sz w:val="20"/>
        </w:rPr>
        <w:t>Bin Card / Location Inventory: Real-time view of what is in each bin location — essential for warehouse staff</w:t>
      </w:r>
    </w:p>
    <w:p>
      <w:pPr>
        <w:pStyle w:val="ListBullet"/>
        <w:spacing w:before="0" w:after="60"/>
        <w:ind w:left="360"/>
      </w:pPr>
      <w:r>
        <w:rPr>
          <w:color w:val="1A1F2E"/>
          <w:sz w:val="20"/>
        </w:rPr>
        <w:t>Pick List: When a batch is released or dispatched, generate a pick list from inventory with exact bin locations</w:t>
      </w:r>
    </w:p>
    <w:p>
      <w:pPr>
        <w:pStyle w:val="ListBullet"/>
        <w:spacing w:before="0" w:after="60"/>
        <w:ind w:left="360"/>
      </w:pPr>
      <w:r>
        <w:rPr>
          <w:color w:val="1A1F2E"/>
          <w:sz w:val="20"/>
        </w:rPr>
        <w:t>Stock Transfer: Move inventory between locations within the warehouse (e.g. quarantine area to released area) with full audit trail</w:t>
      </w:r>
    </w:p>
    <w:p>
      <w:pPr>
        <w:pStyle w:val="ListBullet"/>
        <w:spacing w:before="0" w:after="60"/>
        <w:ind w:left="360"/>
      </w:pPr>
      <w:r>
        <w:rPr>
          <w:color w:val="1A1F2E"/>
          <w:sz w:val="20"/>
        </w:rPr>
        <w:t>Cycle Count: Periodic physical inventory count workflow — count task generation, variance capture, approval of adjustments</w:t>
      </w:r>
    </w:p>
    <w:p>
      <w:pPr>
        <w:pStyle w:val="ListBullet"/>
        <w:spacing w:before="0" w:after="60"/>
        <w:ind w:left="360"/>
      </w:pPr>
      <w:r>
        <w:rPr>
          <w:color w:val="1A1F2E"/>
          <w:sz w:val="20"/>
        </w:rPr>
        <w:t>Reorder / Low Stock Alert: Configurable minimum stock levels per material with alert when stock falls below threshold</w:t>
      </w:r>
    </w:p>
    <w:p>
      <w:pPr>
        <w:pStyle w:val="ListBullet"/>
        <w:spacing w:before="0" w:after="60"/>
        <w:ind w:left="360"/>
      </w:pPr>
      <w:r>
        <w:rPr>
          <w:color w:val="1A1F2E"/>
          <w:sz w:val="20"/>
        </w:rPr>
        <w:t>Pallet Label Printing: Generate GS1-compliant pallet labels (SSCC barcode, material, batch, quantity, expiry) from GRN receipt</w:t>
      </w:r>
    </w:p>
    <w:p>
      <w:pPr>
        <w:spacing w:before="440" w:after="120"/>
        <w:pBdr>
          <w:bottom w:val="single" w:sz="6" w:space="4" w:color="008780"/>
        </w:pBdr>
      </w:pPr>
      <w:r>
        <w:rPr>
          <w:b/>
          <w:color w:val="008780"/>
          <w:sz w:val="22"/>
        </w:rPr>
        <w:t>6. BACKEND ARCHITECTURE CONSIDERATIONS</w:t>
      </w:r>
    </w:p>
    <w:p>
      <w:pPr>
        <w:spacing w:before="0" w:after="100"/>
      </w:pPr>
      <w:r>
        <w:rPr>
          <w:i w:val="0"/>
          <w:color w:val="1A1F2E"/>
          <w:sz w:val="20"/>
        </w:rPr>
        <w:t>Your backend is on port 8080 (likely Java Spring Boot based on API patterns). Here are the key recommendations.</w:t>
      </w:r>
    </w:p>
    <w:p>
      <w:pPr>
        <w:spacing w:before="280" w:after="60"/>
      </w:pPr>
      <w:r>
        <w:rPr>
          <w:b/>
          <w:color w:val="1A1F2E"/>
          <w:sz w:val="22"/>
        </w:rPr>
        <w:t>6.1  Audit Trail — 21 CFR Part 11 Compliance</w:t>
      </w:r>
    </w:p>
    <w:p>
      <w:pPr>
        <w:spacing w:before="0" w:after="100"/>
      </w:pPr>
      <w:r>
        <w:rPr>
          <w:i w:val="0"/>
          <w:color w:val="1A1F2E"/>
          <w:sz w:val="20"/>
        </w:rPr>
        <w:t>Every data mutation (create, update, status change) must be recorded in an immutable audit log with: entity type, entity ID, action, changed fields (old value / new value), user ID, timestamp, and client IP. This is a regulatory requirement for electronic records in pharma. Implement this as a Spring AOP aspect or a database trigger so it is guaranteed and cannot be bypassed by code.</w:t>
      </w:r>
    </w:p>
    <w:p>
      <w:pPr>
        <w:spacing w:before="280" w:after="60"/>
      </w:pPr>
      <w:r>
        <w:rPr>
          <w:b/>
          <w:color w:val="1A1F2E"/>
          <w:sz w:val="22"/>
        </w:rPr>
        <w:t>6.2  Electronic Signatures</w:t>
      </w:r>
    </w:p>
    <w:p>
      <w:pPr>
        <w:spacing w:before="0" w:after="100"/>
      </w:pPr>
      <w:r>
        <w:rPr>
          <w:i w:val="0"/>
          <w:color w:val="1A1F2E"/>
          <w:sz w:val="20"/>
        </w:rPr>
        <w:t>GRN receipt, QC approval/rejection, deviation closure, and CoA approval require electronic signatures (not just the logged-in user — re-authentication with meaning acknowledgement). Implement a signature challenge: user must re-enter password and provide a 'meaning of signature' text (e.g., 'I hereby approve this batch for release'). Log signature with timestamp, meaning, and user identity.</w:t>
      </w:r>
    </w:p>
    <w:p>
      <w:pPr>
        <w:spacing w:before="280" w:after="60"/>
      </w:pPr>
      <w:r>
        <w:rPr>
          <w:b/>
          <w:color w:val="1A1F2E"/>
          <w:sz w:val="22"/>
        </w:rPr>
        <w:t>6.3  Real-Time Notifications</w:t>
      </w:r>
    </w:p>
    <w:p>
      <w:pPr>
        <w:spacing w:before="0" w:after="100"/>
      </w:pPr>
      <w:r>
        <w:rPr>
          <w:i w:val="0"/>
          <w:color w:val="1A1F2E"/>
          <w:sz w:val="20"/>
        </w:rPr>
        <w:t>Add WebSocket or Server-Sent Events for: sampling queue additions, OOS result alerts, CAPA overdue notifications, and vendor qualification expiry warnings. Users should not have to refresh to see that a new sampling request arrived.</w:t>
      </w:r>
    </w:p>
    <w:p>
      <w:pPr>
        <w:spacing w:before="280" w:after="60"/>
      </w:pPr>
      <w:r>
        <w:rPr>
          <w:b/>
          <w:color w:val="1A1F2E"/>
          <w:sz w:val="22"/>
        </w:rPr>
        <w:t>6.4  Role-Based Access Control (RBAC)</w:t>
      </w:r>
    </w:p>
    <w:p>
      <w:pPr>
        <w:spacing w:before="0" w:after="100"/>
      </w:pPr>
      <w:r>
        <w:rPr>
          <w:i w:val="0"/>
          <w:color w:val="1A1F2E"/>
          <w:sz w:val="20"/>
        </w:rPr>
        <w:t>Define roles: Warehouse Operator, QC Analyst, QC Manager, QA, Procurement, HRMS Admin, System Admin. Each module action (view / edit / approve / admin) must be gated by role. The frontend should hide/disable actions the current user cannot perform, and the backend must enforce the same rules server-side.</w:t>
      </w:r>
    </w:p>
    <w:p>
      <w:pPr>
        <w:spacing w:before="280" w:after="60"/>
      </w:pPr>
      <w:r>
        <w:rPr>
          <w:b/>
          <w:color w:val="1A1F2E"/>
          <w:sz w:val="22"/>
        </w:rPr>
        <w:t>6.5  Document Storage</w:t>
      </w:r>
    </w:p>
    <w:p>
      <w:pPr>
        <w:spacing w:before="0" w:after="100"/>
      </w:pPr>
      <w:r>
        <w:rPr>
          <w:i w:val="0"/>
          <w:color w:val="1A1F2E"/>
          <w:sz w:val="20"/>
        </w:rPr>
        <w:t>GRN documents, CoAs, audit reports, and SOPs need reliable file storage. Use S3-compatible object storage (AWS S3, MinIO for on-premise) rather than database blob storage. Store metadata in the database, file in object storage. Return pre-signed URLs for download.</w:t>
      </w:r>
    </w:p>
    <w:p>
      <w:pPr>
        <w:spacing w:before="440" w:after="120"/>
        <w:pBdr>
          <w:bottom w:val="single" w:sz="6" w:space="4" w:color="008780"/>
        </w:pBdr>
      </w:pPr>
      <w:r>
        <w:rPr>
          <w:b/>
          <w:color w:val="008780"/>
          <w:sz w:val="22"/>
        </w:rPr>
        <w:t>7. TECHNOLOGY RECOMMENDATIONS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E8F5F5"/>
            <w:vAlign w:val="center"/>
          </w:tcPr>
          <w:p>
            <w:r>
              <w:rPr>
                <w:b/>
                <w:color w:val="008780"/>
                <w:sz w:val="18"/>
              </w:rPr>
              <w:t>Category</w:t>
            </w:r>
          </w:p>
        </w:tc>
        <w:tc>
          <w:tcPr>
            <w:tcW w:type="dxa" w:w="2592"/>
            <w:shd w:val="clear" w:color="auto" w:fill="E8F5F5"/>
            <w:vAlign w:val="center"/>
          </w:tcPr>
          <w:p>
            <w:r>
              <w:rPr>
                <w:b/>
                <w:color w:val="008780"/>
                <w:sz w:val="18"/>
              </w:rPr>
              <w:t>Current</w:t>
            </w:r>
          </w:p>
        </w:tc>
        <w:tc>
          <w:tcPr>
            <w:tcW w:type="dxa" w:w="3168"/>
            <w:shd w:val="clear" w:color="auto" w:fill="E8F5F5"/>
            <w:vAlign w:val="center"/>
          </w:tcPr>
          <w:p>
            <w:r>
              <w:rPr>
                <w:b/>
                <w:color w:val="008780"/>
                <w:sz w:val="18"/>
              </w:rPr>
              <w:t>Recommended Addition</w:t>
            </w:r>
          </w:p>
        </w:tc>
        <w:tc>
          <w:tcPr>
            <w:tcW w:type="dxa" w:w="2304"/>
            <w:shd w:val="clear" w:color="auto" w:fill="E8F5F5"/>
            <w:vAlign w:val="center"/>
          </w:tcPr>
          <w:p>
            <w:r>
              <w:rPr>
                <w:b/>
                <w:color w:val="008780"/>
                <w:sz w:val="18"/>
              </w:rPr>
              <w:t>Priority</w:t>
            </w:r>
          </w:p>
        </w:tc>
      </w:tr>
      <w:tr>
        <w:tc>
          <w:tcPr>
            <w:tcW w:type="dxa" w:w="2592"/>
          </w:tcPr>
          <w:p>
            <w:r>
              <w:rPr>
                <w:color w:val="1A1F2E"/>
                <w:sz w:val="18"/>
              </w:rPr>
              <w:t>Data Fetching</w:t>
            </w:r>
          </w:p>
        </w:tc>
        <w:tc>
          <w:tcPr>
            <w:tcW w:type="dxa" w:w="2592"/>
          </w:tcPr>
          <w:p>
            <w:r>
              <w:rPr>
                <w:color w:val="1A1F2E"/>
                <w:sz w:val="18"/>
              </w:rPr>
              <w:t>Raw useEffect</w:t>
            </w:r>
          </w:p>
        </w:tc>
        <w:tc>
          <w:tcPr>
            <w:tcW w:type="dxa" w:w="3168"/>
          </w:tcPr>
          <w:p>
            <w:r>
              <w:rPr>
                <w:color w:val="1A1F2E"/>
                <w:sz w:val="18"/>
              </w:rPr>
              <w:t>TanStack Query v5</w:t>
            </w:r>
          </w:p>
        </w:tc>
        <w:tc>
          <w:tcPr>
            <w:tcW w:type="dxa" w:w="2304"/>
          </w:tcPr>
          <w:p>
            <w:r>
              <w:rPr>
                <w:b/>
                <w:color w:val="C62828"/>
                <w:sz w:val="18"/>
              </w:rPr>
              <w:t>HIGH</w:t>
            </w:r>
          </w:p>
        </w:tc>
      </w:tr>
      <w:tr>
        <w:tc>
          <w:tcPr>
            <w:tcW w:type="dxa" w:w="2592"/>
          </w:tcPr>
          <w:p>
            <w:r>
              <w:rPr>
                <w:color w:val="1A1F2E"/>
                <w:sz w:val="18"/>
              </w:rPr>
              <w:t>Form Handling</w:t>
            </w:r>
          </w:p>
        </w:tc>
        <w:tc>
          <w:tcPr>
            <w:tcW w:type="dxa" w:w="2592"/>
          </w:tcPr>
          <w:p>
            <w:r>
              <w:rPr>
                <w:color w:val="1A1F2E"/>
                <w:sz w:val="18"/>
              </w:rPr>
              <w:t>Controlled state</w:t>
            </w:r>
          </w:p>
        </w:tc>
        <w:tc>
          <w:tcPr>
            <w:tcW w:type="dxa" w:w="3168"/>
          </w:tcPr>
          <w:p>
            <w:r>
              <w:rPr>
                <w:color w:val="1A1F2E"/>
                <w:sz w:val="18"/>
              </w:rPr>
              <w:t>React Hook Form + Zod</w:t>
            </w:r>
          </w:p>
        </w:tc>
        <w:tc>
          <w:tcPr>
            <w:tcW w:type="dxa" w:w="2304"/>
          </w:tcPr>
          <w:p>
            <w:r>
              <w:rPr>
                <w:b/>
                <w:color w:val="C62828"/>
                <w:sz w:val="18"/>
              </w:rPr>
              <w:t>HIGH</w:t>
            </w:r>
          </w:p>
        </w:tc>
      </w:tr>
      <w:tr>
        <w:tc>
          <w:tcPr>
            <w:tcW w:type="dxa" w:w="2592"/>
          </w:tcPr>
          <w:p>
            <w:r>
              <w:rPr>
                <w:color w:val="1A1F2E"/>
                <w:sz w:val="18"/>
              </w:rPr>
              <w:t>State Mgmt</w:t>
            </w:r>
          </w:p>
        </w:tc>
        <w:tc>
          <w:tcPr>
            <w:tcW w:type="dxa" w:w="2592"/>
          </w:tcPr>
          <w:p>
            <w:r>
              <w:rPr>
                <w:color w:val="1A1F2E"/>
                <w:sz w:val="18"/>
              </w:rPr>
              <w:t>Local useState only</w:t>
            </w:r>
          </w:p>
        </w:tc>
        <w:tc>
          <w:tcPr>
            <w:tcW w:type="dxa" w:w="3168"/>
          </w:tcPr>
          <w:p>
            <w:r>
              <w:rPr>
                <w:color w:val="1A1F2E"/>
                <w:sz w:val="18"/>
              </w:rPr>
              <w:t>Zustand (for cross-page state)</w:t>
            </w:r>
          </w:p>
        </w:tc>
        <w:tc>
          <w:tcPr>
            <w:tcW w:type="dxa" w:w="2304"/>
          </w:tcPr>
          <w:p>
            <w:r>
              <w:rPr>
                <w:b/>
                <w:color w:val="E65C00"/>
                <w:sz w:val="18"/>
              </w:rPr>
              <w:t>MEDIUM</w:t>
            </w:r>
          </w:p>
        </w:tc>
      </w:tr>
      <w:tr>
        <w:tc>
          <w:tcPr>
            <w:tcW w:type="dxa" w:w="2592"/>
          </w:tcPr>
          <w:p>
            <w:r>
              <w:rPr>
                <w:color w:val="1A1F2E"/>
                <w:sz w:val="18"/>
              </w:rPr>
              <w:t>UI Primitives</w:t>
            </w:r>
          </w:p>
        </w:tc>
        <w:tc>
          <w:tcPr>
            <w:tcW w:type="dxa" w:w="2592"/>
          </w:tcPr>
          <w:p>
            <w:r>
              <w:rPr>
                <w:color w:val="1A1F2E"/>
                <w:sz w:val="18"/>
              </w:rPr>
              <w:t>Custom Tailwind only</w:t>
            </w:r>
          </w:p>
        </w:tc>
        <w:tc>
          <w:tcPr>
            <w:tcW w:type="dxa" w:w="3168"/>
          </w:tcPr>
          <w:p>
            <w:r>
              <w:rPr>
                <w:color w:val="1A1F2E"/>
                <w:sz w:val="18"/>
              </w:rPr>
              <w:t>Radix UI or shadcn/ui</w:t>
            </w:r>
          </w:p>
        </w:tc>
        <w:tc>
          <w:tcPr>
            <w:tcW w:type="dxa" w:w="2304"/>
          </w:tcPr>
          <w:p>
            <w:r>
              <w:rPr>
                <w:b/>
                <w:color w:val="E65C00"/>
                <w:sz w:val="18"/>
              </w:rPr>
              <w:t>MEDIUM</w:t>
            </w:r>
          </w:p>
        </w:tc>
      </w:tr>
      <w:tr>
        <w:tc>
          <w:tcPr>
            <w:tcW w:type="dxa" w:w="2592"/>
          </w:tcPr>
          <w:p>
            <w:r>
              <w:rPr>
                <w:color w:val="1A1F2E"/>
                <w:sz w:val="18"/>
              </w:rPr>
              <w:t>Data Table</w:t>
            </w:r>
          </w:p>
        </w:tc>
        <w:tc>
          <w:tcPr>
            <w:tcW w:type="dxa" w:w="2592"/>
          </w:tcPr>
          <w:p>
            <w:r>
              <w:rPr>
                <w:color w:val="1A1F2E"/>
                <w:sz w:val="18"/>
              </w:rPr>
              <w:t>Hand-rolled &lt;table&gt;</w:t>
            </w:r>
          </w:p>
        </w:tc>
        <w:tc>
          <w:tcPr>
            <w:tcW w:type="dxa" w:w="3168"/>
          </w:tcPr>
          <w:p>
            <w:r>
              <w:rPr>
                <w:color w:val="1A1F2E"/>
                <w:sz w:val="18"/>
              </w:rPr>
              <w:t>TanStack Table v8</w:t>
            </w:r>
          </w:p>
        </w:tc>
        <w:tc>
          <w:tcPr>
            <w:tcW w:type="dxa" w:w="2304"/>
          </w:tcPr>
          <w:p>
            <w:r>
              <w:rPr>
                <w:b/>
                <w:color w:val="E65C00"/>
                <w:sz w:val="18"/>
              </w:rPr>
              <w:t>MEDIUM</w:t>
            </w:r>
          </w:p>
        </w:tc>
      </w:tr>
      <w:tr>
        <w:tc>
          <w:tcPr>
            <w:tcW w:type="dxa" w:w="2592"/>
          </w:tcPr>
          <w:p>
            <w:r>
              <w:rPr>
                <w:color w:val="1A1F2E"/>
                <w:sz w:val="18"/>
              </w:rPr>
              <w:t>Notifications</w:t>
            </w:r>
          </w:p>
        </w:tc>
        <w:tc>
          <w:tcPr>
            <w:tcW w:type="dxa" w:w="2592"/>
          </w:tcPr>
          <w:p>
            <w:r>
              <w:rPr>
                <w:color w:val="1A1F2E"/>
                <w:sz w:val="18"/>
              </w:rPr>
              <w:t>Inline state messages</w:t>
            </w:r>
          </w:p>
        </w:tc>
        <w:tc>
          <w:tcPr>
            <w:tcW w:type="dxa" w:w="3168"/>
          </w:tcPr>
          <w:p>
            <w:r>
              <w:rPr>
                <w:color w:val="1A1F2E"/>
                <w:sz w:val="18"/>
              </w:rPr>
              <w:t>Sonner toast library</w:t>
            </w:r>
          </w:p>
        </w:tc>
        <w:tc>
          <w:tcPr>
            <w:tcW w:type="dxa" w:w="2304"/>
          </w:tcPr>
          <w:p>
            <w:r>
              <w:rPr>
                <w:b/>
                <w:color w:val="E65C00"/>
                <w:sz w:val="18"/>
              </w:rPr>
              <w:t>MEDIUM</w:t>
            </w:r>
          </w:p>
        </w:tc>
      </w:tr>
      <w:tr>
        <w:tc>
          <w:tcPr>
            <w:tcW w:type="dxa" w:w="2592"/>
          </w:tcPr>
          <w:p>
            <w:r>
              <w:rPr>
                <w:color w:val="1A1F2E"/>
                <w:sz w:val="18"/>
              </w:rPr>
              <w:t>Error Handling</w:t>
            </w:r>
          </w:p>
        </w:tc>
        <w:tc>
          <w:tcPr>
            <w:tcW w:type="dxa" w:w="2592"/>
          </w:tcPr>
          <w:p>
            <w:r>
              <w:rPr>
                <w:color w:val="1A1F2E"/>
                <w:sz w:val="18"/>
              </w:rPr>
              <w:t>None</w:t>
            </w:r>
          </w:p>
        </w:tc>
        <w:tc>
          <w:tcPr>
            <w:tcW w:type="dxa" w:w="3168"/>
          </w:tcPr>
          <w:p>
            <w:r>
              <w:rPr>
                <w:color w:val="1A1F2E"/>
                <w:sz w:val="18"/>
              </w:rPr>
              <w:t>React Error Boundary</w:t>
            </w:r>
          </w:p>
        </w:tc>
        <w:tc>
          <w:tcPr>
            <w:tcW w:type="dxa" w:w="2304"/>
          </w:tcPr>
          <w:p>
            <w:r>
              <w:rPr>
                <w:b/>
                <w:color w:val="C62828"/>
                <w:sz w:val="18"/>
              </w:rPr>
              <w:t>HIGH</w:t>
            </w:r>
          </w:p>
        </w:tc>
      </w:tr>
      <w:tr>
        <w:tc>
          <w:tcPr>
            <w:tcW w:type="dxa" w:w="2592"/>
          </w:tcPr>
          <w:p>
            <w:r>
              <w:rPr>
                <w:color w:val="1A1F2E"/>
                <w:sz w:val="18"/>
              </w:rPr>
              <w:t>Charts / Trends</w:t>
            </w:r>
          </w:p>
        </w:tc>
        <w:tc>
          <w:tcPr>
            <w:tcW w:type="dxa" w:w="2592"/>
          </w:tcPr>
          <w:p>
            <w:r>
              <w:rPr>
                <w:color w:val="1A1F2E"/>
                <w:sz w:val="18"/>
              </w:rPr>
              <w:t>None</w:t>
            </w:r>
          </w:p>
        </w:tc>
        <w:tc>
          <w:tcPr>
            <w:tcW w:type="dxa" w:w="3168"/>
          </w:tcPr>
          <w:p>
            <w:r>
              <w:rPr>
                <w:color w:val="1A1F2E"/>
                <w:sz w:val="18"/>
              </w:rPr>
              <w:t>Recharts (already in React deps)</w:t>
            </w:r>
          </w:p>
        </w:tc>
        <w:tc>
          <w:tcPr>
            <w:tcW w:type="dxa" w:w="2304"/>
          </w:tcPr>
          <w:p>
            <w:r>
              <w:rPr>
                <w:b/>
                <w:color w:val="2E7D32"/>
                <w:sz w:val="18"/>
              </w:rPr>
              <w:t>LOW</w:t>
            </w:r>
          </w:p>
        </w:tc>
      </w:tr>
      <w:tr>
        <w:tc>
          <w:tcPr>
            <w:tcW w:type="dxa" w:w="2592"/>
          </w:tcPr>
          <w:p>
            <w:r>
              <w:rPr>
                <w:color w:val="1A1F2E"/>
                <w:sz w:val="18"/>
              </w:rPr>
              <w:t>PDF Generation</w:t>
            </w:r>
          </w:p>
        </w:tc>
        <w:tc>
          <w:tcPr>
            <w:tcW w:type="dxa" w:w="2592"/>
          </w:tcPr>
          <w:p>
            <w:r>
              <w:rPr>
                <w:color w:val="1A1F2E"/>
                <w:sz w:val="18"/>
              </w:rPr>
              <w:t>None</w:t>
            </w:r>
          </w:p>
        </w:tc>
        <w:tc>
          <w:tcPr>
            <w:tcW w:type="dxa" w:w="3168"/>
          </w:tcPr>
          <w:p>
            <w:r>
              <w:rPr>
                <w:color w:val="1A1F2E"/>
                <w:sz w:val="18"/>
              </w:rPr>
              <w:t>pdf-lib or react-pdf for CoA</w:t>
            </w:r>
          </w:p>
        </w:tc>
        <w:tc>
          <w:tcPr>
            <w:tcW w:type="dxa" w:w="2304"/>
          </w:tcPr>
          <w:p>
            <w:r>
              <w:rPr>
                <w:b/>
                <w:color w:val="2E7D32"/>
                <w:sz w:val="18"/>
              </w:rPr>
              <w:t>LOW</w:t>
            </w:r>
          </w:p>
        </w:tc>
      </w:tr>
      <w:tr>
        <w:tc>
          <w:tcPr>
            <w:tcW w:type="dxa" w:w="2592"/>
          </w:tcPr>
          <w:p>
            <w:r>
              <w:rPr>
                <w:color w:val="1A1F2E"/>
                <w:sz w:val="18"/>
              </w:rPr>
              <w:t>Testing</w:t>
            </w:r>
          </w:p>
        </w:tc>
        <w:tc>
          <w:tcPr>
            <w:tcW w:type="dxa" w:w="2592"/>
          </w:tcPr>
          <w:p>
            <w:r>
              <w:rPr>
                <w:color w:val="1A1F2E"/>
                <w:sz w:val="18"/>
              </w:rPr>
              <w:t>None</w:t>
            </w:r>
          </w:p>
        </w:tc>
        <w:tc>
          <w:tcPr>
            <w:tcW w:type="dxa" w:w="3168"/>
          </w:tcPr>
          <w:p>
            <w:r>
              <w:rPr>
                <w:color w:val="1A1F2E"/>
                <w:sz w:val="18"/>
              </w:rPr>
              <w:t>Vitest + Testing Library</w:t>
            </w:r>
          </w:p>
        </w:tc>
        <w:tc>
          <w:tcPr>
            <w:tcW w:type="dxa" w:w="2304"/>
          </w:tcPr>
          <w:p>
            <w:r>
              <w:rPr>
                <w:b/>
                <w:color w:val="E65C00"/>
                <w:sz w:val="18"/>
              </w:rPr>
              <w:t>MEDIUM</w:t>
            </w:r>
          </w:p>
        </w:tc>
      </w:tr>
      <w:tr>
        <w:tc>
          <w:tcPr>
            <w:tcW w:type="dxa" w:w="2592"/>
          </w:tcPr>
          <w:p>
            <w:r>
              <w:rPr>
                <w:color w:val="1A1F2E"/>
                <w:sz w:val="18"/>
              </w:rPr>
              <w:t>Real-time</w:t>
            </w:r>
          </w:p>
        </w:tc>
        <w:tc>
          <w:tcPr>
            <w:tcW w:type="dxa" w:w="2592"/>
          </w:tcPr>
          <w:p>
            <w:r>
              <w:rPr>
                <w:color w:val="1A1F2E"/>
                <w:sz w:val="18"/>
              </w:rPr>
              <w:t>None</w:t>
            </w:r>
          </w:p>
        </w:tc>
        <w:tc>
          <w:tcPr>
            <w:tcW w:type="dxa" w:w="3168"/>
          </w:tcPr>
          <w:p>
            <w:r>
              <w:rPr>
                <w:color w:val="1A1F2E"/>
                <w:sz w:val="18"/>
              </w:rPr>
              <w:t>WebSockets (SockJS + STOMP)</w:t>
            </w:r>
          </w:p>
        </w:tc>
        <w:tc>
          <w:tcPr>
            <w:tcW w:type="dxa" w:w="2304"/>
          </w:tcPr>
          <w:p>
            <w:r>
              <w:rPr>
                <w:b/>
                <w:color w:val="2E7D32"/>
                <w:sz w:val="18"/>
              </w:rPr>
              <w:t>LOW</w:t>
            </w:r>
          </w:p>
        </w:tc>
      </w:tr>
      <w:tr>
        <w:tc>
          <w:tcPr>
            <w:tcW w:type="dxa" w:w="2592"/>
          </w:tcPr>
          <w:p>
            <w:r>
              <w:rPr>
                <w:color w:val="1A1F2E"/>
                <w:sz w:val="18"/>
              </w:rPr>
              <w:t>Barcode</w:t>
            </w:r>
          </w:p>
        </w:tc>
        <w:tc>
          <w:tcPr>
            <w:tcW w:type="dxa" w:w="2592"/>
          </w:tcPr>
          <w:p>
            <w:r>
              <w:rPr>
                <w:color w:val="1A1F2E"/>
                <w:sz w:val="18"/>
              </w:rPr>
              <w:t>None</w:t>
            </w:r>
          </w:p>
        </w:tc>
        <w:tc>
          <w:tcPr>
            <w:tcW w:type="dxa" w:w="3168"/>
          </w:tcPr>
          <w:p>
            <w:r>
              <w:rPr>
                <w:color w:val="1A1F2E"/>
                <w:sz w:val="18"/>
              </w:rPr>
              <w:t>react-qr-code + JsBarcode</w:t>
            </w:r>
          </w:p>
        </w:tc>
        <w:tc>
          <w:tcPr>
            <w:tcW w:type="dxa" w:w="2304"/>
          </w:tcPr>
          <w:p>
            <w:r>
              <w:rPr>
                <w:b/>
                <w:color w:val="2E7D32"/>
                <w:sz w:val="18"/>
              </w:rPr>
              <w:t>LOW</w:t>
            </w:r>
          </w:p>
        </w:tc>
      </w:tr>
    </w:tbl>
    <w:p/>
    <w:p>
      <w:pPr>
        <w:spacing w:before="440" w:after="120"/>
        <w:pBdr>
          <w:bottom w:val="single" w:sz="6" w:space="4" w:color="008780"/>
        </w:pBdr>
      </w:pPr>
      <w:r>
        <w:rPr>
          <w:b/>
          <w:color w:val="008780"/>
          <w:sz w:val="22"/>
        </w:rPr>
        <w:t>8. PRIORITISED DEVELOPMENT ROADMAP</w:t>
      </w:r>
    </w:p>
    <w:p>
      <w:pPr>
        <w:spacing w:before="0" w:after="100"/>
      </w:pPr>
      <w:r>
        <w:rPr>
          <w:i/>
          <w:color w:val="5A6475"/>
          <w:sz w:val="20"/>
        </w:rPr>
        <w:t>The following phased plan balances regulatory necessity with practical delivery velocity.</w:t>
      </w:r>
    </w:p>
    <w:p>
      <w:pPr>
        <w:spacing w:before="280" w:after="60"/>
      </w:pPr>
      <w:r>
        <w:rPr>
          <w:b/>
          <w:color w:val="1A1F2E"/>
          <w:sz w:val="22"/>
        </w:rPr>
        <w:t>Phase 1 — Foundation Hardening (Weeks 1–4)</w:t>
      </w:r>
    </w:p>
    <w:p>
      <w:pPr>
        <w:spacing w:before="0" w:after="100"/>
      </w:pPr>
      <w:r>
        <w:rPr>
          <w:i w:val="0"/>
          <w:color w:val="1A1F2E"/>
          <w:sz w:val="20"/>
        </w:rPr>
        <w:t>Fix the architecture before adding new features. Technical debt compounds fast in a regulated system.</w:t>
      </w:r>
    </w:p>
    <w:tbl>
      <w:tblPr>
        <w:tblStyle w:val="TableGrid"/>
        <w:tblW w:type="auto" w:w="0"/>
        <w:jc w:val="left"/>
        <w:tblLook w:firstColumn="1" w:firstRow="1" w:lastColumn="0" w:lastRow="0" w:noHBand="0" w:noVBand="1" w:val="04A0"/>
      </w:tblPr>
      <w:tblGrid>
        <w:gridCol w:w="3024"/>
        <w:gridCol w:w="3024"/>
        <w:gridCol w:w="3024"/>
      </w:tblGrid>
      <w:tr>
        <w:tc>
          <w:tcPr>
            <w:tcW w:type="dxa" w:w="5472"/>
            <w:shd w:val="clear" w:color="auto" w:fill="E8F5F5"/>
            <w:vAlign w:val="center"/>
          </w:tcPr>
          <w:p>
            <w:r>
              <w:rPr>
                <w:b/>
                <w:color w:val="008780"/>
                <w:sz w:val="18"/>
              </w:rPr>
              <w:t>Task</w:t>
            </w:r>
          </w:p>
        </w:tc>
        <w:tc>
          <w:tcPr>
            <w:tcW w:type="dxa" w:w="1440"/>
            <w:shd w:val="clear" w:color="auto" w:fill="E8F5F5"/>
            <w:vAlign w:val="center"/>
          </w:tcPr>
          <w:p>
            <w:r>
              <w:rPr>
                <w:b/>
                <w:color w:val="008780"/>
                <w:sz w:val="18"/>
              </w:rPr>
              <w:t>Effort</w:t>
            </w:r>
          </w:p>
        </w:tc>
        <w:tc>
          <w:tcPr>
            <w:tcW w:type="dxa" w:w="3744"/>
            <w:shd w:val="clear" w:color="auto" w:fill="E8F5F5"/>
            <w:vAlign w:val="center"/>
          </w:tcPr>
          <w:p>
            <w:r>
              <w:rPr>
                <w:b/>
                <w:color w:val="008780"/>
                <w:sz w:val="18"/>
              </w:rPr>
              <w:t>Impact</w:t>
            </w:r>
          </w:p>
        </w:tc>
      </w:tr>
      <w:tr>
        <w:tc>
          <w:tcPr>
            <w:tcW w:type="dxa" w:w="5472"/>
          </w:tcPr>
          <w:p>
            <w:r>
              <w:rPr>
                <w:color w:val="1A1F2E"/>
                <w:sz w:val="18"/>
              </w:rPr>
              <w:t>Install TanStack Query, replace all useEffect fetching</w:t>
            </w:r>
          </w:p>
        </w:tc>
        <w:tc>
          <w:tcPr>
            <w:tcW w:type="dxa" w:w="1440"/>
          </w:tcPr>
          <w:p>
            <w:r>
              <w:rPr>
                <w:color w:val="1A1F2E"/>
                <w:sz w:val="18"/>
              </w:rPr>
              <w:t>3 days</w:t>
            </w:r>
          </w:p>
        </w:tc>
        <w:tc>
          <w:tcPr>
            <w:tcW w:type="dxa" w:w="3744"/>
          </w:tcPr>
          <w:p>
            <w:r>
              <w:rPr>
                <w:color w:val="1A1F2E"/>
                <w:sz w:val="18"/>
              </w:rPr>
              <w:t>Eliminates bugs, adds caching</w:t>
            </w:r>
          </w:p>
        </w:tc>
      </w:tr>
      <w:tr>
        <w:tc>
          <w:tcPr>
            <w:tcW w:type="dxa" w:w="5472"/>
          </w:tcPr>
          <w:p>
            <w:r>
              <w:rPr>
                <w:color w:val="1A1F2E"/>
                <w:sz w:val="18"/>
              </w:rPr>
              <w:t>Split MasterDataPage.tsx into 6–8 sub-pages</w:t>
            </w:r>
          </w:p>
        </w:tc>
        <w:tc>
          <w:tcPr>
            <w:tcW w:type="dxa" w:w="1440"/>
          </w:tcPr>
          <w:p>
            <w:r>
              <w:rPr>
                <w:color w:val="1A1F2E"/>
                <w:sz w:val="18"/>
              </w:rPr>
              <w:t>2 days</w:t>
            </w:r>
          </w:p>
        </w:tc>
        <w:tc>
          <w:tcPr>
            <w:tcW w:type="dxa" w:w="3744"/>
          </w:tcPr>
          <w:p>
            <w:r>
              <w:rPr>
                <w:color w:val="1A1F2E"/>
                <w:sz w:val="18"/>
              </w:rPr>
              <w:t>Maintainability, bundle splitting</w:t>
            </w:r>
          </w:p>
        </w:tc>
      </w:tr>
      <w:tr>
        <w:tc>
          <w:tcPr>
            <w:tcW w:type="dxa" w:w="5472"/>
          </w:tcPr>
          <w:p>
            <w:r>
              <w:rPr>
                <w:color w:val="1A1F2E"/>
                <w:sz w:val="18"/>
              </w:rPr>
              <w:t>Split GrnPage.tsx into GrnList, GrnCreate, GrnDetail</w:t>
            </w:r>
          </w:p>
        </w:tc>
        <w:tc>
          <w:tcPr>
            <w:tcW w:type="dxa" w:w="1440"/>
          </w:tcPr>
          <w:p>
            <w:r>
              <w:rPr>
                <w:color w:val="1A1F2E"/>
                <w:sz w:val="18"/>
              </w:rPr>
              <w:t>2 days</w:t>
            </w:r>
          </w:p>
        </w:tc>
        <w:tc>
          <w:tcPr>
            <w:tcW w:type="dxa" w:w="3744"/>
          </w:tcPr>
          <w:p>
            <w:r>
              <w:rPr>
                <w:color w:val="1A1F2E"/>
                <w:sz w:val="18"/>
              </w:rPr>
              <w:t>Readability, testability</w:t>
            </w:r>
          </w:p>
        </w:tc>
      </w:tr>
      <w:tr>
        <w:tc>
          <w:tcPr>
            <w:tcW w:type="dxa" w:w="5472"/>
          </w:tcPr>
          <w:p>
            <w:r>
              <w:rPr>
                <w:color w:val="1A1F2E"/>
                <w:sz w:val="18"/>
              </w:rPr>
              <w:t>Add React Error Boundary on each route</w:t>
            </w:r>
          </w:p>
        </w:tc>
        <w:tc>
          <w:tcPr>
            <w:tcW w:type="dxa" w:w="1440"/>
          </w:tcPr>
          <w:p>
            <w:r>
              <w:rPr>
                <w:color w:val="1A1F2E"/>
                <w:sz w:val="18"/>
              </w:rPr>
              <w:t>0.5 days</w:t>
            </w:r>
          </w:p>
        </w:tc>
        <w:tc>
          <w:tcPr>
            <w:tcW w:type="dxa" w:w="3744"/>
          </w:tcPr>
          <w:p>
            <w:r>
              <w:rPr>
                <w:color w:val="1A1F2E"/>
                <w:sz w:val="18"/>
              </w:rPr>
              <w:t>Prevents full-app crashes</w:t>
            </w:r>
          </w:p>
        </w:tc>
      </w:tr>
      <w:tr>
        <w:tc>
          <w:tcPr>
            <w:tcW w:type="dxa" w:w="5472"/>
          </w:tcPr>
          <w:p>
            <w:r>
              <w:rPr>
                <w:color w:val="1A1F2E"/>
                <w:sz w:val="18"/>
              </w:rPr>
              <w:t>Add toast/notification system (Sonner)</w:t>
            </w:r>
          </w:p>
        </w:tc>
        <w:tc>
          <w:tcPr>
            <w:tcW w:type="dxa" w:w="1440"/>
          </w:tcPr>
          <w:p>
            <w:r>
              <w:rPr>
                <w:color w:val="1A1F2E"/>
                <w:sz w:val="18"/>
              </w:rPr>
              <w:t>0.5 days</w:t>
            </w:r>
          </w:p>
        </w:tc>
        <w:tc>
          <w:tcPr>
            <w:tcW w:type="dxa" w:w="3744"/>
          </w:tcPr>
          <w:p>
            <w:r>
              <w:rPr>
                <w:color w:val="1A1F2E"/>
                <w:sz w:val="18"/>
              </w:rPr>
              <w:t>Better UX across all pages</w:t>
            </w:r>
          </w:p>
        </w:tc>
      </w:tr>
      <w:tr>
        <w:tc>
          <w:tcPr>
            <w:tcW w:type="dxa" w:w="5472"/>
          </w:tcPr>
          <w:p>
            <w:r>
              <w:rPr>
                <w:color w:val="1A1F2E"/>
                <w:sz w:val="18"/>
              </w:rPr>
              <w:t>Add React Hook Form + Zod to GRN and Sampling forms</w:t>
            </w:r>
          </w:p>
        </w:tc>
        <w:tc>
          <w:tcPr>
            <w:tcW w:type="dxa" w:w="1440"/>
          </w:tcPr>
          <w:p>
            <w:r>
              <w:rPr>
                <w:color w:val="1A1F2E"/>
                <w:sz w:val="18"/>
              </w:rPr>
              <w:t>3 days</w:t>
            </w:r>
          </w:p>
        </w:tc>
        <w:tc>
          <w:tcPr>
            <w:tcW w:type="dxa" w:w="3744"/>
          </w:tcPr>
          <w:p>
            <w:r>
              <w:rPr>
                <w:color w:val="1A1F2E"/>
                <w:sz w:val="18"/>
              </w:rPr>
              <w:t>Data quality, validation clarity</w:t>
            </w:r>
          </w:p>
        </w:tc>
      </w:tr>
      <w:tr>
        <w:tc>
          <w:tcPr>
            <w:tcW w:type="dxa" w:w="5472"/>
          </w:tcPr>
          <w:p>
            <w:r>
              <w:rPr>
                <w:color w:val="1A1F2E"/>
                <w:sz w:val="18"/>
              </w:rPr>
              <w:t>Implement RBAC skeleton (role context + route guards)</w:t>
            </w:r>
          </w:p>
        </w:tc>
        <w:tc>
          <w:tcPr>
            <w:tcW w:type="dxa" w:w="1440"/>
          </w:tcPr>
          <w:p>
            <w:r>
              <w:rPr>
                <w:color w:val="1A1F2E"/>
                <w:sz w:val="18"/>
              </w:rPr>
              <w:t>2 days</w:t>
            </w:r>
          </w:p>
        </w:tc>
        <w:tc>
          <w:tcPr>
            <w:tcW w:type="dxa" w:w="3744"/>
          </w:tcPr>
          <w:p>
            <w:r>
              <w:rPr>
                <w:color w:val="1A1F2E"/>
                <w:sz w:val="18"/>
              </w:rPr>
              <w:t>Security foundation</w:t>
            </w:r>
          </w:p>
        </w:tc>
      </w:tr>
      <w:tr>
        <w:tc>
          <w:tcPr>
            <w:tcW w:type="dxa" w:w="5472"/>
          </w:tcPr>
          <w:p>
            <w:r>
              <w:rPr>
                <w:color w:val="1A1F2E"/>
                <w:sz w:val="18"/>
              </w:rPr>
              <w:t>Add audit log endpoint on backend; wire to all mutations</w:t>
            </w:r>
          </w:p>
        </w:tc>
        <w:tc>
          <w:tcPr>
            <w:tcW w:type="dxa" w:w="1440"/>
          </w:tcPr>
          <w:p>
            <w:r>
              <w:rPr>
                <w:color w:val="1A1F2E"/>
                <w:sz w:val="18"/>
              </w:rPr>
              <w:t>3 days</w:t>
            </w:r>
          </w:p>
        </w:tc>
        <w:tc>
          <w:tcPr>
            <w:tcW w:type="dxa" w:w="3744"/>
          </w:tcPr>
          <w:p>
            <w:r>
              <w:rPr>
                <w:color w:val="1A1F2E"/>
                <w:sz w:val="18"/>
              </w:rPr>
              <w:t>Regulatory requirement</w:t>
            </w:r>
          </w:p>
        </w:tc>
      </w:tr>
    </w:tbl>
    <w:p/>
    <w:p>
      <w:pPr>
        <w:spacing w:before="280" w:after="60"/>
      </w:pPr>
      <w:r>
        <w:rPr>
          <w:b/>
          <w:color w:val="1A1F2E"/>
          <w:sz w:val="22"/>
        </w:rPr>
        <w:t>Phase 2 — Complete Existing Modules (Weeks 5–10)</w:t>
      </w:r>
    </w:p>
    <w:tbl>
      <w:tblPr>
        <w:tblStyle w:val="TableGrid"/>
        <w:tblW w:type="auto" w:w="0"/>
        <w:jc w:val="left"/>
        <w:tblLook w:firstColumn="1" w:firstRow="1" w:lastColumn="0" w:lastRow="0" w:noHBand="0" w:noVBand="1" w:val="04A0"/>
      </w:tblPr>
      <w:tblGrid>
        <w:gridCol w:w="3024"/>
        <w:gridCol w:w="3024"/>
        <w:gridCol w:w="3024"/>
      </w:tblGrid>
      <w:tr>
        <w:tc>
          <w:tcPr>
            <w:tcW w:type="dxa" w:w="5472"/>
            <w:shd w:val="clear" w:color="auto" w:fill="E8F5F5"/>
            <w:vAlign w:val="center"/>
          </w:tcPr>
          <w:p>
            <w:r>
              <w:rPr>
                <w:b/>
                <w:color w:val="008780"/>
                <w:sz w:val="18"/>
              </w:rPr>
              <w:t>Task</w:t>
            </w:r>
          </w:p>
        </w:tc>
        <w:tc>
          <w:tcPr>
            <w:tcW w:type="dxa" w:w="1440"/>
            <w:shd w:val="clear" w:color="auto" w:fill="E8F5F5"/>
            <w:vAlign w:val="center"/>
          </w:tcPr>
          <w:p>
            <w:r>
              <w:rPr>
                <w:b/>
                <w:color w:val="008780"/>
                <w:sz w:val="18"/>
              </w:rPr>
              <w:t>Effort</w:t>
            </w:r>
          </w:p>
        </w:tc>
        <w:tc>
          <w:tcPr>
            <w:tcW w:type="dxa" w:w="3744"/>
            <w:shd w:val="clear" w:color="auto" w:fill="E8F5F5"/>
            <w:vAlign w:val="center"/>
          </w:tcPr>
          <w:p>
            <w:r>
              <w:rPr>
                <w:b/>
                <w:color w:val="008780"/>
                <w:sz w:val="18"/>
              </w:rPr>
              <w:t>Impact</w:t>
            </w:r>
          </w:p>
        </w:tc>
      </w:tr>
      <w:tr>
        <w:tc>
          <w:tcPr>
            <w:tcW w:type="dxa" w:w="5472"/>
          </w:tcPr>
          <w:p>
            <w:r>
              <w:rPr>
                <w:color w:val="1A1F2E"/>
                <w:sz w:val="18"/>
              </w:rPr>
              <w:t>GRN: Add multi-item support per GRN</w:t>
            </w:r>
          </w:p>
        </w:tc>
        <w:tc>
          <w:tcPr>
            <w:tcW w:type="dxa" w:w="1440"/>
          </w:tcPr>
          <w:p>
            <w:r>
              <w:rPr>
                <w:color w:val="1A1F2E"/>
                <w:sz w:val="18"/>
              </w:rPr>
              <w:t>3 days</w:t>
            </w:r>
          </w:p>
        </w:tc>
        <w:tc>
          <w:tcPr>
            <w:tcW w:type="dxa" w:w="3744"/>
          </w:tcPr>
          <w:p>
            <w:r>
              <w:rPr>
                <w:color w:val="1A1F2E"/>
                <w:sz w:val="18"/>
              </w:rPr>
              <w:t>Real-world GRN accuracy</w:t>
            </w:r>
          </w:p>
        </w:tc>
      </w:tr>
      <w:tr>
        <w:tc>
          <w:tcPr>
            <w:tcW w:type="dxa" w:w="5472"/>
          </w:tcPr>
          <w:p>
            <w:r>
              <w:rPr>
                <w:color w:val="1A1F2E"/>
                <w:sz w:val="18"/>
              </w:rPr>
              <w:t>GRN: Add pallet label printing (GS1 barcode)</w:t>
            </w:r>
          </w:p>
        </w:tc>
        <w:tc>
          <w:tcPr>
            <w:tcW w:type="dxa" w:w="1440"/>
          </w:tcPr>
          <w:p>
            <w:r>
              <w:rPr>
                <w:color w:val="1A1F2E"/>
                <w:sz w:val="18"/>
              </w:rPr>
              <w:t>2 days</w:t>
            </w:r>
          </w:p>
        </w:tc>
        <w:tc>
          <w:tcPr>
            <w:tcW w:type="dxa" w:w="3744"/>
          </w:tcPr>
          <w:p>
            <w:r>
              <w:rPr>
                <w:color w:val="1A1F2E"/>
                <w:sz w:val="18"/>
              </w:rPr>
              <w:t>Warehouse operations</w:t>
            </w:r>
          </w:p>
        </w:tc>
      </w:tr>
      <w:tr>
        <w:tc>
          <w:tcPr>
            <w:tcW w:type="dxa" w:w="5472"/>
          </w:tcPr>
          <w:p>
            <w:r>
              <w:rPr>
                <w:color w:val="1A1F2E"/>
                <w:sz w:val="18"/>
              </w:rPr>
              <w:t>Inventory: Stock transfer, bin card view, cycle count</w:t>
            </w:r>
          </w:p>
        </w:tc>
        <w:tc>
          <w:tcPr>
            <w:tcW w:type="dxa" w:w="1440"/>
          </w:tcPr>
          <w:p>
            <w:r>
              <w:rPr>
                <w:color w:val="1A1F2E"/>
                <w:sz w:val="18"/>
              </w:rPr>
              <w:t>5 days</w:t>
            </w:r>
          </w:p>
        </w:tc>
        <w:tc>
          <w:tcPr>
            <w:tcW w:type="dxa" w:w="3744"/>
          </w:tcPr>
          <w:p>
            <w:r>
              <w:rPr>
                <w:color w:val="1A1F2E"/>
                <w:sz w:val="18"/>
              </w:rPr>
              <w:t>Operational completeness</w:t>
            </w:r>
          </w:p>
        </w:tc>
      </w:tr>
      <w:tr>
        <w:tc>
          <w:tcPr>
            <w:tcW w:type="dxa" w:w="5472"/>
          </w:tcPr>
          <w:p>
            <w:r>
              <w:rPr>
                <w:color w:val="1A1F2E"/>
                <w:sz w:val="18"/>
              </w:rPr>
              <w:t>Inventory: Reorder alerts, stock reservation for sampling</w:t>
            </w:r>
          </w:p>
        </w:tc>
        <w:tc>
          <w:tcPr>
            <w:tcW w:type="dxa" w:w="1440"/>
          </w:tcPr>
          <w:p>
            <w:r>
              <w:rPr>
                <w:color w:val="1A1F2E"/>
                <w:sz w:val="18"/>
              </w:rPr>
              <w:t>2 days</w:t>
            </w:r>
          </w:p>
        </w:tc>
        <w:tc>
          <w:tcPr>
            <w:tcW w:type="dxa" w:w="3744"/>
          </w:tcPr>
          <w:p>
            <w:r>
              <w:rPr>
                <w:color w:val="1A1F2E"/>
                <w:sz w:val="18"/>
              </w:rPr>
              <w:t>Supply chain visibility</w:t>
            </w:r>
          </w:p>
        </w:tc>
      </w:tr>
      <w:tr>
        <w:tc>
          <w:tcPr>
            <w:tcW w:type="dxa" w:w="5472"/>
          </w:tcPr>
          <w:p>
            <w:r>
              <w:rPr>
                <w:color w:val="1A1F2E"/>
                <w:sz w:val="18"/>
              </w:rPr>
              <w:t>Sampling: Result entry form per test parameter</w:t>
            </w:r>
          </w:p>
        </w:tc>
        <w:tc>
          <w:tcPr>
            <w:tcW w:type="dxa" w:w="1440"/>
          </w:tcPr>
          <w:p>
            <w:r>
              <w:rPr>
                <w:color w:val="1A1F2E"/>
                <w:sz w:val="18"/>
              </w:rPr>
              <w:t>3 days</w:t>
            </w:r>
          </w:p>
        </w:tc>
        <w:tc>
          <w:tcPr>
            <w:tcW w:type="dxa" w:w="3744"/>
          </w:tcPr>
          <w:p>
            <w:r>
              <w:rPr>
                <w:color w:val="1A1F2E"/>
                <w:sz w:val="18"/>
              </w:rPr>
              <w:t>Sampling to LIMS bridge</w:t>
            </w:r>
          </w:p>
        </w:tc>
      </w:tr>
      <w:tr>
        <w:tc>
          <w:tcPr>
            <w:tcW w:type="dxa" w:w="5472"/>
          </w:tcPr>
          <w:p>
            <w:r>
              <w:rPr>
                <w:color w:val="1A1F2E"/>
                <w:sz w:val="18"/>
              </w:rPr>
              <w:t>Sampling: CoA draft generation from approved results</w:t>
            </w:r>
          </w:p>
        </w:tc>
        <w:tc>
          <w:tcPr>
            <w:tcW w:type="dxa" w:w="1440"/>
          </w:tcPr>
          <w:p>
            <w:r>
              <w:rPr>
                <w:color w:val="1A1F2E"/>
                <w:sz w:val="18"/>
              </w:rPr>
              <w:t>4 days</w:t>
            </w:r>
          </w:p>
        </w:tc>
        <w:tc>
          <w:tcPr>
            <w:tcW w:type="dxa" w:w="3744"/>
          </w:tcPr>
          <w:p>
            <w:r>
              <w:rPr>
                <w:color w:val="1A1F2E"/>
                <w:sz w:val="18"/>
              </w:rPr>
              <w:t>Release workflow</w:t>
            </w:r>
          </w:p>
        </w:tc>
      </w:tr>
      <w:tr>
        <w:tc>
          <w:tcPr>
            <w:tcW w:type="dxa" w:w="5472"/>
          </w:tcPr>
          <w:p>
            <w:r>
              <w:rPr>
                <w:color w:val="1A1F2E"/>
                <w:sz w:val="18"/>
              </w:rPr>
              <w:t>Dashboard: Wire all KPI cards to live API counts</w:t>
            </w:r>
          </w:p>
        </w:tc>
        <w:tc>
          <w:tcPr>
            <w:tcW w:type="dxa" w:w="1440"/>
          </w:tcPr>
          <w:p>
            <w:r>
              <w:rPr>
                <w:color w:val="1A1F2E"/>
                <w:sz w:val="18"/>
              </w:rPr>
              <w:t>2 days</w:t>
            </w:r>
          </w:p>
        </w:tc>
        <w:tc>
          <w:tcPr>
            <w:tcW w:type="dxa" w:w="3744"/>
          </w:tcPr>
          <w:p>
            <w:r>
              <w:rPr>
                <w:color w:val="1A1F2E"/>
                <w:sz w:val="18"/>
              </w:rPr>
              <w:t>Operational value</w:t>
            </w:r>
          </w:p>
        </w:tc>
      </w:tr>
      <w:tr>
        <w:tc>
          <w:tcPr>
            <w:tcW w:type="dxa" w:w="5472"/>
          </w:tcPr>
          <w:p>
            <w:r>
              <w:rPr>
                <w:color w:val="1A1F2E"/>
                <w:sz w:val="18"/>
              </w:rPr>
              <w:t>Vendor Qualification: Full module build</w:t>
            </w:r>
          </w:p>
        </w:tc>
        <w:tc>
          <w:tcPr>
            <w:tcW w:type="dxa" w:w="1440"/>
          </w:tcPr>
          <w:p>
            <w:r>
              <w:rPr>
                <w:color w:val="1A1F2E"/>
                <w:sz w:val="18"/>
              </w:rPr>
              <w:t>8 days</w:t>
            </w:r>
          </w:p>
        </w:tc>
        <w:tc>
          <w:tcPr>
            <w:tcW w:type="dxa" w:w="3744"/>
          </w:tcPr>
          <w:p>
            <w:r>
              <w:rPr>
                <w:color w:val="1A1F2E"/>
                <w:sz w:val="18"/>
              </w:rPr>
              <w:t>GMP compliance</w:t>
            </w:r>
          </w:p>
        </w:tc>
      </w:tr>
    </w:tbl>
    <w:p/>
    <w:p>
      <w:pPr>
        <w:spacing w:before="280" w:after="60"/>
      </w:pPr>
      <w:r>
        <w:rPr>
          <w:b/>
          <w:color w:val="1A1F2E"/>
          <w:sz w:val="22"/>
        </w:rPr>
        <w:t>Phase 3 — QMS Module (Weeks 11–18)</w:t>
      </w:r>
    </w:p>
    <w:tbl>
      <w:tblPr>
        <w:tblStyle w:val="TableGrid"/>
        <w:tblW w:type="auto" w:w="0"/>
        <w:jc w:val="left"/>
        <w:tblLook w:firstColumn="1" w:firstRow="1" w:lastColumn="0" w:lastRow="0" w:noHBand="0" w:noVBand="1" w:val="04A0"/>
      </w:tblPr>
      <w:tblGrid>
        <w:gridCol w:w="3024"/>
        <w:gridCol w:w="3024"/>
        <w:gridCol w:w="3024"/>
      </w:tblGrid>
      <w:tr>
        <w:tc>
          <w:tcPr>
            <w:tcW w:type="dxa" w:w="5472"/>
            <w:shd w:val="clear" w:color="auto" w:fill="E8F5F5"/>
            <w:vAlign w:val="center"/>
          </w:tcPr>
          <w:p>
            <w:r>
              <w:rPr>
                <w:b/>
                <w:color w:val="008780"/>
                <w:sz w:val="18"/>
              </w:rPr>
              <w:t>Task</w:t>
            </w:r>
          </w:p>
        </w:tc>
        <w:tc>
          <w:tcPr>
            <w:tcW w:type="dxa" w:w="1440"/>
            <w:shd w:val="clear" w:color="auto" w:fill="E8F5F5"/>
            <w:vAlign w:val="center"/>
          </w:tcPr>
          <w:p>
            <w:r>
              <w:rPr>
                <w:b/>
                <w:color w:val="008780"/>
                <w:sz w:val="18"/>
              </w:rPr>
              <w:t>Effort</w:t>
            </w:r>
          </w:p>
        </w:tc>
        <w:tc>
          <w:tcPr>
            <w:tcW w:type="dxa" w:w="3744"/>
            <w:shd w:val="clear" w:color="auto" w:fill="E8F5F5"/>
            <w:vAlign w:val="center"/>
          </w:tcPr>
          <w:p>
            <w:r>
              <w:rPr>
                <w:b/>
                <w:color w:val="008780"/>
                <w:sz w:val="18"/>
              </w:rPr>
              <w:t>Impact</w:t>
            </w:r>
          </w:p>
        </w:tc>
      </w:tr>
      <w:tr>
        <w:tc>
          <w:tcPr>
            <w:tcW w:type="dxa" w:w="5472"/>
          </w:tcPr>
          <w:p>
            <w:r>
              <w:rPr>
                <w:color w:val="1A1F2E"/>
                <w:sz w:val="18"/>
              </w:rPr>
              <w:t>Deviation management (create, investigate, close)</w:t>
            </w:r>
          </w:p>
        </w:tc>
        <w:tc>
          <w:tcPr>
            <w:tcW w:type="dxa" w:w="1440"/>
          </w:tcPr>
          <w:p>
            <w:r>
              <w:rPr>
                <w:color w:val="1A1F2E"/>
                <w:sz w:val="18"/>
              </w:rPr>
              <w:t>6 days</w:t>
            </w:r>
          </w:p>
        </w:tc>
        <w:tc>
          <w:tcPr>
            <w:tcW w:type="dxa" w:w="3744"/>
          </w:tcPr>
          <w:p>
            <w:r>
              <w:rPr>
                <w:color w:val="1A1F2E"/>
                <w:sz w:val="18"/>
              </w:rPr>
              <w:t>Regulatory audit trail</w:t>
            </w:r>
          </w:p>
        </w:tc>
      </w:tr>
      <w:tr>
        <w:tc>
          <w:tcPr>
            <w:tcW w:type="dxa" w:w="5472"/>
          </w:tcPr>
          <w:p>
            <w:r>
              <w:rPr>
                <w:color w:val="1A1F2E"/>
                <w:sz w:val="18"/>
              </w:rPr>
              <w:t>CAPA management with effectiveness tracking</w:t>
            </w:r>
          </w:p>
        </w:tc>
        <w:tc>
          <w:tcPr>
            <w:tcW w:type="dxa" w:w="1440"/>
          </w:tcPr>
          <w:p>
            <w:r>
              <w:rPr>
                <w:color w:val="1A1F2E"/>
                <w:sz w:val="18"/>
              </w:rPr>
              <w:t>5 days</w:t>
            </w:r>
          </w:p>
        </w:tc>
        <w:tc>
          <w:tcPr>
            <w:tcW w:type="dxa" w:w="3744"/>
          </w:tcPr>
          <w:p>
            <w:r>
              <w:rPr>
                <w:color w:val="1A1F2E"/>
                <w:sz w:val="18"/>
              </w:rPr>
              <w:t>Corrective action control</w:t>
            </w:r>
          </w:p>
        </w:tc>
      </w:tr>
      <w:tr>
        <w:tc>
          <w:tcPr>
            <w:tcW w:type="dxa" w:w="5472"/>
          </w:tcPr>
          <w:p>
            <w:r>
              <w:rPr>
                <w:color w:val="1A1F2E"/>
                <w:sz w:val="18"/>
              </w:rPr>
              <w:t>Change Control workflow</w:t>
            </w:r>
          </w:p>
        </w:tc>
        <w:tc>
          <w:tcPr>
            <w:tcW w:type="dxa" w:w="1440"/>
          </w:tcPr>
          <w:p>
            <w:r>
              <w:rPr>
                <w:color w:val="1A1F2E"/>
                <w:sz w:val="18"/>
              </w:rPr>
              <w:t>4 days</w:t>
            </w:r>
          </w:p>
        </w:tc>
        <w:tc>
          <w:tcPr>
            <w:tcW w:type="dxa" w:w="3744"/>
          </w:tcPr>
          <w:p>
            <w:r>
              <w:rPr>
                <w:color w:val="1A1F2E"/>
                <w:sz w:val="18"/>
              </w:rPr>
              <w:t>Change management</w:t>
            </w:r>
          </w:p>
        </w:tc>
      </w:tr>
      <w:tr>
        <w:tc>
          <w:tcPr>
            <w:tcW w:type="dxa" w:w="5472"/>
          </w:tcPr>
          <w:p>
            <w:r>
              <w:rPr>
                <w:color w:val="1A1F2E"/>
                <w:sz w:val="18"/>
              </w:rPr>
              <w:t>SOP / Document register with version control</w:t>
            </w:r>
          </w:p>
        </w:tc>
        <w:tc>
          <w:tcPr>
            <w:tcW w:type="dxa" w:w="1440"/>
          </w:tcPr>
          <w:p>
            <w:r>
              <w:rPr>
                <w:color w:val="1A1F2E"/>
                <w:sz w:val="18"/>
              </w:rPr>
              <w:t>5 days</w:t>
            </w:r>
          </w:p>
        </w:tc>
        <w:tc>
          <w:tcPr>
            <w:tcW w:type="dxa" w:w="3744"/>
          </w:tcPr>
          <w:p>
            <w:r>
              <w:rPr>
                <w:color w:val="1A1F2E"/>
                <w:sz w:val="18"/>
              </w:rPr>
              <w:t>Document control</w:t>
            </w:r>
          </w:p>
        </w:tc>
      </w:tr>
      <w:tr>
        <w:tc>
          <w:tcPr>
            <w:tcW w:type="dxa" w:w="5472"/>
          </w:tcPr>
          <w:p>
            <w:r>
              <w:rPr>
                <w:color w:val="1A1F2E"/>
                <w:sz w:val="18"/>
              </w:rPr>
              <w:t>E-signature implementation (re-auth with meaning text)</w:t>
            </w:r>
          </w:p>
        </w:tc>
        <w:tc>
          <w:tcPr>
            <w:tcW w:type="dxa" w:w="1440"/>
          </w:tcPr>
          <w:p>
            <w:r>
              <w:rPr>
                <w:color w:val="1A1F2E"/>
                <w:sz w:val="18"/>
              </w:rPr>
              <w:t>4 days</w:t>
            </w:r>
          </w:p>
        </w:tc>
        <w:tc>
          <w:tcPr>
            <w:tcW w:type="dxa" w:w="3744"/>
          </w:tcPr>
          <w:p>
            <w:r>
              <w:rPr>
                <w:color w:val="1A1F2E"/>
                <w:sz w:val="18"/>
              </w:rPr>
              <w:t>21 CFR Part 11</w:t>
            </w:r>
          </w:p>
        </w:tc>
      </w:tr>
      <w:tr>
        <w:tc>
          <w:tcPr>
            <w:tcW w:type="dxa" w:w="5472"/>
          </w:tcPr>
          <w:p>
            <w:r>
              <w:rPr>
                <w:color w:val="1A1F2E"/>
                <w:sz w:val="18"/>
              </w:rPr>
              <w:t>QMS Dashboard: Open deviations, overdue CAPAs, pending changes</w:t>
            </w:r>
          </w:p>
        </w:tc>
        <w:tc>
          <w:tcPr>
            <w:tcW w:type="dxa" w:w="1440"/>
          </w:tcPr>
          <w:p>
            <w:r>
              <w:rPr>
                <w:color w:val="1A1F2E"/>
                <w:sz w:val="18"/>
              </w:rPr>
              <w:t>3 days</w:t>
            </w:r>
          </w:p>
        </w:tc>
        <w:tc>
          <w:tcPr>
            <w:tcW w:type="dxa" w:w="3744"/>
          </w:tcPr>
          <w:p>
            <w:r>
              <w:rPr>
                <w:color w:val="1A1F2E"/>
                <w:sz w:val="18"/>
              </w:rPr>
              <w:t>Quality oversight</w:t>
            </w:r>
          </w:p>
        </w:tc>
      </w:tr>
    </w:tbl>
    <w:p/>
    <w:p>
      <w:pPr>
        <w:spacing w:before="280" w:after="60"/>
      </w:pPr>
      <w:r>
        <w:rPr>
          <w:b/>
          <w:color w:val="1A1F2E"/>
          <w:sz w:val="22"/>
        </w:rPr>
        <w:t>Phase 4 — LIMS Module (Weeks 19–28)</w:t>
      </w:r>
    </w:p>
    <w:tbl>
      <w:tblPr>
        <w:tblStyle w:val="TableGrid"/>
        <w:tblW w:type="auto" w:w="0"/>
        <w:jc w:val="left"/>
        <w:tblLook w:firstColumn="1" w:firstRow="1" w:lastColumn="0" w:lastRow="0" w:noHBand="0" w:noVBand="1" w:val="04A0"/>
      </w:tblPr>
      <w:tblGrid>
        <w:gridCol w:w="3024"/>
        <w:gridCol w:w="3024"/>
        <w:gridCol w:w="3024"/>
      </w:tblGrid>
      <w:tr>
        <w:tc>
          <w:tcPr>
            <w:tcW w:type="dxa" w:w="5472"/>
            <w:shd w:val="clear" w:color="auto" w:fill="E8F5F5"/>
            <w:vAlign w:val="center"/>
          </w:tcPr>
          <w:p>
            <w:r>
              <w:rPr>
                <w:b/>
                <w:color w:val="008780"/>
                <w:sz w:val="18"/>
              </w:rPr>
              <w:t>Task</w:t>
            </w:r>
          </w:p>
        </w:tc>
        <w:tc>
          <w:tcPr>
            <w:tcW w:type="dxa" w:w="1440"/>
            <w:shd w:val="clear" w:color="auto" w:fill="E8F5F5"/>
            <w:vAlign w:val="center"/>
          </w:tcPr>
          <w:p>
            <w:r>
              <w:rPr>
                <w:b/>
                <w:color w:val="008780"/>
                <w:sz w:val="18"/>
              </w:rPr>
              <w:t>Effort</w:t>
            </w:r>
          </w:p>
        </w:tc>
        <w:tc>
          <w:tcPr>
            <w:tcW w:type="dxa" w:w="3744"/>
            <w:shd w:val="clear" w:color="auto" w:fill="E8F5F5"/>
            <w:vAlign w:val="center"/>
          </w:tcPr>
          <w:p>
            <w:r>
              <w:rPr>
                <w:b/>
                <w:color w:val="008780"/>
                <w:sz w:val="18"/>
              </w:rPr>
              <w:t>Impact</w:t>
            </w:r>
          </w:p>
        </w:tc>
      </w:tr>
      <w:tr>
        <w:tc>
          <w:tcPr>
            <w:tcW w:type="dxa" w:w="5472"/>
          </w:tcPr>
          <w:p>
            <w:r>
              <w:rPr>
                <w:color w:val="1A1F2E"/>
                <w:sz w:val="18"/>
              </w:rPr>
              <w:t>Work order management and analyst assignment</w:t>
            </w:r>
          </w:p>
        </w:tc>
        <w:tc>
          <w:tcPr>
            <w:tcW w:type="dxa" w:w="1440"/>
          </w:tcPr>
          <w:p>
            <w:r>
              <w:rPr>
                <w:color w:val="1A1F2E"/>
                <w:sz w:val="18"/>
              </w:rPr>
              <w:t>4 days</w:t>
            </w:r>
          </w:p>
        </w:tc>
        <w:tc>
          <w:tcPr>
            <w:tcW w:type="dxa" w:w="3744"/>
          </w:tcPr>
          <w:p>
            <w:r>
              <w:rPr>
                <w:color w:val="1A1F2E"/>
                <w:sz w:val="18"/>
              </w:rPr>
              <w:t>Lab workflow</w:t>
            </w:r>
          </w:p>
        </w:tc>
      </w:tr>
      <w:tr>
        <w:tc>
          <w:tcPr>
            <w:tcW w:type="dxa" w:w="5472"/>
          </w:tcPr>
          <w:p>
            <w:r>
              <w:rPr>
                <w:color w:val="1A1F2E"/>
                <w:sz w:val="18"/>
              </w:rPr>
              <w:t>Test result entry with auto pass/fail evaluation</w:t>
            </w:r>
          </w:p>
        </w:tc>
        <w:tc>
          <w:tcPr>
            <w:tcW w:type="dxa" w:w="1440"/>
          </w:tcPr>
          <w:p>
            <w:r>
              <w:rPr>
                <w:color w:val="1A1F2E"/>
                <w:sz w:val="18"/>
              </w:rPr>
              <w:t>5 days</w:t>
            </w:r>
          </w:p>
        </w:tc>
        <w:tc>
          <w:tcPr>
            <w:tcW w:type="dxa" w:w="3744"/>
          </w:tcPr>
          <w:p>
            <w:r>
              <w:rPr>
                <w:color w:val="1A1F2E"/>
                <w:sz w:val="18"/>
              </w:rPr>
              <w:t>Core LIMS function</w:t>
            </w:r>
          </w:p>
        </w:tc>
      </w:tr>
      <w:tr>
        <w:tc>
          <w:tcPr>
            <w:tcW w:type="dxa" w:w="5472"/>
          </w:tcPr>
          <w:p>
            <w:r>
              <w:rPr>
                <w:color w:val="1A1F2E"/>
                <w:sz w:val="18"/>
              </w:rPr>
              <w:t>OOS investigation workflow (Phase 1 and Phase 2)</w:t>
            </w:r>
          </w:p>
        </w:tc>
        <w:tc>
          <w:tcPr>
            <w:tcW w:type="dxa" w:w="1440"/>
          </w:tcPr>
          <w:p>
            <w:r>
              <w:rPr>
                <w:color w:val="1A1F2E"/>
                <w:sz w:val="18"/>
              </w:rPr>
              <w:t>6 days</w:t>
            </w:r>
          </w:p>
        </w:tc>
        <w:tc>
          <w:tcPr>
            <w:tcW w:type="dxa" w:w="3744"/>
          </w:tcPr>
          <w:p>
            <w:r>
              <w:rPr>
                <w:color w:val="1A1F2E"/>
                <w:sz w:val="18"/>
              </w:rPr>
              <w:t>Regulatory requirement</w:t>
            </w:r>
          </w:p>
        </w:tc>
      </w:tr>
      <w:tr>
        <w:tc>
          <w:tcPr>
            <w:tcW w:type="dxa" w:w="5472"/>
          </w:tcPr>
          <w:p>
            <w:r>
              <w:rPr>
                <w:color w:val="1A1F2E"/>
                <w:sz w:val="18"/>
              </w:rPr>
              <w:t>Instrument register + calibration tracking</w:t>
            </w:r>
          </w:p>
        </w:tc>
        <w:tc>
          <w:tcPr>
            <w:tcW w:type="dxa" w:w="1440"/>
          </w:tcPr>
          <w:p>
            <w:r>
              <w:rPr>
                <w:color w:val="1A1F2E"/>
                <w:sz w:val="18"/>
              </w:rPr>
              <w:t>4 days</w:t>
            </w:r>
          </w:p>
        </w:tc>
        <w:tc>
          <w:tcPr>
            <w:tcW w:type="dxa" w:w="3744"/>
          </w:tcPr>
          <w:p>
            <w:r>
              <w:rPr>
                <w:color w:val="1A1F2E"/>
                <w:sz w:val="18"/>
              </w:rPr>
              <w:t>Lab compliance</w:t>
            </w:r>
          </w:p>
        </w:tc>
      </w:tr>
      <w:tr>
        <w:tc>
          <w:tcPr>
            <w:tcW w:type="dxa" w:w="5472"/>
          </w:tcPr>
          <w:p>
            <w:r>
              <w:rPr>
                <w:color w:val="1A1F2E"/>
                <w:sz w:val="18"/>
              </w:rPr>
              <w:t>Reagent and standard lot management with traceability</w:t>
            </w:r>
          </w:p>
        </w:tc>
        <w:tc>
          <w:tcPr>
            <w:tcW w:type="dxa" w:w="1440"/>
          </w:tcPr>
          <w:p>
            <w:r>
              <w:rPr>
                <w:color w:val="1A1F2E"/>
                <w:sz w:val="18"/>
              </w:rPr>
              <w:t>3 days</w:t>
            </w:r>
          </w:p>
        </w:tc>
        <w:tc>
          <w:tcPr>
            <w:tcW w:type="dxa" w:w="3744"/>
          </w:tcPr>
          <w:p>
            <w:r>
              <w:rPr>
                <w:color w:val="1A1F2E"/>
                <w:sz w:val="18"/>
              </w:rPr>
              <w:t>Test traceability</w:t>
            </w:r>
          </w:p>
        </w:tc>
      </w:tr>
      <w:tr>
        <w:tc>
          <w:tcPr>
            <w:tcW w:type="dxa" w:w="5472"/>
          </w:tcPr>
          <w:p>
            <w:r>
              <w:rPr>
                <w:color w:val="1A1F2E"/>
                <w:sz w:val="18"/>
              </w:rPr>
              <w:t>CoA generation and approval workflow</w:t>
            </w:r>
          </w:p>
        </w:tc>
        <w:tc>
          <w:tcPr>
            <w:tcW w:type="dxa" w:w="1440"/>
          </w:tcPr>
          <w:p>
            <w:r>
              <w:rPr>
                <w:color w:val="1A1F2E"/>
                <w:sz w:val="18"/>
              </w:rPr>
              <w:t>5 days</w:t>
            </w:r>
          </w:p>
        </w:tc>
        <w:tc>
          <w:tcPr>
            <w:tcW w:type="dxa" w:w="3744"/>
          </w:tcPr>
          <w:p>
            <w:r>
              <w:rPr>
                <w:color w:val="1A1F2E"/>
                <w:sz w:val="18"/>
              </w:rPr>
              <w:t>Release documentation</w:t>
            </w:r>
          </w:p>
        </w:tc>
      </w:tr>
      <w:tr>
        <w:tc>
          <w:tcPr>
            <w:tcW w:type="dxa" w:w="5472"/>
          </w:tcPr>
          <w:p>
            <w:r>
              <w:rPr>
                <w:color w:val="1A1F2E"/>
                <w:sz w:val="18"/>
              </w:rPr>
              <w:t>Trend analysis charts per parameter / batch</w:t>
            </w:r>
          </w:p>
        </w:tc>
        <w:tc>
          <w:tcPr>
            <w:tcW w:type="dxa" w:w="1440"/>
          </w:tcPr>
          <w:p>
            <w:r>
              <w:rPr>
                <w:color w:val="1A1F2E"/>
                <w:sz w:val="18"/>
              </w:rPr>
              <w:t>4 days</w:t>
            </w:r>
          </w:p>
        </w:tc>
        <w:tc>
          <w:tcPr>
            <w:tcW w:type="dxa" w:w="3744"/>
          </w:tcPr>
          <w:p>
            <w:r>
              <w:rPr>
                <w:color w:val="1A1F2E"/>
                <w:sz w:val="18"/>
              </w:rPr>
              <w:t>Proactive quality</w:t>
            </w:r>
          </w:p>
        </w:tc>
      </w:tr>
    </w:tbl>
    <w:p/>
    <w:p>
      <w:pPr>
        <w:spacing w:before="280" w:after="60"/>
      </w:pPr>
      <w:r>
        <w:rPr>
          <w:b/>
          <w:color w:val="1A1F2E"/>
          <w:sz w:val="22"/>
        </w:rPr>
        <w:t>Phase 5 — HRMS Module (Weeks 29–34)</w:t>
      </w:r>
    </w:p>
    <w:tbl>
      <w:tblPr>
        <w:tblStyle w:val="TableGrid"/>
        <w:tblW w:type="auto" w:w="0"/>
        <w:jc w:val="left"/>
        <w:tblLook w:firstColumn="1" w:firstRow="1" w:lastColumn="0" w:lastRow="0" w:noHBand="0" w:noVBand="1" w:val="04A0"/>
      </w:tblPr>
      <w:tblGrid>
        <w:gridCol w:w="3024"/>
        <w:gridCol w:w="3024"/>
        <w:gridCol w:w="3024"/>
      </w:tblGrid>
      <w:tr>
        <w:tc>
          <w:tcPr>
            <w:tcW w:type="dxa" w:w="5472"/>
            <w:shd w:val="clear" w:color="auto" w:fill="E8F5F5"/>
            <w:vAlign w:val="center"/>
          </w:tcPr>
          <w:p>
            <w:r>
              <w:rPr>
                <w:b/>
                <w:color w:val="008780"/>
                <w:sz w:val="18"/>
              </w:rPr>
              <w:t>Task</w:t>
            </w:r>
          </w:p>
        </w:tc>
        <w:tc>
          <w:tcPr>
            <w:tcW w:type="dxa" w:w="1440"/>
            <w:shd w:val="clear" w:color="auto" w:fill="E8F5F5"/>
            <w:vAlign w:val="center"/>
          </w:tcPr>
          <w:p>
            <w:r>
              <w:rPr>
                <w:b/>
                <w:color w:val="008780"/>
                <w:sz w:val="18"/>
              </w:rPr>
              <w:t>Effort</w:t>
            </w:r>
          </w:p>
        </w:tc>
        <w:tc>
          <w:tcPr>
            <w:tcW w:type="dxa" w:w="3744"/>
            <w:shd w:val="clear" w:color="auto" w:fill="E8F5F5"/>
            <w:vAlign w:val="center"/>
          </w:tcPr>
          <w:p>
            <w:r>
              <w:rPr>
                <w:b/>
                <w:color w:val="008780"/>
                <w:sz w:val="18"/>
              </w:rPr>
              <w:t>Impact</w:t>
            </w:r>
          </w:p>
        </w:tc>
      </w:tr>
      <w:tr>
        <w:tc>
          <w:tcPr>
            <w:tcW w:type="dxa" w:w="5472"/>
          </w:tcPr>
          <w:p>
            <w:r>
              <w:rPr>
                <w:color w:val="1A1F2E"/>
                <w:sz w:val="18"/>
              </w:rPr>
              <w:t>Employee register with roles, departments, and status</w:t>
            </w:r>
          </w:p>
        </w:tc>
        <w:tc>
          <w:tcPr>
            <w:tcW w:type="dxa" w:w="1440"/>
          </w:tcPr>
          <w:p>
            <w:r>
              <w:rPr>
                <w:color w:val="1A1F2E"/>
                <w:sz w:val="18"/>
              </w:rPr>
              <w:t>3 days</w:t>
            </w:r>
          </w:p>
        </w:tc>
        <w:tc>
          <w:tcPr>
            <w:tcW w:type="dxa" w:w="3744"/>
          </w:tcPr>
          <w:p>
            <w:r>
              <w:rPr>
                <w:color w:val="1A1F2E"/>
                <w:sz w:val="18"/>
              </w:rPr>
              <w:t>Personnel records</w:t>
            </w:r>
          </w:p>
        </w:tc>
      </w:tr>
      <w:tr>
        <w:tc>
          <w:tcPr>
            <w:tcW w:type="dxa" w:w="5472"/>
          </w:tcPr>
          <w:p>
            <w:r>
              <w:rPr>
                <w:color w:val="1A1F2E"/>
                <w:sz w:val="18"/>
              </w:rPr>
              <w:t>Training record management with validity tracking</w:t>
            </w:r>
          </w:p>
        </w:tc>
        <w:tc>
          <w:tcPr>
            <w:tcW w:type="dxa" w:w="1440"/>
          </w:tcPr>
          <w:p>
            <w:r>
              <w:rPr>
                <w:color w:val="1A1F2E"/>
                <w:sz w:val="18"/>
              </w:rPr>
              <w:t>4 days</w:t>
            </w:r>
          </w:p>
        </w:tc>
        <w:tc>
          <w:tcPr>
            <w:tcW w:type="dxa" w:w="3744"/>
          </w:tcPr>
          <w:p>
            <w:r>
              <w:rPr>
                <w:color w:val="1A1F2E"/>
                <w:sz w:val="18"/>
              </w:rPr>
              <w:t>GMP personnel qualification</w:t>
            </w:r>
          </w:p>
        </w:tc>
      </w:tr>
      <w:tr>
        <w:tc>
          <w:tcPr>
            <w:tcW w:type="dxa" w:w="5472"/>
          </w:tcPr>
          <w:p>
            <w:r>
              <w:rPr>
                <w:color w:val="1A1F2E"/>
                <w:sz w:val="18"/>
              </w:rPr>
              <w:t>Competency / authorisation register per task</w:t>
            </w:r>
          </w:p>
        </w:tc>
        <w:tc>
          <w:tcPr>
            <w:tcW w:type="dxa" w:w="1440"/>
          </w:tcPr>
          <w:p>
            <w:r>
              <w:rPr>
                <w:color w:val="1A1F2E"/>
                <w:sz w:val="18"/>
              </w:rPr>
              <w:t>3 days</w:t>
            </w:r>
          </w:p>
        </w:tc>
        <w:tc>
          <w:tcPr>
            <w:tcW w:type="dxa" w:w="3744"/>
          </w:tcPr>
          <w:p>
            <w:r>
              <w:rPr>
                <w:color w:val="1A1F2E"/>
                <w:sz w:val="18"/>
              </w:rPr>
              <w:t>Authorised personnel list</w:t>
            </w:r>
          </w:p>
        </w:tc>
      </w:tr>
      <w:tr>
        <w:tc>
          <w:tcPr>
            <w:tcW w:type="dxa" w:w="5472"/>
          </w:tcPr>
          <w:p>
            <w:r>
              <w:rPr>
                <w:color w:val="1A1F2E"/>
                <w:sz w:val="18"/>
              </w:rPr>
              <w:t>Training matrix (role vs SOP) with compliance dashboard</w:t>
            </w:r>
          </w:p>
        </w:tc>
        <w:tc>
          <w:tcPr>
            <w:tcW w:type="dxa" w:w="1440"/>
          </w:tcPr>
          <w:p>
            <w:r>
              <w:rPr>
                <w:color w:val="1A1F2E"/>
                <w:sz w:val="18"/>
              </w:rPr>
              <w:t>4 days</w:t>
            </w:r>
          </w:p>
        </w:tc>
        <w:tc>
          <w:tcPr>
            <w:tcW w:type="dxa" w:w="3744"/>
          </w:tcPr>
          <w:p>
            <w:r>
              <w:rPr>
                <w:color w:val="1A1F2E"/>
                <w:sz w:val="18"/>
              </w:rPr>
              <w:t>Training oversight</w:t>
            </w:r>
          </w:p>
        </w:tc>
      </w:tr>
      <w:tr>
        <w:tc>
          <w:tcPr>
            <w:tcW w:type="dxa" w:w="5472"/>
          </w:tcPr>
          <w:p>
            <w:r>
              <w:rPr>
                <w:color w:val="1A1F2E"/>
                <w:sz w:val="18"/>
              </w:rPr>
              <w:t>E-signature integration (block if training expired)</w:t>
            </w:r>
          </w:p>
        </w:tc>
        <w:tc>
          <w:tcPr>
            <w:tcW w:type="dxa" w:w="1440"/>
          </w:tcPr>
          <w:p>
            <w:r>
              <w:rPr>
                <w:color w:val="1A1F2E"/>
                <w:sz w:val="18"/>
              </w:rPr>
              <w:t>2 days</w:t>
            </w:r>
          </w:p>
        </w:tc>
        <w:tc>
          <w:tcPr>
            <w:tcW w:type="dxa" w:w="3744"/>
          </w:tcPr>
          <w:p>
            <w:r>
              <w:rPr>
                <w:color w:val="1A1F2E"/>
                <w:sz w:val="18"/>
              </w:rPr>
              <w:t>Access control</w:t>
            </w:r>
          </w:p>
        </w:tc>
      </w:tr>
      <w:tr>
        <w:tc>
          <w:tcPr>
            <w:tcW w:type="dxa" w:w="5472"/>
          </w:tcPr>
          <w:p>
            <w:r>
              <w:rPr>
                <w:color w:val="1A1F2E"/>
                <w:sz w:val="18"/>
              </w:rPr>
              <w:t>New hire onboarding workflow with checklist</w:t>
            </w:r>
          </w:p>
        </w:tc>
        <w:tc>
          <w:tcPr>
            <w:tcW w:type="dxa" w:w="1440"/>
          </w:tcPr>
          <w:p>
            <w:r>
              <w:rPr>
                <w:color w:val="1A1F2E"/>
                <w:sz w:val="18"/>
              </w:rPr>
              <w:t>3 days</w:t>
            </w:r>
          </w:p>
        </w:tc>
        <w:tc>
          <w:tcPr>
            <w:tcW w:type="dxa" w:w="3744"/>
          </w:tcPr>
          <w:p>
            <w:r>
              <w:rPr>
                <w:color w:val="1A1F2E"/>
                <w:sz w:val="18"/>
              </w:rPr>
              <w:t>Onboarding efficiency</w:t>
            </w:r>
          </w:p>
        </w:tc>
      </w:tr>
    </w:tbl>
    <w:p/>
    <w:p>
      <w:pPr>
        <w:spacing w:before="440" w:after="120"/>
        <w:pBdr>
          <w:bottom w:val="single" w:sz="6" w:space="4" w:color="008780"/>
        </w:pBdr>
      </w:pPr>
      <w:r>
        <w:rPr>
          <w:b/>
          <w:color w:val="008780"/>
          <w:sz w:val="22"/>
        </w:rPr>
        <w:t>9. GMP / REGULATORY DESIGN CONSIDERATIONS</w:t>
      </w:r>
    </w:p>
    <w:p>
      <w:pPr>
        <w:spacing w:before="0" w:after="100"/>
      </w:pPr>
      <w:r>
        <w:rPr>
          <w:i w:val="0"/>
          <w:color w:val="1A1F2E"/>
          <w:sz w:val="20"/>
        </w:rPr>
        <w:t>Building a GMP-compliant pharma platform requires attention to regulatory frameworks beyond just functionality. Here are the critical design requirements that must be embedded from the start — they cannot easily be bolted on later.</w:t>
      </w:r>
    </w:p>
    <w:p>
      <w:pPr>
        <w:spacing w:before="280" w:after="60"/>
      </w:pPr>
      <w:r>
        <w:rPr>
          <w:b/>
          <w:color w:val="1A1F2E"/>
          <w:sz w:val="22"/>
        </w:rPr>
        <w:t>9.1  Data Integrity (ALCOA+)</w:t>
      </w:r>
    </w:p>
    <w:p>
      <w:pPr>
        <w:spacing w:before="0" w:after="100"/>
      </w:pPr>
      <w:r>
        <w:rPr>
          <w:i w:val="0"/>
          <w:color w:val="1A1F2E"/>
          <w:sz w:val="20"/>
        </w:rPr>
        <w:t>All data must be Attributable (who did it), Legible (readable), Contemporaneous (recorded at time of action), Original (first-hand record), and Accurate. The additional + principles add: Complete, Consistent, Enduring, and Available. Your audit trail implementation in Phase 1 directly addresses this. Never allow backdating of records.</w:t>
      </w:r>
    </w:p>
    <w:p>
      <w:pPr>
        <w:spacing w:before="280" w:after="60"/>
      </w:pPr>
      <w:r>
        <w:rPr>
          <w:b/>
          <w:color w:val="1A1F2E"/>
          <w:sz w:val="22"/>
        </w:rPr>
        <w:t>9.2  21 CFR Part 11 / EU Annex 11</w:t>
      </w:r>
    </w:p>
    <w:p>
      <w:pPr>
        <w:spacing w:before="0" w:after="100"/>
      </w:pPr>
      <w:r>
        <w:rPr>
          <w:i w:val="0"/>
          <w:color w:val="1A1F2E"/>
          <w:sz w:val="20"/>
        </w:rPr>
        <w:t>Electronic records and electronic signatures in pharma must comply with 21 CFR Part 11 (US FDA) and EU GMP Annex 11 (EU). Key requirements: unique user IDs, no shared logins, e-signatures with meaning, audit trail, system validation documentation, and access control. Design these in from Phase 1.</w:t>
      </w:r>
    </w:p>
    <w:p>
      <w:pPr>
        <w:spacing w:before="280" w:after="60"/>
      </w:pPr>
      <w:r>
        <w:rPr>
          <w:b/>
          <w:color w:val="1A1F2E"/>
          <w:sz w:val="22"/>
        </w:rPr>
        <w:t>9.3  System Validation (CSV)</w:t>
      </w:r>
    </w:p>
    <w:p>
      <w:pPr>
        <w:spacing w:before="0" w:after="100"/>
      </w:pPr>
      <w:r>
        <w:rPr>
          <w:i w:val="0"/>
          <w:color w:val="1A1F2E"/>
          <w:sz w:val="20"/>
        </w:rPr>
        <w:t>Computer System Validation requires User Requirements Specification (URS), Functional Specification (FS), Design Qualification (DQ), Installation Qualification (IQ), Operational Qualification (OQ), and Performance Qualification (PQ) documentation. Automated tests (Vitest, Cypress) directly serve as OQ/PQ evidence when properly structured. Start writing tests with this in mind.</w:t>
      </w:r>
    </w:p>
    <w:p>
      <w:pPr>
        <w:spacing w:before="280" w:after="60"/>
      </w:pPr>
      <w:r>
        <w:rPr>
          <w:b/>
          <w:color w:val="1A1F2E"/>
          <w:sz w:val="22"/>
        </w:rPr>
        <w:t>9.4  Disaster Recovery and Data Backup</w:t>
      </w:r>
    </w:p>
    <w:p>
      <w:pPr>
        <w:spacing w:before="0" w:after="100"/>
      </w:pPr>
      <w:r>
        <w:rPr>
          <w:i w:val="0"/>
          <w:color w:val="1A1F2E"/>
          <w:sz w:val="20"/>
        </w:rPr>
        <w:t>Regulated systems require documented backup procedures, recovery time objectives (RTO), and periodic recovery testing. Ensure your backend infrastructure has: automated daily backups, point-in-time recovery capability, and a tested restore procedure. Document it.</w:t>
      </w:r>
    </w:p>
    <w:p>
      <w:pPr>
        <w:spacing w:before="440" w:after="120"/>
        <w:pBdr>
          <w:bottom w:val="single" w:sz="6" w:space="4" w:color="008780"/>
        </w:pBdr>
      </w:pPr>
      <w:r>
        <w:rPr>
          <w:b/>
          <w:color w:val="008780"/>
          <w:sz w:val="22"/>
        </w:rPr>
        <w:t>10. QUICK WINS — START THIS WEEK</w:t>
      </w:r>
    </w:p>
    <w:p>
      <w:pPr>
        <w:spacing w:before="0" w:after="100"/>
      </w:pPr>
      <w:r>
        <w:rPr>
          <w:i w:val="0"/>
          <w:color w:val="1A1F2E"/>
          <w:sz w:val="20"/>
        </w:rPr>
        <w:t>If you want immediate impact with minimal disruption, these are the five changes to make first:</w:t>
      </w:r>
    </w:p>
    <w:p>
      <w:pPr>
        <w:spacing w:before="120" w:after="60"/>
      </w:pPr>
      <w:r>
        <w:rPr>
          <w:b/>
          <w:color w:val="008780"/>
          <w:sz w:val="20"/>
        </w:rPr>
        <w:t xml:space="preserve">1. Install TanStack Query: </w:t>
      </w:r>
      <w:r>
        <w:rPr>
          <w:color w:val="1A1F2E"/>
          <w:sz w:val="20"/>
        </w:rPr>
        <w:t>Replace the first useEffect data fetch in GrnPage.tsx as a proof of concept. You will immediately see how much simpler the code becomes and want to roll it out everywhere.</w:t>
      </w:r>
    </w:p>
    <w:p>
      <w:pPr>
        <w:spacing w:before="120" w:after="60"/>
      </w:pPr>
      <w:r>
        <w:rPr>
          <w:b/>
          <w:color w:val="008780"/>
          <w:sz w:val="20"/>
        </w:rPr>
        <w:t xml:space="preserve">2. Add a Toast Component: </w:t>
      </w:r>
      <w:r>
        <w:rPr>
          <w:color w:val="1A1F2E"/>
          <w:sz w:val="20"/>
        </w:rPr>
        <w:t>Replace all the inline 'success' and 'error' state variables with a single toast call. This alone will simplify every page immediately.</w:t>
      </w:r>
    </w:p>
    <w:p>
      <w:pPr>
        <w:spacing w:before="120" w:after="60"/>
      </w:pPr>
      <w:r>
        <w:rPr>
          <w:b/>
          <w:color w:val="008780"/>
          <w:sz w:val="20"/>
        </w:rPr>
        <w:t xml:space="preserve">3. Wire Dashboard KPIs: </w:t>
      </w:r>
      <w:r>
        <w:rPr>
          <w:color w:val="1A1F2E"/>
          <w:sz w:val="20"/>
        </w:rPr>
        <w:t>The dashboard KPI cards are placeholder. Make 4 API calls to get real counts (pending GRNs, quarantine batches, open sampling requests, released stock). This makes the product feel real immediately.</w:t>
      </w:r>
    </w:p>
    <w:p>
      <w:pPr>
        <w:spacing w:before="120" w:after="60"/>
      </w:pPr>
      <w:r>
        <w:rPr>
          <w:b/>
          <w:color w:val="008780"/>
          <w:sz w:val="20"/>
        </w:rPr>
        <w:t xml:space="preserve">4. Add Multi-Item GRN: </w:t>
      </w:r>
      <w:r>
        <w:rPr>
          <w:color w:val="1A1F2E"/>
          <w:sz w:val="20"/>
        </w:rPr>
        <w:t>The current GRN creation only supports one line item. Real pharmaceutical GRNs arrive with multiple materials. This is the highest-priority functional gap.</w:t>
      </w:r>
    </w:p>
    <w:p>
      <w:pPr>
        <w:spacing w:before="120" w:after="60"/>
      </w:pPr>
      <w:r>
        <w:rPr>
          <w:b/>
          <w:color w:val="008780"/>
          <w:sz w:val="20"/>
        </w:rPr>
        <w:t xml:space="preserve">5. Create a StatusBadge Component: </w:t>
      </w:r>
      <w:r>
        <w:rPr>
          <w:color w:val="1A1F2E"/>
          <w:sz w:val="20"/>
        </w:rPr>
        <w:t>Extract all the status colour logic into one reusable &lt;StatusBadge status={...} /&gt; component. Currently the same colour mapping is duplicated across GRN, Inventory, and Sampling pages.</w:t>
      </w:r>
    </w:p>
    <w:p/>
    <w:p>
      <w:pPr>
        <w:jc w:val="center"/>
      </w:pPr>
      <w:r>
        <w:rPr>
          <w:i/>
          <w:color w:val="5A6475"/>
          <w:sz w:val="16"/>
        </w:rPr>
        <w:t>This document was generated by Claude after a full review of the BatchSphere Operations Cloud source code (React 18 / TypeScript / Tailwind / Vite). All recommendations are based on actual code patterns observed in the repository.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