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MID</w:t>
      </w:r>
    </w:p>
    <w:p>
      <w:pPr>
        <w:jc w:val="center"/>
      </w:pPr>
      <w:r>
        <w:rPr>
          <w:b/>
          <w:sz w:val="32"/>
        </w:rPr>
        <w:t>Course: Data Structures (CS101)</w:t>
      </w:r>
    </w:p>
    <w:p>
      <w:pPr>
        <w:jc w:val="center"/>
      </w:pPr>
      <w:r>
        <w:rPr>
          <w:sz w:val="22"/>
        </w:rPr>
        <w:t>Set: A  |  Time: 2 Hours  |  Max Marks: 6  |  Date: 15-03-2026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0"/>
              </w:rPr>
              <w:t>GENERAL INSTRUCTIONS:</w:t>
            </w:r>
          </w:p>
          <w:p>
            <w:pPr>
              <w:spacing w:before="80"/>
            </w:pPr>
            <w:r>
              <w:rPr>
                <w:sz w:val="20"/>
              </w:rPr>
              <w:t>attend all the quetsions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Explain the primary distinction between a Local Area Network (LAN) and a Wide Area Network (WAN) in terms of their geographical coverage.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Describe the basic concept of packet switching as utilized in modern computer networks.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