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</w:t>
      </w:r>
    </w:p>
    <w:p>
      <w:pPr>
        <w:jc w:val="center"/>
      </w:pPr>
      <w:r>
        <w:rPr>
          <w:b/>
          <w:sz w:val="28"/>
        </w:rPr>
        <w:t>Subject: computer networks</w:t>
      </w:r>
    </w:p>
    <w:p>
      <w:pPr>
        <w:jc w:val="center"/>
      </w:pPr>
      <w:r>
        <w:rPr>
          <w:color w:val="64748B"/>
          <w:sz w:val="20"/>
        </w:rPr>
        <w:t>Paper: MID - Set C  |  Duration: 2 Hours  |  Max Marks: 4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2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[1 Marks]</w:t>
      </w:r>
    </w:p>
    <w:p>
      <w:pPr>
        <w:spacing w:after="120"/>
        <w:ind w:left="432" w:right="1152"/>
      </w:pPr>
      <w:r>
        <w:t>Which of the following wireless standards is commonly used for short-range device-to-device communication, often replacing cables?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Briefly describe the main function of the Data Link Layer (Layer 2) of the OSI model.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