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Módulo SENSORA_BRIGHTNESS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Plataforma SensoraCore</w:t>
      </w:r>
    </w:p>
    <w:p>
      <w:pPr>
        <w:spacing w:before="2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spacing w:after="120"/>
      </w:pPr>
      <w:r>
        <w:t xml:space="preserve">Este manual proporciona instrucciones detalladas para la configuración, uso y calibración del módulo SENSORA_BRIGHTNESS de la plataforma SensoraCore.</w:t>
      </w:r>
    </w:p>
    <w:p>
      <w:pPr>
        <w:spacing w:after="120"/>
      </w:pPr>
      <w:r>
        <w:rPr>
          <w:b/>
          <w:bCs/>
        </w:rPr>
        <w:t xml:space="preserve">Sensor(es): </w:t>
      </w:r>
      <w:r>
        <w:t xml:space="preserve">Fotorresistencia LDR</w:t>
      </w:r>
    </w:p>
    <w:p>
      <w:pPr>
        <w:spacing w:after="120"/>
      </w:pPr>
      <w:r>
        <w:rPr>
          <w:b/>
          <w:bCs/>
        </w:rPr>
        <w:t xml:space="preserve">Variable medida: </w:t>
      </w:r>
      <w:r>
        <w:t xml:space="preserve">Iluminancia (lux)</w:t>
      </w:r>
    </w:p>
    <w:p>
      <w:pPr>
        <w:spacing w:after="120"/>
      </w:pPr>
      <w:r>
        <w:rPr>
          <w:b/>
          <w:bCs/>
        </w:rPr>
        <w:t xml:space="preserve">Método de calibración: </w:t>
      </w:r>
      <w:r>
        <w:t xml:space="preserve">Caracterización Logarítmica</w:t>
      </w:r>
    </w:p>
    <w:p>
      <w:pPr>
        <w:pStyle w:val="Heading2"/>
      </w:pPr>
      <w:r>
        <w:t xml:space="preserve">1.2 Principio de Funcionamiento</w:t>
      </w:r>
    </w:p>
    <w:p>
      <w:pPr>
        <w:spacing w:after="120"/>
      </w:pPr>
      <w:r>
        <w:t xml:space="preserve">La fotorresistencia (LDR) varía su resistencia según la intensidad de luz incidente. En oscuridad presenta alta resistencia (50-100 kΩ), mientras que con luz intensa disminuye a cientos de ohmios. La relación no es lineal sino logarítmica.</w:t>
      </w:r>
    </w:p>
    <w:p>
      <w:pPr>
        <w:pStyle w:val="Heading1"/>
      </w:pPr>
      <w:r>
        <w:t xml:space="preserve">2. ESPECIFICACIONES TÉCNICAS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GL55 LDR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Resistencia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 kΩ (oscuridad) a 300 Ω (luz intensa)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Detección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0 - 10,000 lux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Sensibilidad Espectral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400-700 nm (luz visible)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Tiempo Respuesta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20-50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Tolerancia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±20%</w:t>
            </w:r>
          </w:p>
        </w:tc>
      </w:tr>
    </w:tbl>
    <w:p>
      <w:pPr>
        <w:pStyle w:val="Heading1"/>
      </w:pPr>
      <w:r>
        <w:t xml:space="preserve">3. CONEXIONES</w:t>
      </w:r>
    </w:p>
    <w:p>
      <w:pPr>
        <w:pStyle w:val="Heading2"/>
      </w:pPr>
      <w:r>
        <w:t xml:space="preserve">3.1 Diagrama de Pines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Pin/Cable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Conexión ESP32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LDR Terminal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+5V (vía R 10kΩ)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Divisor resistivo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LDR Terminal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Punto 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GPIO36 (ADC)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Señal analógica</w:t>
            </w:r>
          </w:p>
        </w:tc>
      </w:tr>
    </w:tbl>
    <w:p>
      <w:pPr>
        <w:pStyle w:val="Heading1"/>
      </w:pPr>
      <w:r>
        <w:t xml:space="preserve">4. CONFIGURACIÓN DEL SOFTWARE</w:t>
      </w:r>
    </w:p>
    <w:p>
      <w:pPr>
        <w:pStyle w:val="Heading2"/>
      </w:pPr>
      <w:r>
        <w:t xml:space="preserve">4.1 Conexión a SensoraCore</w:t>
      </w:r>
    </w:p>
    <w:p>
      <w:pPr>
        <w:pStyle w:val="ListParagraph"/>
        <w:numPr>
          <w:ilvl w:val="0"/>
          <w:numId w:val="2"/>
        </w:numPr>
      </w:pPr>
      <w:r>
        <w:t xml:space="preserve">Abrir la aplicación SensoraCore en el computador</w:t>
      </w:r>
    </w:p>
    <w:p>
      <w:pPr>
        <w:pStyle w:val="ListParagraph"/>
        <w:numPr>
          <w:ilvl w:val="0"/>
          <w:numId w:val="2"/>
        </w:numPr>
      </w:pPr>
      <w:r>
        <w:t xml:space="preserve">Conectarse a la misma red Wi-Fi que el ESP32</w:t>
      </w:r>
    </w:p>
    <w:p>
      <w:pPr>
        <w:pStyle w:val="ListParagraph"/>
        <w:numPr>
          <w:ilvl w:val="0"/>
          <w:numId w:val="2"/>
        </w:numPr>
      </w:pPr>
      <w:r>
        <w:t xml:space="preserve">Obtener la dirección IP mostrada en la pantalla OLED del módulo de control</w:t>
      </w:r>
    </w:p>
    <w:p>
      <w:pPr>
        <w:pStyle w:val="ListParagraph"/>
        <w:numPr>
          <w:ilvl w:val="0"/>
          <w:numId w:val="2"/>
        </w:numPr>
      </w:pPr>
      <w:r>
        <w:t xml:space="preserve">Ingresar la IP en SensoraCore y hacer clic en 'Conectar'</w:t>
      </w:r>
    </w:p>
    <w:p>
      <w:pPr>
        <w:pStyle w:val="ListParagraph"/>
        <w:numPr>
          <w:ilvl w:val="0"/>
          <w:numId w:val="2"/>
        </w:numPr>
      </w:pPr>
      <w:r>
        <w:t xml:space="preserve">Seleccionar el módulo 'SENSORA_BRIGHTNESS' del menú desplegable</w:t>
      </w:r>
    </w:p>
    <w:p>
      <w:pPr>
        <w:pStyle w:val="Heading1"/>
      </w:pPr>
      <w:r>
        <w:t xml:space="preserve">5. PROCEDIMIENTO DE CALIBRACIÓN</w:t>
      </w:r>
    </w:p>
    <w:p>
      <w:pPr>
        <w:spacing w:after="120"/>
      </w:pPr>
      <w:r>
        <w:t xml:space="preserve">Siga los siguientes pasos para calibrar correctamente el sensor:</w:t>
      </w:r>
    </w:p>
    <w:p>
      <w:pPr>
        <w:pStyle w:val="ListParagraph"/>
        <w:numPr>
          <w:ilvl w:val="0"/>
          <w:numId w:val="3"/>
        </w:numPr>
      </w:pPr>
      <w:r>
        <w:t xml:space="preserve">Preparar caja opaca completamente cerrada</w:t>
      </w:r>
    </w:p>
    <w:p>
      <w:pPr>
        <w:pStyle w:val="ListParagraph"/>
        <w:numPr>
          <w:ilvl w:val="0"/>
          <w:numId w:val="3"/>
        </w:numPr>
      </w:pPr>
      <w:r>
        <w:t xml:space="preserve">Colocar LDR dentro de caja cerrada (oscuridad total)</w:t>
      </w:r>
    </w:p>
    <w:p>
      <w:pPr>
        <w:pStyle w:val="ListParagraph"/>
        <w:numPr>
          <w:ilvl w:val="0"/>
          <w:numId w:val="3"/>
        </w:numPr>
      </w:pPr>
      <w:r>
        <w:t xml:space="preserve">Esperar 10 segundos y registrar ADC_min</w:t>
      </w:r>
    </w:p>
    <w:p>
      <w:pPr>
        <w:pStyle w:val="ListParagraph"/>
        <w:numPr>
          <w:ilvl w:val="0"/>
          <w:numId w:val="3"/>
        </w:numPr>
      </w:pPr>
      <w:r>
        <w:t xml:space="preserve">Preparar linterna LED potente o luz solar directa</w:t>
      </w:r>
    </w:p>
    <w:p>
      <w:pPr>
        <w:pStyle w:val="ListParagraph"/>
        <w:numPr>
          <w:ilvl w:val="0"/>
          <w:numId w:val="3"/>
        </w:numPr>
      </w:pPr>
      <w:r>
        <w:t xml:space="preserve">Iluminar LDR a máxima intensidad y registrar ADC_max</w:t>
      </w:r>
    </w:p>
    <w:p>
      <w:pPr>
        <w:pStyle w:val="ListParagraph"/>
        <w:numPr>
          <w:ilvl w:val="0"/>
          <w:numId w:val="3"/>
        </w:numPr>
      </w:pPr>
      <w:r>
        <w:t xml:space="preserve">Aplicar modelo logarítmico: R = k × (lux)^-γ</w:t>
      </w:r>
    </w:p>
    <w:p>
      <w:pPr>
        <w:pStyle w:val="ListParagraph"/>
        <w:numPr>
          <w:ilvl w:val="0"/>
          <w:numId w:val="3"/>
        </w:numPr>
      </w:pPr>
      <w:r>
        <w:t xml:space="preserve">Verificar con luxómetro de referencia si está disponible</w:t>
      </w:r>
    </w:p>
    <w:p>
      <w:pPr>
        <w:pStyle w:val="ListParagraph"/>
        <w:numPr>
          <w:ilvl w:val="0"/>
          <w:numId w:val="3"/>
        </w:numPr>
      </w:pPr>
      <w:r>
        <w:t xml:space="preserve">Calcular porcentaje de iluminación: % = (ADC - ADC_min)/(ADC_max - ADC_min) × 100</w:t>
      </w:r>
    </w:p>
    <w:p>
      <w:pPr>
        <w:pStyle w:val="Heading1"/>
      </w:pPr>
      <w:r>
        <w:t xml:space="preserve">6. APLICACIONES</w:t>
      </w:r>
    </w:p>
    <w:p>
      <w:pPr>
        <w:spacing w:after="120"/>
      </w:pPr>
      <w:r>
        <w:t xml:space="preserve">El módulo puede utilizarse en las siguientes aplicaciones:</w:t>
      </w:r>
    </w:p>
    <w:p>
      <w:pPr>
        <w:pStyle w:val="ListParagraph"/>
        <w:numPr>
          <w:ilvl w:val="0"/>
          <w:numId w:val="4"/>
        </w:numPr>
      </w:pPr>
      <w:r>
        <w:t xml:space="preserve">Control automático de iluminación</w:t>
      </w:r>
    </w:p>
    <w:p>
      <w:pPr>
        <w:pStyle w:val="ListParagraph"/>
        <w:numPr>
          <w:ilvl w:val="0"/>
          <w:numId w:val="4"/>
        </w:numPr>
      </w:pPr>
      <w:r>
        <w:t xml:space="preserve">Sistemas de ahorro energético</w:t>
      </w:r>
    </w:p>
    <w:p>
      <w:pPr>
        <w:pStyle w:val="ListParagraph"/>
        <w:numPr>
          <w:ilvl w:val="0"/>
          <w:numId w:val="4"/>
        </w:numPr>
      </w:pPr>
      <w:r>
        <w:t xml:space="preserve">Medidores de exposición</w:t>
      </w:r>
    </w:p>
    <w:p>
      <w:pPr>
        <w:pStyle w:val="ListParagraph"/>
        <w:numPr>
          <w:ilvl w:val="0"/>
          <w:numId w:val="4"/>
        </w:numPr>
      </w:pPr>
      <w:r>
        <w:t xml:space="preserve">Domótica</w:t>
      </w:r>
    </w:p>
    <w:p>
      <w:pPr>
        <w:pStyle w:val="Heading1"/>
      </w:pPr>
      <w:r>
        <w:t xml:space="preserve">7. PRECAUCIONES DE SEGURIDAD</w:t>
      </w:r>
    </w:p>
    <w:p>
      <w:pPr>
        <w:pStyle w:val="ListParagraph"/>
        <w:numPr>
          <w:ilvl w:val="0"/>
          <w:numId w:val="5"/>
        </w:numPr>
      </w:pPr>
      <w:r>
        <w:t xml:space="preserve">Verificar voltaje de alimentación antes de conectar</w:t>
      </w:r>
    </w:p>
    <w:p>
      <w:pPr>
        <w:pStyle w:val="ListParagraph"/>
        <w:numPr>
          <w:ilvl w:val="0"/>
          <w:numId w:val="5"/>
        </w:numPr>
      </w:pPr>
      <w:r>
        <w:t xml:space="preserve">No exceder los rangos de operación especificados</w:t>
      </w:r>
    </w:p>
    <w:p>
      <w:pPr>
        <w:pStyle w:val="ListParagraph"/>
        <w:numPr>
          <w:ilvl w:val="0"/>
          <w:numId w:val="5"/>
        </w:numPr>
      </w:pPr>
      <w:r>
        <w:t xml:space="preserve">Mantener conexiones firmes para evitar lecturas erróneas</w:t>
      </w:r>
    </w:p>
    <w:p>
      <w:pPr>
        <w:pStyle w:val="ListParagraph"/>
        <w:numPr>
          <w:ilvl w:val="0"/>
          <w:numId w:val="5"/>
        </w:numPr>
      </w:pPr>
      <w:r>
        <w:t xml:space="preserve">Evitar ambientes con humedad excesiva o polvo</w:t>
      </w:r>
    </w:p>
    <w:p>
      <w:pPr>
        <w:pStyle w:val="ListParagraph"/>
        <w:numPr>
          <w:ilvl w:val="0"/>
          <w:numId w:val="5"/>
        </w:numPr>
      </w:pPr>
      <w:r>
        <w:t xml:space="preserve">Realizar calibración en condiciones controladas</w:t>
      </w:r>
    </w:p>
    <w:p>
      <w:pPr>
        <w:pStyle w:val="Heading1"/>
      </w:pPr>
      <w:r>
        <w:t xml:space="preserve">8. REFERENCIAS</w:t>
      </w:r>
    </w:p>
    <w:p>
      <w:r>
        <w:t xml:space="preserve">Repositorio GitHub: </w:t>
      </w:r>
      <w:hyperlink w:history="1" r:id="rIdmnetphktm2sdeo2yi9k2z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Web: </w:t>
      </w:r>
      <w:hyperlink w:history="1" r:id="rIdnhfu1gwulrkehvhyy3qxs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Manual BRIGHTNESS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mnetphktm2sdeo2yi9k2z" Type="http://schemas.openxmlformats.org/officeDocument/2006/relationships/hyperlink" Target="https://github.com/YamithR/SensoraCore" TargetMode="External"/><Relationship Id="rIdnhfu1gwulrkehvhyy3qxs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2025-12-12T02:15:28.387Z</dcterms:created>
  <dcterms:modified xsi:type="dcterms:W3CDTF">2025-12-12T02:15:28.387Z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