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MANUAL DE USUARIO</w:t>
      </w:r>
    </w:p>
    <w:p>
      <w:pPr>
        <w:spacing w:before="400" w:after="400"/>
        <w:jc w:val="center"/>
      </w:pPr>
      <w:r>
        <w:rPr>
          <w:b/>
          <w:bCs/>
          <w:color w:val="1F4E79"/>
          <w:sz w:val="40"/>
          <w:szCs w:val="40"/>
        </w:rPr>
        <w:t xml:space="preserve">MÓDULO SENSORA_SIMPLE_ANGLE</w:t>
      </w:r>
    </w:p>
    <w:p>
      <w:pPr>
        <w:spacing w:before="200"/>
        <w:jc w:val="center"/>
      </w:pPr>
      <w:r>
        <w:rPr>
          <w:i/>
          <w:iCs/>
          <w:sz w:val="28"/>
          <w:szCs w:val="28"/>
        </w:rPr>
        <w:t xml:space="preserve">Sensor: Potenciómetro Lineal</w:t>
      </w:r>
    </w:p>
    <w:p>
      <w:pPr>
        <w:spacing w:before="800"/>
      </w:pPr>
    </w:p>
    <w:p>
      <w:pPr>
        <w:jc w:val="center"/>
      </w:pPr>
      <w:r>
        <w:rPr>
          <w:sz w:val="24"/>
          <w:szCs w:val="24"/>
        </w:rPr>
        <w:t xml:space="preserve">Plataforma SensoraCore</w:t>
      </w:r>
    </w:p>
    <w:p>
      <w:pPr>
        <w:jc w:val="center"/>
      </w:pPr>
      <w:r>
        <w:rPr>
          <w:sz w:val="24"/>
          <w:szCs w:val="24"/>
        </w:rPr>
        <w:t xml:space="preserve">Universidad Autónoma del Caribe</w:t>
      </w:r>
    </w:p>
    <w:p>
      <w:pPr>
        <w:jc w:val="center"/>
      </w:pPr>
      <w:r>
        <w:rPr>
          <w:sz w:val="24"/>
          <w:szCs w:val="24"/>
        </w:rPr>
        <w:t xml:space="preserve">Programa de Ingeniería Mecatrónica</w:t>
      </w:r>
    </w:p>
    <w:p>
      <w:pPr>
        <w:spacing w:before="400"/>
        <w:jc w:val="center"/>
      </w:pPr>
      <w:r>
        <w:rPr>
          <w:sz w:val="24"/>
          <w:szCs w:val="24"/>
        </w:rPr>
        <w:t xml:space="preserve">2025</w:t>
      </w:r>
    </w:p>
    <w:p>
      <w:pPr>
        <w:pStyle w:val="Heading1"/>
        <w:pageBreakBefore/>
      </w:pPr>
      <w:r>
        <w:t xml:space="preserve">1. INFORMACIÓN GENERAL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6E6" w:val="clear"/>
          </w:tcPr>
          <w:p>
            <w:r>
              <w:rPr>
                <w:b/>
                <w:bCs/>
              </w:rPr>
              <w:t xml:space="preserve">Código del Módulo</w:t>
            </w:r>
          </w:p>
        </w:tc>
        <w:tc>
          <w:tcPr>
            <w:tcW w:type="dxa" w:w="6360"/>
            <w:tcBorders>
              <w:top w:val="single" w:color="CCCCCC" w:sz="1"/>
              <w:left w:val="single" w:color="CCCCCC" w:sz="1"/>
              <w:bottom w:val="single" w:color="CCCCCC" w:sz="1"/>
              <w:right w:val="single" w:color="CCCCCC" w:sz="1"/>
            </w:tcBorders>
          </w:tcPr>
          <w:p>
            <w:r>
              <w:t xml:space="preserve">SENSORA_SIMPLE_ANGLE</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Sensor Principal</w:t>
            </w:r>
          </w:p>
        </w:tc>
        <w:tc>
          <w:tcPr>
            <w:tcW w:type="dxa" w:w="6360"/>
            <w:tcBorders>
              <w:top w:val="single" w:color="CCCCCC" w:sz="1"/>
              <w:left w:val="single" w:color="CCCCCC" w:sz="1"/>
              <w:bottom w:val="single" w:color="CCCCCC" w:sz="1"/>
              <w:right w:val="single" w:color="CCCCCC" w:sz="1"/>
            </w:tcBorders>
          </w:tcPr>
          <w:p>
            <w:r>
              <w:t xml:space="preserve">Potenciómetro Lineal</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Variable Medida</w:t>
            </w:r>
          </w:p>
        </w:tc>
        <w:tc>
          <w:tcPr>
            <w:tcW w:type="dxa" w:w="6360"/>
            <w:tcBorders>
              <w:top w:val="single" w:color="CCCCCC" w:sz="1"/>
              <w:left w:val="single" w:color="CCCCCC" w:sz="1"/>
              <w:bottom w:val="single" w:color="CCCCCC" w:sz="1"/>
              <w:right w:val="single" w:color="CCCCCC" w:sz="1"/>
            </w:tcBorders>
          </w:tcPr>
          <w:p>
            <w:r>
              <w:t xml:space="preserve">Ángulo (0° a 270°)</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Tipo de Calibración</w:t>
            </w:r>
          </w:p>
        </w:tc>
        <w:tc>
          <w:tcPr>
            <w:tcW w:type="dxa" w:w="6360"/>
            <w:tcBorders>
              <w:top w:val="single" w:color="CCCCCC" w:sz="1"/>
              <w:left w:val="single" w:color="CCCCCC" w:sz="1"/>
              <w:bottom w:val="single" w:color="CCCCCC" w:sz="1"/>
              <w:right w:val="single" w:color="CCCCCC" w:sz="1"/>
            </w:tcBorders>
          </w:tcPr>
          <w:p>
            <w:r>
              <w:t xml:space="preserve">Regresión Lineal</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Versión</w:t>
            </w:r>
          </w:p>
        </w:tc>
        <w:tc>
          <w:tcPr>
            <w:tcW w:type="dxa" w:w="6360"/>
            <w:tcBorders>
              <w:top w:val="single" w:color="CCCCCC" w:sz="1"/>
              <w:left w:val="single" w:color="CCCCCC" w:sz="1"/>
              <w:bottom w:val="single" w:color="CCCCCC" w:sz="1"/>
              <w:right w:val="single" w:color="CCCCCC" w:sz="1"/>
            </w:tcBorders>
          </w:tcPr>
          <w:p>
            <w:r>
              <w:t xml:space="preserve">1.0</w:t>
            </w:r>
          </w:p>
        </w:tc>
      </w:tr>
    </w:tbl>
    <w:p>
      <w:pPr>
        <w:pStyle w:val="Heading1"/>
      </w:pPr>
      <w:r>
        <w:t xml:space="preserve">2. PRINCIPIO DE FUNCIONAMIENTO</w:t>
      </w:r>
    </w:p>
    <w:p>
      <w:pPr>
        <w:pStyle w:val="Heading2"/>
      </w:pPr>
      <w:r>
        <w:t xml:space="preserve">2.1 ¿Qué mide este sensor?</w:t>
      </w:r>
    </w:p>
    <w:p>
      <w:pPr>
        <w:spacing w:after="120"/>
      </w:pPr>
      <w:r>
        <w:t xml:space="preserve">El potenciómetro mide el ángulo de rotación de su eje, desde 0° hasta 270° (o 300° según el modelo). Es una resistencia variable que cambia su valor según la posición del eje.</w:t>
      </w:r>
    </w:p>
    <w:p>
      <w:pPr>
        <w:pStyle w:val="Heading2"/>
      </w:pPr>
      <w:r>
        <w:t xml:space="preserve">2.2 Funcionamiento Físico</w:t>
      </w:r>
    </w:p>
    <w:p>
      <w:pPr>
        <w:spacing w:after="120"/>
      </w:pPr>
      <w:r>
        <w:t xml:space="preserve">El potenciómetro tiene una pista de material resistivo (grafito o cermet) en forma de arco. El cursor conectado al eje hace contacto con esta pista. Cuando se gira el eje, el cursor se desplaza, cambiando la longitud de la pista entre el cursor y cada extremo, modificando así la resistencia.</w:t>
      </w:r>
    </w:p>
    <w:p>
      <w:pPr>
        <w:spacing w:after="120"/>
      </w:pPr>
      <w:r>
        <w:t xml:space="preserve">La tensión en el cursor varía linealmente de 0V a 5V según el ángulo:</w:t>
      </w:r>
    </w:p>
    <w:p>
      <w:pPr>
        <w:pStyle w:val="ListParagraph"/>
        <w:numPr>
          <w:ilvl w:val="0"/>
          <w:numId w:val="2"/>
        </w:numPr>
      </w:pPr>
      <w:r>
        <w:rPr>
          <w:b/>
          <w:bCs/>
        </w:rPr>
        <w:t xml:space="preserve">0°</w:t>
      </w:r>
      <w:r>
        <w:t xml:space="preserve"> → 0V (cursor en GND)</w:t>
      </w:r>
    </w:p>
    <w:p>
      <w:pPr>
        <w:pStyle w:val="ListParagraph"/>
        <w:numPr>
          <w:ilvl w:val="0"/>
          <w:numId w:val="2"/>
        </w:numPr>
      </w:pPr>
      <w:r>
        <w:rPr>
          <w:b/>
          <w:bCs/>
        </w:rPr>
        <w:t xml:space="preserve">135°</w:t>
      </w:r>
      <w:r>
        <w:t xml:space="preserve"> → 2.5V (posición media)</w:t>
      </w:r>
    </w:p>
    <w:p>
      <w:pPr>
        <w:pStyle w:val="ListParagraph"/>
        <w:numPr>
          <w:ilvl w:val="0"/>
          <w:numId w:val="2"/>
        </w:numPr>
      </w:pPr>
      <w:r>
        <w:rPr>
          <w:b/>
          <w:bCs/>
        </w:rPr>
        <w:t xml:space="preserve">270°</w:t>
      </w:r>
      <w:r>
        <w:t xml:space="preserve"> → 5V (cursor en VCC)</w:t>
      </w:r>
    </w:p>
    <w:p>
      <w:pPr>
        <w:pStyle w:val="Heading2"/>
      </w:pPr>
      <w:r>
        <w:t xml:space="preserve">2.3 Parámetros Técnicos</w:t>
      </w:r>
    </w:p>
    <w:p>
      <w:pPr>
        <w:pStyle w:val="ListParagraph"/>
        <w:numPr>
          <w:ilvl w:val="0"/>
          <w:numId w:val="2"/>
        </w:numPr>
      </w:pPr>
      <w:r>
        <w:rPr>
          <w:b/>
          <w:bCs/>
        </w:rPr>
        <w:t xml:space="preserve">Resistencia nominal: </w:t>
      </w:r>
      <w:r>
        <w:t xml:space="preserve">Valor máximo de resistencia entre terminales extremos (ej: 10 kΩ)</w:t>
      </w:r>
    </w:p>
    <w:p>
      <w:pPr>
        <w:pStyle w:val="ListParagraph"/>
        <w:numPr>
          <w:ilvl w:val="0"/>
          <w:numId w:val="2"/>
        </w:numPr>
      </w:pPr>
      <w:r>
        <w:rPr>
          <w:b/>
          <w:bCs/>
        </w:rPr>
        <w:t xml:space="preserve">Tolerancia: </w:t>
      </w:r>
      <w:r>
        <w:t xml:space="preserve">Margen de error permitido (típico ±20%)</w:t>
      </w:r>
    </w:p>
    <w:p>
      <w:pPr>
        <w:pStyle w:val="ListParagraph"/>
        <w:numPr>
          <w:ilvl w:val="0"/>
          <w:numId w:val="2"/>
        </w:numPr>
      </w:pPr>
      <w:r>
        <w:rPr>
          <w:b/>
          <w:bCs/>
        </w:rPr>
        <w:t xml:space="preserve">Potencia: </w:t>
      </w:r>
      <w:r>
        <w:t xml:space="preserve">Potencia máxima disipable (0.1W a 2W)</w:t>
      </w:r>
    </w:p>
    <w:p>
      <w:pPr>
        <w:pStyle w:val="ListParagraph"/>
        <w:numPr>
          <w:ilvl w:val="0"/>
          <w:numId w:val="2"/>
        </w:numPr>
      </w:pPr>
      <w:r>
        <w:rPr>
          <w:b/>
          <w:bCs/>
        </w:rPr>
        <w:t xml:space="preserve">Ángulo mecánico: </w:t>
      </w:r>
      <w:r>
        <w:t xml:space="preserve">Rango de giro físico del eje (típico 270° o 300°)</w:t>
      </w:r>
    </w:p>
    <w:p>
      <w:pPr>
        <w:pStyle w:val="Heading1"/>
      </w:pPr>
      <w:r>
        <w:t xml:space="preserve">3. CONEXIÓN FÍSICA</w:t>
      </w:r>
    </w:p>
    <w:p>
      <w:pPr>
        <w:pStyle w:val="Heading2"/>
      </w:pPr>
      <w:r>
        <w:t xml:space="preserve">3.1 Identificación de Pines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Pin</w:t>
            </w:r>
          </w:p>
        </w:tc>
        <w:tc>
          <w:tcPr>
            <w:tcW w:type="dxa" w:w="36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Función</w:t>
            </w:r>
          </w:p>
        </w:tc>
        <w:tc>
          <w:tcPr>
            <w:tcW w:type="dxa" w:w="36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Conexión ESP32</w:t>
            </w:r>
          </w:p>
        </w:tc>
      </w:tr>
      <w:tr>
        <w:tc>
          <w:tcPr>
            <w:tcW w:type="dxa" w:w="2000"/>
            <w:tcBorders>
              <w:top w:val="single" w:color="CCCCCC" w:sz="1"/>
              <w:left w:val="single" w:color="CCCCCC" w:sz="1"/>
              <w:bottom w:val="single" w:color="CCCCCC" w:sz="1"/>
              <w:right w:val="single" w:color="CCCCCC" w:sz="1"/>
            </w:tcBorders>
          </w:tcPr>
          <w:p>
            <w:pPr>
              <w:jc w:val="center"/>
            </w:pPr>
            <w:r>
              <w:t xml:space="preserve">Pin 1</w:t>
            </w:r>
          </w:p>
        </w:tc>
        <w:tc>
          <w:tcPr>
            <w:tcW w:type="dxa" w:w="3680"/>
            <w:tcBorders>
              <w:top w:val="single" w:color="CCCCCC" w:sz="1"/>
              <w:left w:val="single" w:color="CCCCCC" w:sz="1"/>
              <w:bottom w:val="single" w:color="CCCCCC" w:sz="1"/>
              <w:right w:val="single" w:color="CCCCCC" w:sz="1"/>
            </w:tcBorders>
          </w:tcPr>
          <w:p>
            <w:r>
              <w:t xml:space="preserve">Extremo (VCC)</w:t>
            </w:r>
          </w:p>
        </w:tc>
        <w:tc>
          <w:tcPr>
            <w:tcW w:type="dxa" w:w="3680"/>
            <w:tcBorders>
              <w:top w:val="single" w:color="CCCCCC" w:sz="1"/>
              <w:left w:val="single" w:color="CCCCCC" w:sz="1"/>
              <w:bottom w:val="single" w:color="CCCCCC" w:sz="1"/>
              <w:right w:val="single" w:color="CCCCCC" w:sz="1"/>
            </w:tcBorders>
          </w:tcPr>
          <w:p>
            <w:r>
              <w:t xml:space="preserve">5V</w:t>
            </w:r>
          </w:p>
        </w:tc>
      </w:tr>
      <w:tr>
        <w:tc>
          <w:tcPr>
            <w:tcW w:type="dxa" w:w="2000"/>
            <w:tcBorders>
              <w:top w:val="single" w:color="CCCCCC" w:sz="1"/>
              <w:left w:val="single" w:color="CCCCCC" w:sz="1"/>
              <w:bottom w:val="single" w:color="CCCCCC" w:sz="1"/>
              <w:right w:val="single" w:color="CCCCCC" w:sz="1"/>
            </w:tcBorders>
          </w:tcPr>
          <w:p>
            <w:pPr>
              <w:jc w:val="center"/>
            </w:pPr>
            <w:r>
              <w:t xml:space="preserve">Pin 2</w:t>
            </w:r>
          </w:p>
        </w:tc>
        <w:tc>
          <w:tcPr>
            <w:tcW w:type="dxa" w:w="3680"/>
            <w:tcBorders>
              <w:top w:val="single" w:color="CCCCCC" w:sz="1"/>
              <w:left w:val="single" w:color="CCCCCC" w:sz="1"/>
              <w:bottom w:val="single" w:color="CCCCCC" w:sz="1"/>
              <w:right w:val="single" w:color="CCCCCC" w:sz="1"/>
            </w:tcBorders>
          </w:tcPr>
          <w:p>
            <w:r>
              <w:t xml:space="preserve">Cursor (Señal)</w:t>
            </w:r>
          </w:p>
        </w:tc>
        <w:tc>
          <w:tcPr>
            <w:tcW w:type="dxa" w:w="3680"/>
            <w:tcBorders>
              <w:top w:val="single" w:color="CCCCCC" w:sz="1"/>
              <w:left w:val="single" w:color="CCCCCC" w:sz="1"/>
              <w:bottom w:val="single" w:color="CCCCCC" w:sz="1"/>
              <w:right w:val="single" w:color="CCCCCC" w:sz="1"/>
            </w:tcBorders>
          </w:tcPr>
          <w:p>
            <w:r>
              <w:t xml:space="preserve">GPIO34 (ADC)</w:t>
            </w:r>
          </w:p>
        </w:tc>
      </w:tr>
      <w:tr>
        <w:tc>
          <w:tcPr>
            <w:tcW w:type="dxa" w:w="2000"/>
            <w:tcBorders>
              <w:top w:val="single" w:color="CCCCCC" w:sz="1"/>
              <w:left w:val="single" w:color="CCCCCC" w:sz="1"/>
              <w:bottom w:val="single" w:color="CCCCCC" w:sz="1"/>
              <w:right w:val="single" w:color="CCCCCC" w:sz="1"/>
            </w:tcBorders>
          </w:tcPr>
          <w:p>
            <w:pPr>
              <w:jc w:val="center"/>
            </w:pPr>
            <w:r>
              <w:t xml:space="preserve">Pin 3</w:t>
            </w:r>
          </w:p>
        </w:tc>
        <w:tc>
          <w:tcPr>
            <w:tcW w:type="dxa" w:w="3680"/>
            <w:tcBorders>
              <w:top w:val="single" w:color="CCCCCC" w:sz="1"/>
              <w:left w:val="single" w:color="CCCCCC" w:sz="1"/>
              <w:bottom w:val="single" w:color="CCCCCC" w:sz="1"/>
              <w:right w:val="single" w:color="CCCCCC" w:sz="1"/>
            </w:tcBorders>
          </w:tcPr>
          <w:p>
            <w:r>
              <w:t xml:space="preserve">Extremo (GND)</w:t>
            </w:r>
          </w:p>
        </w:tc>
        <w:tc>
          <w:tcPr>
            <w:tcW w:type="dxa" w:w="3680"/>
            <w:tcBorders>
              <w:top w:val="single" w:color="CCCCCC" w:sz="1"/>
              <w:left w:val="single" w:color="CCCCCC" w:sz="1"/>
              <w:bottom w:val="single" w:color="CCCCCC" w:sz="1"/>
              <w:right w:val="single" w:color="CCCCCC" w:sz="1"/>
            </w:tcBorders>
          </w:tcPr>
          <w:p>
            <w:r>
              <w:t xml:space="preserve">GND</w:t>
            </w:r>
          </w:p>
        </w:tc>
      </w:tr>
    </w:tbl>
    <w:p>
      <w:pPr>
        <w:spacing w:before="200" w:after="120"/>
      </w:pPr>
      <w:r>
        <w:rPr>
          <w:b/>
          <w:bCs/>
          <w:i/>
          <w:iCs/>
        </w:rPr>
        <w:t xml:space="preserve">Nota importante: </w:t>
      </w:r>
      <w:r>
        <w:rPr>
          <w:i/>
          <w:iCs/>
        </w:rPr>
        <w:t xml:space="preserve">Si se invierte VCC y GND, el ángulo se leerá al revés (pero no daña el sensor).</w:t>
      </w:r>
    </w:p>
    <w:p>
      <w:pPr>
        <w:pStyle w:val="Heading1"/>
      </w:pPr>
      <w:r>
        <w:t xml:space="preserve">4. CONFIGURACIÓN DEL SOFTWARE</w:t>
      </w:r>
    </w:p>
    <w:p>
      <w:pPr>
        <w:pStyle w:val="Heading2"/>
      </w:pPr>
      <w:r>
        <w:t xml:space="preserve">4.1 Procedimiento de Conexión</w:t>
      </w:r>
    </w:p>
    <w:p>
      <w:pPr>
        <w:pStyle w:val="ListParagraph"/>
        <w:numPr>
          <w:ilvl w:val="0"/>
          <w:numId w:val="3"/>
        </w:numPr>
      </w:pPr>
      <w:r>
        <w:t xml:space="preserve">Abrir SensoraCore en el computador.</w:t>
      </w:r>
    </w:p>
    <w:p>
      <w:pPr>
        <w:pStyle w:val="ListParagraph"/>
        <w:numPr>
          <w:ilvl w:val="0"/>
          <w:numId w:val="3"/>
        </w:numPr>
      </w:pPr>
      <w:r>
        <w:t xml:space="preserve">Conectarse a la red Wi-Fi del ESP32 (asegurar que ambos estén en la misma red local).</w:t>
      </w:r>
    </w:p>
    <w:p>
      <w:pPr>
        <w:pStyle w:val="ListParagraph"/>
        <w:numPr>
          <w:ilvl w:val="0"/>
          <w:numId w:val="3"/>
        </w:numPr>
      </w:pPr>
      <w:r>
        <w:t xml:space="preserve">Obtener la IP mostrada en la pantalla OLED del módulo de control.</w:t>
      </w:r>
    </w:p>
    <w:p>
      <w:pPr>
        <w:pStyle w:val="ListParagraph"/>
        <w:numPr>
          <w:ilvl w:val="0"/>
          <w:numId w:val="3"/>
        </w:numPr>
      </w:pPr>
      <w:r>
        <w:t xml:space="preserve">Insertar la IP en el software y hacer clic en "Conectar".</w:t>
      </w:r>
    </w:p>
    <w:p>
      <w:pPr>
        <w:pStyle w:val="ListParagraph"/>
        <w:numPr>
          <w:ilvl w:val="0"/>
          <w:numId w:val="3"/>
        </w:numPr>
      </w:pPr>
      <w:r>
        <w:t xml:space="preserve">Seleccionar el ítem "SENSORA_SIMPLE_ANGLE" en el menú de módulos.</w:t>
      </w:r>
    </w:p>
    <w:p>
      <w:pPr>
        <w:pStyle w:val="Heading2"/>
      </w:pPr>
      <w:r>
        <w:t xml:space="preserve">4.2 Lectura de Datos</w:t>
      </w:r>
    </w:p>
    <w:p>
      <w:pPr>
        <w:pStyle w:val="ListParagraph"/>
        <w:numPr>
          <w:ilvl w:val="0"/>
          <w:numId w:val="2"/>
        </w:numPr>
      </w:pPr>
      <w:r>
        <w:rPr>
          <w:b/>
          <w:bCs/>
        </w:rPr>
        <w:t xml:space="preserve">Rango de salida: </w:t>
      </w:r>
      <w:r>
        <w:t xml:space="preserve">0° a 270° (ajustado según calibración)</w:t>
      </w:r>
    </w:p>
    <w:p>
      <w:pPr>
        <w:pStyle w:val="ListParagraph"/>
        <w:numPr>
          <w:ilvl w:val="0"/>
          <w:numId w:val="2"/>
        </w:numPr>
      </w:pPr>
      <w:r>
        <w:rPr>
          <w:b/>
          <w:bCs/>
        </w:rPr>
        <w:t xml:space="preserve">Resolución teórica: </w:t>
      </w:r>
      <w:r>
        <w:t xml:space="preserve">~0.066° (270° / 4096 niveles ADC)</w:t>
      </w:r>
    </w:p>
    <w:p>
      <w:pPr>
        <w:pStyle w:val="ListParagraph"/>
        <w:numPr>
          <w:ilvl w:val="0"/>
          <w:numId w:val="2"/>
        </w:numPr>
      </w:pPr>
      <w:r>
        <w:rPr>
          <w:b/>
          <w:bCs/>
        </w:rPr>
        <w:t xml:space="preserve">Frecuencia de actualización: </w:t>
      </w:r>
      <w:r>
        <w:t xml:space="preserve">Cada 100 ms (10 lecturas por segundo)</w:t>
      </w:r>
    </w:p>
    <w:p>
      <w:pPr>
        <w:pStyle w:val="Heading2"/>
      </w:pPr>
      <w:r>
        <w:t xml:space="preserve">4.3 Interpretación de Resultados</w:t>
      </w:r>
    </w:p>
    <w:p>
      <w:pPr>
        <w:pStyle w:val="ListParagraph"/>
        <w:numPr>
          <w:ilvl w:val="0"/>
          <w:numId w:val="2"/>
        </w:numPr>
      </w:pPr>
      <w:r>
        <w:rPr>
          <w:b/>
          <w:bCs/>
        </w:rPr>
        <w:t xml:space="preserve">Lectura estable: </w:t>
      </w:r>
      <w:r>
        <w:t xml:space="preserve">Variación menor a ±0.5° indica buen contacto.</w:t>
      </w:r>
    </w:p>
    <w:p>
      <w:pPr>
        <w:pStyle w:val="ListParagraph"/>
        <w:numPr>
          <w:ilvl w:val="0"/>
          <w:numId w:val="2"/>
        </w:numPr>
      </w:pPr>
      <w:r>
        <w:rPr>
          <w:b/>
          <w:bCs/>
        </w:rPr>
        <w:t xml:space="preserve">Lectura errática: </w:t>
      </w:r>
      <w:r>
        <w:t xml:space="preserve">Saltos mayores a ±5° pueden indicar suciedad en la pista, desgaste del cursor o conexión floja.</w:t>
      </w:r>
    </w:p>
    <w:p>
      <w:pPr>
        <w:pStyle w:val="ListParagraph"/>
        <w:numPr>
          <w:ilvl w:val="0"/>
          <w:numId w:val="2"/>
        </w:numPr>
      </w:pPr>
      <w:r>
        <w:rPr>
          <w:b/>
          <w:bCs/>
        </w:rPr>
        <w:t xml:space="preserve">Zona muerta: </w:t>
      </w:r>
      <w:r>
        <w:t xml:space="preserve">Si no hay cambio en los extremos (0° o 270°), es normal debido a topes mecánicos.</w:t>
      </w:r>
    </w:p>
    <w:p>
      <w:pPr>
        <w:pStyle w:val="Heading1"/>
      </w:pPr>
      <w:r>
        <w:t xml:space="preserve">5. PROCEDIMIENTO DE CALIBRACIÓN</w:t>
      </w:r>
    </w:p>
    <w:p>
      <w:pPr>
        <w:pStyle w:val="Heading2"/>
      </w:pPr>
      <w:r>
        <w:t xml:space="preserve">5.1 Materiales Necesarios</w:t>
      </w:r>
    </w:p>
    <w:p>
      <w:pPr>
        <w:pStyle w:val="ListParagraph"/>
        <w:numPr>
          <w:ilvl w:val="0"/>
          <w:numId w:val="2"/>
        </w:numPr>
      </w:pPr>
      <w:r>
        <w:t xml:space="preserve">Transportador físico de 360° o goniómetro digital</w:t>
      </w:r>
    </w:p>
    <w:p>
      <w:pPr>
        <w:pStyle w:val="ListParagraph"/>
        <w:numPr>
          <w:ilvl w:val="0"/>
          <w:numId w:val="2"/>
        </w:numPr>
      </w:pPr>
      <w:r>
        <w:t xml:space="preserve">Base estable para montar el potenciómetro</w:t>
      </w:r>
    </w:p>
    <w:p>
      <w:pPr>
        <w:pStyle w:val="ListParagraph"/>
        <w:numPr>
          <w:ilvl w:val="0"/>
          <w:numId w:val="2"/>
        </w:numPr>
      </w:pPr>
      <w:r>
        <w:t xml:space="preserve">Puntero o aguja indicadora acoplada al eje</w:t>
      </w:r>
    </w:p>
    <w:p>
      <w:pPr>
        <w:pStyle w:val="Heading2"/>
      </w:pPr>
      <w:r>
        <w:t xml:space="preserve">5.2 Preparación del Setup</w:t>
      </w:r>
    </w:p>
    <w:p>
      <w:pPr>
        <w:pStyle w:val="ListParagraph"/>
        <w:numPr>
          <w:ilvl w:val="0"/>
          <w:numId w:val="4"/>
        </w:numPr>
      </w:pPr>
      <w:r>
        <w:t xml:space="preserve">Montar el potenciómetro de forma que su eje quede perpendicular a la base.</w:t>
      </w:r>
    </w:p>
    <w:p>
      <w:pPr>
        <w:pStyle w:val="ListParagraph"/>
        <w:numPr>
          <w:ilvl w:val="0"/>
          <w:numId w:val="4"/>
        </w:numPr>
      </w:pPr>
      <w:r>
        <w:t xml:space="preserve">Acoplar un puntero al eje.</w:t>
      </w:r>
    </w:p>
    <w:p>
      <w:pPr>
        <w:pStyle w:val="ListParagraph"/>
        <w:numPr>
          <w:ilvl w:val="0"/>
          <w:numId w:val="4"/>
        </w:numPr>
      </w:pPr>
      <w:r>
        <w:t xml:space="preserve">Colocar el transportador debajo, alineando el centro con el eje del potenciómetro.</w:t>
      </w:r>
    </w:p>
    <w:p>
      <w:pPr>
        <w:pStyle w:val="ListParagraph"/>
        <w:numPr>
          <w:ilvl w:val="0"/>
          <w:numId w:val="4"/>
        </w:numPr>
      </w:pPr>
      <w:r>
        <w:t xml:space="preserve">Marcar la posición 0° en el transportador con la posición central del potenciómetro.</w:t>
      </w:r>
    </w:p>
    <w:p>
      <w:pPr>
        <w:pStyle w:val="Heading2"/>
      </w:pPr>
      <w:r>
        <w:t xml:space="preserve">5.3 Calibración Multipunto</w:t>
      </w:r>
    </w:p>
    <w:p>
      <w:pPr>
        <w:spacing w:after="120"/>
      </w:pPr>
      <w:r>
        <w:t xml:space="preserve">El mínimo de puntos de calibración son 2. Se recomienda usar al menos 5 puntos para mayor precisión.</w:t>
      </w:r>
    </w:p>
    <w:p>
      <w:pPr>
        <w:pStyle w:val="ListParagraph"/>
        <w:numPr>
          <w:ilvl w:val="0"/>
          <w:numId w:val="5"/>
        </w:numPr>
      </w:pPr>
      <w:r>
        <w:t xml:space="preserve">Colocar el eje del potenciómetro en ángulos conocidos del transportador.</w:t>
      </w:r>
    </w:p>
    <w:p>
      <w:pPr>
        <w:pStyle w:val="ListParagraph"/>
        <w:numPr>
          <w:ilvl w:val="0"/>
          <w:numId w:val="5"/>
        </w:numPr>
      </w:pPr>
      <w:r>
        <w:t xml:space="preserve">En cada posición, registrar el ángulo real (medido con el transportador).</w:t>
      </w:r>
    </w:p>
    <w:p>
      <w:pPr>
        <w:pStyle w:val="ListParagraph"/>
        <w:numPr>
          <w:ilvl w:val="0"/>
          <w:numId w:val="5"/>
        </w:numPr>
      </w:pPr>
      <w:r>
        <w:t xml:space="preserve">Registrar la lectura del ADC en SensoraCore (hacer clic en "Agregar Punto").</w:t>
      </w:r>
    </w:p>
    <w:p>
      <w:pPr>
        <w:pStyle w:val="ListParagraph"/>
        <w:numPr>
          <w:ilvl w:val="0"/>
          <w:numId w:val="5"/>
        </w:numPr>
      </w:pPr>
      <w:r>
        <w:t xml:space="preserve">Repetir para ángulos sugeridos: 0°, -135°, -105°, -75°, -45°, -15°, +15°, +45°, +75°, +105°, +135°.</w:t>
      </w:r>
    </w:p>
    <w:p>
      <w:pPr>
        <w:pStyle w:val="ListParagraph"/>
        <w:numPr>
          <w:ilvl w:val="0"/>
          <w:numId w:val="5"/>
        </w:numPr>
      </w:pPr>
      <w:r>
        <w:t xml:space="preserve">Hacer clic en "No Calibrado" para aplicar regresión lineal: y = β₀ + β₁x.</w:t>
      </w:r>
    </w:p>
    <w:p>
      <w:pPr>
        <w:pStyle w:val="Heading2"/>
      </w:pPr>
      <w:r>
        <w:t xml:space="preserve">5.4 Análisis de Calidad de Calibración</w:t>
      </w:r>
    </w:p>
    <w:p>
      <w:pPr>
        <w:spacing w:after="120"/>
      </w:pPr>
      <w:r>
        <w:t xml:space="preserve">El software calcula el coeficiente de determinación R²:</w:t>
      </w:r>
    </w:p>
    <w:p>
      <w:pPr>
        <w:pStyle w:val="ListParagraph"/>
        <w:numPr>
          <w:ilvl w:val="0"/>
          <w:numId w:val="2"/>
        </w:numPr>
      </w:pPr>
      <w:r>
        <w:rPr>
          <w:b/>
          <w:bCs/>
        </w:rPr>
        <w:t xml:space="preserve">R² &gt; 0.999: </w:t>
      </w:r>
      <w:r>
        <w:t xml:space="preserve">Excelente linealidad</w:t>
      </w:r>
    </w:p>
    <w:p>
      <w:pPr>
        <w:pStyle w:val="ListParagraph"/>
        <w:numPr>
          <w:ilvl w:val="0"/>
          <w:numId w:val="2"/>
        </w:numPr>
      </w:pPr>
      <w:r>
        <w:rPr>
          <w:b/>
          <w:bCs/>
        </w:rPr>
        <w:t xml:space="preserve">R² = 0.995 - 0.999: </w:t>
      </w:r>
      <w:r>
        <w:t xml:space="preserve">Buena linealidad (aceptable)</w:t>
      </w:r>
    </w:p>
    <w:p>
      <w:pPr>
        <w:pStyle w:val="ListParagraph"/>
        <w:numPr>
          <w:ilvl w:val="0"/>
          <w:numId w:val="2"/>
        </w:numPr>
      </w:pPr>
      <w:r>
        <w:rPr>
          <w:b/>
          <w:bCs/>
        </w:rPr>
        <w:t xml:space="preserve">R² &lt; 0.995: </w:t>
      </w:r>
      <w:r>
        <w:t xml:space="preserve">Revisar conexiones o potenciómetro defectuoso</w:t>
      </w:r>
    </w:p>
    <w:p>
      <w:pPr>
        <w:spacing w:before="120" w:after="120"/>
      </w:pPr>
      <w:r>
        <w:rPr>
          <w:b/>
          <w:bCs/>
        </w:rPr>
        <w:t xml:space="preserve">Error máximo absoluto: </w:t>
      </w:r>
    </w:p>
    <w:p>
      <w:pPr>
        <w:pStyle w:val="ListParagraph"/>
        <w:numPr>
          <w:ilvl w:val="0"/>
          <w:numId w:val="2"/>
        </w:numPr>
      </w:pPr>
      <w:r>
        <w:t xml:space="preserve">&lt; 5°: Excelente</w:t>
      </w:r>
    </w:p>
    <w:p>
      <w:pPr>
        <w:pStyle w:val="ListParagraph"/>
        <w:numPr>
          <w:ilvl w:val="0"/>
          <w:numId w:val="2"/>
        </w:numPr>
      </w:pPr>
      <w:r>
        <w:t xml:space="preserve">5° - 10°: Aceptable para uso educativo</w:t>
      </w:r>
    </w:p>
    <w:p>
      <w:pPr>
        <w:pStyle w:val="ListParagraph"/>
        <w:numPr>
          <w:ilvl w:val="0"/>
          <w:numId w:val="2"/>
        </w:numPr>
      </w:pPr>
      <w:r>
        <w:t xml:space="preserve">&gt; 10°: Requiere recalibración o reemplazo del sensor</w:t>
      </w:r>
    </w:p>
    <w:p>
      <w:pPr>
        <w:pStyle w:val="Heading1"/>
      </w:pPr>
      <w:r>
        <w:t xml:space="preserve">6. APLICACIONES TÍPICAS</w:t>
      </w:r>
    </w:p>
    <w:p>
      <w:pPr>
        <w:pStyle w:val="ListParagraph"/>
        <w:numPr>
          <w:ilvl w:val="0"/>
          <w:numId w:val="2"/>
        </w:numPr>
      </w:pPr>
      <w:r>
        <w:rPr>
          <w:b/>
          <w:bCs/>
        </w:rPr>
        <w:t xml:space="preserve">Robótica: </w:t>
      </w:r>
      <w:r>
        <w:t xml:space="preserve">Retroalimentación de posición en servomotores y brazos robóticos.</w:t>
      </w:r>
    </w:p>
    <w:p>
      <w:pPr>
        <w:pStyle w:val="ListParagraph"/>
        <w:numPr>
          <w:ilvl w:val="0"/>
          <w:numId w:val="2"/>
        </w:numPr>
      </w:pPr>
      <w:r>
        <w:rPr>
          <w:b/>
          <w:bCs/>
        </w:rPr>
        <w:t xml:space="preserve">Interfaces de usuario: </w:t>
      </w:r>
      <w:r>
        <w:t xml:space="preserve">Joysticks, mandos de control, perillas de ajuste.</w:t>
      </w:r>
    </w:p>
    <w:p>
      <w:pPr>
        <w:pStyle w:val="ListParagraph"/>
        <w:numPr>
          <w:ilvl w:val="0"/>
          <w:numId w:val="2"/>
        </w:numPr>
      </w:pPr>
      <w:r>
        <w:rPr>
          <w:b/>
          <w:bCs/>
        </w:rPr>
        <w:t xml:space="preserve">Instrumentación: </w:t>
      </w:r>
      <w:r>
        <w:t xml:space="preserve">Medición de ángulos en sistemas mecánicos, goniómetros digitales.</w:t>
      </w:r>
    </w:p>
    <w:p>
      <w:pPr>
        <w:pStyle w:val="ListParagraph"/>
        <w:numPr>
          <w:ilvl w:val="0"/>
          <w:numId w:val="2"/>
        </w:numPr>
      </w:pPr>
      <w:r>
        <w:rPr>
          <w:b/>
          <w:bCs/>
        </w:rPr>
        <w:t xml:space="preserve">Educación: </w:t>
      </w:r>
      <w:r>
        <w:t xml:space="preserve">Prácticas de conversión analógica-digital, calibración de sensores.</w:t>
      </w:r>
    </w:p>
    <w:p>
      <w:pPr>
        <w:pStyle w:val="ListParagraph"/>
        <w:numPr>
          <w:ilvl w:val="0"/>
          <w:numId w:val="2"/>
        </w:numPr>
      </w:pPr>
      <w:r>
        <w:rPr>
          <w:b/>
          <w:bCs/>
        </w:rPr>
        <w:t xml:space="preserve">Automoción: </w:t>
      </w:r>
      <w:r>
        <w:t xml:space="preserve">Sensor de posición del acelerador (TPS).</w:t>
      </w:r>
    </w:p>
    <w:p>
      <w:pPr>
        <w:pStyle w:val="Heading1"/>
      </w:pPr>
      <w:r>
        <w:t xml:space="preserve">7. EXPORTACIÓN DE DATOS</w:t>
      </w:r>
    </w:p>
    <w:p>
      <w:pPr>
        <w:spacing w:after="120"/>
      </w:pPr>
      <w:r>
        <w:t xml:space="preserve">El software permite la exportación de los metadatos obtenidos durante la experiencia en una hoja de cálculo .xlsx que incluye:</w:t>
      </w:r>
    </w:p>
    <w:p>
      <w:pPr>
        <w:pStyle w:val="ListParagraph"/>
        <w:numPr>
          <w:ilvl w:val="0"/>
          <w:numId w:val="2"/>
        </w:numPr>
      </w:pPr>
      <w:r>
        <w:t xml:space="preserve">Tiempo de medición</w:t>
      </w:r>
    </w:p>
    <w:p>
      <w:pPr>
        <w:pStyle w:val="ListParagraph"/>
        <w:numPr>
          <w:ilvl w:val="0"/>
          <w:numId w:val="2"/>
        </w:numPr>
      </w:pPr>
      <w:r>
        <w:t xml:space="preserve">Lectura ADC cruda</w:t>
      </w:r>
    </w:p>
    <w:p>
      <w:pPr>
        <w:pStyle w:val="ListParagraph"/>
        <w:numPr>
          <w:ilvl w:val="0"/>
          <w:numId w:val="2"/>
        </w:numPr>
      </w:pPr>
      <w:r>
        <w:t xml:space="preserve">Ángulo original (sin calibrar)</w:t>
      </w:r>
    </w:p>
    <w:p>
      <w:pPr>
        <w:pStyle w:val="ListParagraph"/>
        <w:numPr>
          <w:ilvl w:val="0"/>
          <w:numId w:val="2"/>
        </w:numPr>
      </w:pPr>
      <w:r>
        <w:t xml:space="preserve">Ángulo calibrado</w:t>
      </w:r>
    </w:p>
    <w:p>
      <w:pPr>
        <w:pStyle w:val="ListParagraph"/>
        <w:numPr>
          <w:ilvl w:val="0"/>
          <w:numId w:val="2"/>
        </w:numPr>
      </w:pPr>
      <w:r>
        <w:t xml:space="preserve">Diferencia (error)</w:t>
      </w:r>
    </w:p>
    <w:p>
      <w:pPr>
        <w:pStyle w:val="Heading1"/>
      </w:pPr>
      <w:r>
        <w:t xml:space="preserve">8. REFERENCIAS</w:t>
      </w:r>
    </w:p>
    <w:p>
      <w:pPr>
        <w:pStyle w:val="ListParagraph"/>
        <w:numPr>
          <w:ilvl w:val="0"/>
          <w:numId w:val="2"/>
        </w:numPr>
      </w:pPr>
      <w:r>
        <w:t xml:space="preserve">Repositorio GitHub SensoraCore: https://github.com/YamithR/SensoraCore</w:t>
      </w:r>
    </w:p>
    <w:p>
      <w:pPr>
        <w:pStyle w:val="ListParagraph"/>
        <w:numPr>
          <w:ilvl w:val="0"/>
          <w:numId w:val="2"/>
        </w:numPr>
      </w:pPr>
      <w:r>
        <w:t xml:space="preserve">Documentación Web: https://yamithr.github.io/SensoraCore/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SENSORACORE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2025-12-12T02:04:37.464Z</dcterms:created>
  <dcterms:modified xsi:type="dcterms:W3CDTF">2025-12-12T02:04:37.465Z</dcterms:modified>
</cp:coreProperties>
</file>

<file path=docProps/custom.xml><?xml version="1.0" encoding="utf-8"?>
<Properties xmlns="http://schemas.openxmlformats.org/officeDocument/2006/custom-properties" xmlns:vt="http://schemas.openxmlformats.org/officeDocument/2006/docPropsVTypes"/>
</file>