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MANUAL DE USUARIO</w:t>
      </w:r>
    </w:p>
    <w:p>
      <w:pPr>
        <w:spacing w:before="200"/>
        <w:jc w:val="center"/>
      </w:pPr>
      <w:r>
        <w:rPr>
          <w:color w:val="2E75B6"/>
          <w:sz w:val="36"/>
          <w:szCs w:val="36"/>
        </w:rPr>
        <w:t xml:space="preserve">Módulo SENSORA_CAPACITIVE</w:t>
      </w:r>
    </w:p>
    <w:p>
      <w:pPr>
        <w:spacing w:before="400"/>
        <w:jc w:val="center"/>
      </w:pPr>
      <w:r>
        <w:rPr>
          <w:i/>
          <w:iCs/>
          <w:sz w:val="28"/>
          <w:szCs w:val="28"/>
        </w:rPr>
        <w:t xml:space="preserve">Plataforma SensoraCore</w:t>
      </w:r>
    </w:p>
    <w:p>
      <w:pPr>
        <w:spacing w:before="200"/>
        <w:jc w:val="center"/>
      </w:pPr>
      <w:r>
        <w:rPr>
          <w:sz w:val="24"/>
          <w:szCs w:val="24"/>
        </w:rPr>
        <w:t xml:space="preserve">Universidad Autónoma del Caribe</w:t>
      </w:r>
    </w:p>
    <w:p>
      <w:pPr>
        <w:jc w:val="center"/>
      </w:pPr>
      <w:r>
        <w:rPr>
          <w:sz w:val="22"/>
          <w:szCs w:val="22"/>
        </w:rPr>
        <w:t xml:space="preserve">Programa de Ingeniería Mecatrónica</w:t>
      </w:r>
    </w:p>
    <w:p>
      <w:pPr>
        <w:spacing w:before="400"/>
        <w:jc w:val="center"/>
      </w:pPr>
      <w:r>
        <w:rPr>
          <w:b/>
          <w:bCs/>
          <w:sz w:val="22"/>
          <w:szCs w:val="22"/>
        </w:rPr>
        <w:t xml:space="preserve">2025</w:t>
      </w:r>
    </w:p>
    <w:p>
      <w:r>
        <w:br w:type="page"/>
      </w:r>
    </w:p>
    <w:p>
      <w:pPr>
        <w:pStyle w:val="Heading1"/>
      </w:pPr>
      <w:r>
        <w:t xml:space="preserve">1. INTRODUCCIÓN</w:t>
      </w:r>
    </w:p>
    <w:p>
      <w:pPr>
        <w:pStyle w:val="Heading2"/>
      </w:pPr>
      <w:r>
        <w:t xml:space="preserve">1.1 Descripción General</w:t>
      </w:r>
    </w:p>
    <w:p>
      <w:pPr>
        <w:spacing w:after="120"/>
      </w:pPr>
      <w:r>
        <w:t xml:space="preserve">Este manual proporciona instrucciones detalladas para la configuración, uso y calibración del módulo SENSORA_CAPACITIVE de la plataforma SensoraCore.</w:t>
      </w:r>
    </w:p>
    <w:p>
      <w:pPr>
        <w:spacing w:after="120"/>
      </w:pPr>
      <w:r>
        <w:rPr>
          <w:b/>
          <w:bCs/>
        </w:rPr>
        <w:t xml:space="preserve">Sensor(es): </w:t>
      </w:r>
      <w:r>
        <w:t xml:space="preserve">SCA-15-30K30-WF/ZL</w:t>
      </w:r>
    </w:p>
    <w:p>
      <w:pPr>
        <w:spacing w:after="120"/>
      </w:pPr>
      <w:r>
        <w:rPr>
          <w:b/>
          <w:bCs/>
        </w:rPr>
        <w:t xml:space="preserve">Variable medida: </w:t>
      </w:r>
      <w:r>
        <w:t xml:space="preserve">Proximidad capacitiva (0-30mm)</w:t>
      </w:r>
    </w:p>
    <w:p>
      <w:pPr>
        <w:spacing w:after="120"/>
      </w:pPr>
      <w:r>
        <w:rPr>
          <w:b/>
          <w:bCs/>
        </w:rPr>
        <w:t xml:space="preserve">Método de calibración: </w:t>
      </w:r>
      <w:r>
        <w:t xml:space="preserve">Caracterización</w:t>
      </w:r>
    </w:p>
    <w:p>
      <w:pPr>
        <w:pStyle w:val="Heading2"/>
      </w:pPr>
      <w:r>
        <w:t xml:space="preserve">1.2 Principio de Funcionamiento</w:t>
      </w:r>
    </w:p>
    <w:p>
      <w:pPr>
        <w:spacing w:after="120"/>
      </w:pPr>
      <w:r>
        <w:t xml:space="preserve">El sensor capacitivo SCA-15-30K30-WF/ZL detecta la presencia de objetos mediante la variación de un campo eléctrico. Cuando un material con constante dieléctrica diferente al aire se acerca, la capacitancia del sistema cambia, activando la salida digital del sensor.</w:t>
      </w:r>
    </w:p>
    <w:p>
      <w:pPr>
        <w:pStyle w:val="Heading1"/>
      </w:pPr>
      <w:r>
        <w:t xml:space="preserve">2. ESPECIFICACIONES TÉCNICAS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Parámetro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Valor</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Modelo</w:t>
            </w:r>
          </w:p>
        </w:tc>
        <w:tc>
          <w:tcPr>
            <w:tcW w:type="dxa" w:w="4680"/>
            <w:tcBorders>
              <w:top w:val="single" w:color="CCCCCC" w:sz="1"/>
              <w:left w:val="single" w:color="CCCCCC" w:sz="1"/>
              <w:bottom w:val="single" w:color="CCCCCC" w:sz="1"/>
              <w:right w:val="single" w:color="CCCCCC" w:sz="1"/>
            </w:tcBorders>
          </w:tcPr>
          <w:p>
            <w:r>
              <w:rPr>
                <w:sz w:val="20"/>
                <w:szCs w:val="20"/>
              </w:rPr>
              <w:t xml:space="preserve">SCA-15-30K30-WF/ZL</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Rango Detección</w:t>
            </w:r>
          </w:p>
        </w:tc>
        <w:tc>
          <w:tcPr>
            <w:tcW w:type="dxa" w:w="4680"/>
            <w:tcBorders>
              <w:top w:val="single" w:color="CCCCCC" w:sz="1"/>
              <w:left w:val="single" w:color="CCCCCC" w:sz="1"/>
              <w:bottom w:val="single" w:color="CCCCCC" w:sz="1"/>
              <w:right w:val="single" w:color="CCCCCC" w:sz="1"/>
            </w:tcBorders>
          </w:tcPr>
          <w:p>
            <w:r>
              <w:rPr>
                <w:sz w:val="20"/>
                <w:szCs w:val="20"/>
              </w:rPr>
              <w:t xml:space="preserve">0 a 30 mm (ajustable)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Tipo Salida</w:t>
            </w:r>
          </w:p>
        </w:tc>
        <w:tc>
          <w:tcPr>
            <w:tcW w:type="dxa" w:w="4680"/>
            <w:tcBorders>
              <w:top w:val="single" w:color="CCCCCC" w:sz="1"/>
              <w:left w:val="single" w:color="CCCCCC" w:sz="1"/>
              <w:bottom w:val="single" w:color="CCCCCC" w:sz="1"/>
              <w:right w:val="single" w:color="CCCCCC" w:sz="1"/>
            </w:tcBorders>
          </w:tcPr>
          <w:p>
            <w:r>
              <w:rPr>
                <w:sz w:val="20"/>
                <w:szCs w:val="20"/>
              </w:rPr>
              <w:t xml:space="preserve">PNP-NO (Normally Open)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Voltaje Operación</w:t>
            </w:r>
          </w:p>
        </w:tc>
        <w:tc>
          <w:tcPr>
            <w:tcW w:type="dxa" w:w="4680"/>
            <w:tcBorders>
              <w:top w:val="single" w:color="CCCCCC" w:sz="1"/>
              <w:left w:val="single" w:color="CCCCCC" w:sz="1"/>
              <w:bottom w:val="single" w:color="CCCCCC" w:sz="1"/>
              <w:right w:val="single" w:color="CCCCCC" w:sz="1"/>
            </w:tcBorders>
          </w:tcPr>
          <w:p>
            <w:r>
              <w:rPr>
                <w:sz w:val="20"/>
                <w:szCs w:val="20"/>
              </w:rPr>
              <w:t xml:space="preserve">10V a 30V DC</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Corriente Máxima</w:t>
            </w:r>
          </w:p>
        </w:tc>
        <w:tc>
          <w:tcPr>
            <w:tcW w:type="dxa" w:w="4680"/>
            <w:tcBorders>
              <w:top w:val="single" w:color="CCCCCC" w:sz="1"/>
              <w:left w:val="single" w:color="CCCCCC" w:sz="1"/>
              <w:bottom w:val="single" w:color="CCCCCC" w:sz="1"/>
              <w:right w:val="single" w:color="CCCCCC" w:sz="1"/>
            </w:tcBorders>
          </w:tcPr>
          <w:p>
            <w:r>
              <w:rPr>
                <w:sz w:val="20"/>
                <w:szCs w:val="20"/>
              </w:rPr>
              <w:t xml:space="preserve">200 mA</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Protección</w:t>
            </w:r>
          </w:p>
        </w:tc>
        <w:tc>
          <w:tcPr>
            <w:tcW w:type="dxa" w:w="4680"/>
            <w:tcBorders>
              <w:top w:val="single" w:color="CCCCCC" w:sz="1"/>
              <w:left w:val="single" w:color="CCCCCC" w:sz="1"/>
              <w:bottom w:val="single" w:color="CCCCCC" w:sz="1"/>
              <w:right w:val="single" w:color="CCCCCC" w:sz="1"/>
            </w:tcBorders>
          </w:tcPr>
          <w:p>
            <w:r>
              <w:rPr>
                <w:sz w:val="20"/>
                <w:szCs w:val="20"/>
              </w:rPr>
              <w:t xml:space="preserve">IP67</w:t>
            </w:r>
          </w:p>
        </w:tc>
      </w:tr>
    </w:tbl>
    <w:p>
      <w:pPr>
        <w:pStyle w:val="Heading1"/>
      </w:pPr>
      <w:r>
        <w:t xml:space="preserve">3. CONEXIONES</w:t>
      </w:r>
    </w:p>
    <w:p>
      <w:pPr>
        <w:pStyle w:val="Heading2"/>
      </w:pPr>
      <w:r>
        <w:t xml:space="preserve">3.1 Diagrama de Pines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Pin/Cable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Conexión ESP32</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Descripción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Cable Marrón (VCC)</w:t>
            </w:r>
          </w:p>
        </w:tc>
        <w:tc>
          <w:tcPr>
            <w:tcW w:type="dxa" w:w="3120"/>
            <w:tcBorders>
              <w:top w:val="single" w:color="CCCCCC" w:sz="1"/>
              <w:left w:val="single" w:color="CCCCCC" w:sz="1"/>
              <w:bottom w:val="single" w:color="CCCCCC" w:sz="1"/>
              <w:right w:val="single" w:color="CCCCCC" w:sz="1"/>
            </w:tcBorders>
          </w:tcPr>
          <w:p>
            <w:r>
              <w:rPr>
                <w:sz w:val="20"/>
                <w:szCs w:val="20"/>
              </w:rPr>
              <w:t xml:space="preserve">+12V DC</w:t>
            </w:r>
          </w:p>
        </w:tc>
        <w:tc>
          <w:tcPr>
            <w:tcW w:type="dxa" w:w="3120"/>
            <w:tcBorders>
              <w:top w:val="single" w:color="CCCCCC" w:sz="1"/>
              <w:left w:val="single" w:color="CCCCCC" w:sz="1"/>
              <w:bottom w:val="single" w:color="CCCCCC" w:sz="1"/>
              <w:right w:val="single" w:color="CCCCCC" w:sz="1"/>
            </w:tcBorders>
          </w:tcPr>
          <w:p>
            <w:r>
              <w:rPr>
                <w:sz w:val="20"/>
                <w:szCs w:val="20"/>
              </w:rPr>
              <w:t xml:space="preserve">Alimentación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Cable Azul (GND)</w:t>
            </w:r>
          </w:p>
        </w:tc>
        <w:tc>
          <w:tcPr>
            <w:tcW w:type="dxa" w:w="3120"/>
            <w:tcBorders>
              <w:top w:val="single" w:color="CCCCCC" w:sz="1"/>
              <w:left w:val="single" w:color="CCCCCC" w:sz="1"/>
              <w:bottom w:val="single" w:color="CCCCCC" w:sz="1"/>
              <w:right w:val="single" w:color="CCCCCC" w:sz="1"/>
            </w:tcBorders>
          </w:tcPr>
          <w:p>
            <w:r>
              <w:rPr>
                <w:sz w:val="20"/>
                <w:szCs w:val="20"/>
              </w:rPr>
              <w:t xml:space="preserve">GND</w:t>
            </w:r>
          </w:p>
        </w:tc>
        <w:tc>
          <w:tcPr>
            <w:tcW w:type="dxa" w:w="3120"/>
            <w:tcBorders>
              <w:top w:val="single" w:color="CCCCCC" w:sz="1"/>
              <w:left w:val="single" w:color="CCCCCC" w:sz="1"/>
              <w:bottom w:val="single" w:color="CCCCCC" w:sz="1"/>
              <w:right w:val="single" w:color="CCCCCC" w:sz="1"/>
            </w:tcBorders>
          </w:tcPr>
          <w:p>
            <w:r>
              <w:rPr>
                <w:sz w:val="20"/>
                <w:szCs w:val="20"/>
              </w:rPr>
              <w:t xml:space="preserve">Tierra común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Cable Negro (OUT)</w:t>
            </w:r>
          </w:p>
        </w:tc>
        <w:tc>
          <w:tcPr>
            <w:tcW w:type="dxa" w:w="3120"/>
            <w:tcBorders>
              <w:top w:val="single" w:color="CCCCCC" w:sz="1"/>
              <w:left w:val="single" w:color="CCCCCC" w:sz="1"/>
              <w:bottom w:val="single" w:color="CCCCCC" w:sz="1"/>
              <w:right w:val="single" w:color="CCCCCC" w:sz="1"/>
            </w:tcBorders>
          </w:tcPr>
          <w:p>
            <w:r>
              <w:rPr>
                <w:sz w:val="20"/>
                <w:szCs w:val="20"/>
              </w:rPr>
              <w:t xml:space="preserve">GPIO26</w:t>
            </w:r>
          </w:p>
        </w:tc>
        <w:tc>
          <w:tcPr>
            <w:tcW w:type="dxa" w:w="3120"/>
            <w:tcBorders>
              <w:top w:val="single" w:color="CCCCCC" w:sz="1"/>
              <w:left w:val="single" w:color="CCCCCC" w:sz="1"/>
              <w:bottom w:val="single" w:color="CCCCCC" w:sz="1"/>
              <w:right w:val="single" w:color="CCCCCC" w:sz="1"/>
            </w:tcBorders>
          </w:tcPr>
          <w:p>
            <w:r>
              <w:rPr>
                <w:sz w:val="20"/>
                <w:szCs w:val="20"/>
              </w:rPr>
              <w:t xml:space="preserve">Señal digital</w:t>
            </w:r>
          </w:p>
        </w:tc>
      </w:tr>
    </w:tbl>
    <w:p>
      <w:pPr>
        <w:pStyle w:val="Heading1"/>
      </w:pPr>
      <w:r>
        <w:t xml:space="preserve">4. CONFIGURACIÓN DEL SOFTWARE</w:t>
      </w:r>
    </w:p>
    <w:p>
      <w:pPr>
        <w:pStyle w:val="Heading2"/>
      </w:pPr>
      <w:r>
        <w:t xml:space="preserve">4.1 Conexión a SensoraCore</w:t>
      </w:r>
    </w:p>
    <w:p>
      <w:pPr>
        <w:pStyle w:val="ListParagraph"/>
        <w:numPr>
          <w:ilvl w:val="0"/>
          <w:numId w:val="2"/>
        </w:numPr>
      </w:pPr>
      <w:r>
        <w:t xml:space="preserve">Abrir la aplicación SensoraCore en el computador</w:t>
      </w:r>
    </w:p>
    <w:p>
      <w:pPr>
        <w:pStyle w:val="ListParagraph"/>
        <w:numPr>
          <w:ilvl w:val="0"/>
          <w:numId w:val="2"/>
        </w:numPr>
      </w:pPr>
      <w:r>
        <w:t xml:space="preserve">Conectarse a la misma red Wi-Fi que el ESP32</w:t>
      </w:r>
    </w:p>
    <w:p>
      <w:pPr>
        <w:pStyle w:val="ListParagraph"/>
        <w:numPr>
          <w:ilvl w:val="0"/>
          <w:numId w:val="2"/>
        </w:numPr>
      </w:pPr>
      <w:r>
        <w:t xml:space="preserve">Obtener la dirección IP mostrada en la pantalla OLED del módulo de control</w:t>
      </w:r>
    </w:p>
    <w:p>
      <w:pPr>
        <w:pStyle w:val="ListParagraph"/>
        <w:numPr>
          <w:ilvl w:val="0"/>
          <w:numId w:val="2"/>
        </w:numPr>
      </w:pPr>
      <w:r>
        <w:t xml:space="preserve">Ingresar la IP en SensoraCore y hacer clic en 'Conectar'</w:t>
      </w:r>
    </w:p>
    <w:p>
      <w:pPr>
        <w:pStyle w:val="ListParagraph"/>
        <w:numPr>
          <w:ilvl w:val="0"/>
          <w:numId w:val="2"/>
        </w:numPr>
      </w:pPr>
      <w:r>
        <w:t xml:space="preserve">Seleccionar el módulo 'SENSORA_CAPACITIVE' del menú desplegable</w:t>
      </w:r>
    </w:p>
    <w:p>
      <w:pPr>
        <w:pStyle w:val="Heading1"/>
      </w:pPr>
      <w:r>
        <w:t xml:space="preserve">5. PROCEDIMIENTO DE CALIBRACIÓN</w:t>
      </w:r>
    </w:p>
    <w:p>
      <w:pPr>
        <w:spacing w:after="120"/>
      </w:pPr>
      <w:r>
        <w:t xml:space="preserve">Siga los siguientes pasos para calibrar correctamente el sensor:</w:t>
      </w:r>
    </w:p>
    <w:p>
      <w:pPr>
        <w:pStyle w:val="ListParagraph"/>
        <w:numPr>
          <w:ilvl w:val="0"/>
          <w:numId w:val="3"/>
        </w:numPr>
      </w:pPr>
      <w:r>
        <w:t xml:space="preserve">Ajustar potenciómetro del sensor a sensibilidad media</w:t>
      </w:r>
    </w:p>
    <w:p>
      <w:pPr>
        <w:pStyle w:val="ListParagraph"/>
        <w:numPr>
          <w:ilvl w:val="0"/>
          <w:numId w:val="3"/>
        </w:numPr>
      </w:pPr>
      <w:r>
        <w:t xml:space="preserve">Preparar materiales de prueba: aluminio, agua, vidrio, plástico, madera, cartón</w:t>
      </w:r>
    </w:p>
    <w:p>
      <w:pPr>
        <w:pStyle w:val="ListParagraph"/>
        <w:numPr>
          <w:ilvl w:val="0"/>
          <w:numId w:val="3"/>
        </w:numPr>
      </w:pPr>
      <w:r>
        <w:t xml:space="preserve">Para cada material, acercar lentamente desde 50mm hasta contacto</w:t>
      </w:r>
    </w:p>
    <w:p>
      <w:pPr>
        <w:pStyle w:val="ListParagraph"/>
        <w:numPr>
          <w:ilvl w:val="0"/>
          <w:numId w:val="3"/>
        </w:numPr>
      </w:pPr>
      <w:r>
        <w:t xml:space="preserve">Registrar distancia exacta donde el LED indicador se enciende</w:t>
      </w:r>
    </w:p>
    <w:p>
      <w:pPr>
        <w:pStyle w:val="ListParagraph"/>
        <w:numPr>
          <w:ilvl w:val="0"/>
          <w:numId w:val="3"/>
        </w:numPr>
      </w:pPr>
      <w:r>
        <w:t xml:space="preserve">Repetir 5 veces por material y calcular promedio</w:t>
      </w:r>
    </w:p>
    <w:p>
      <w:pPr>
        <w:pStyle w:val="ListParagraph"/>
        <w:numPr>
          <w:ilvl w:val="0"/>
          <w:numId w:val="3"/>
        </w:numPr>
      </w:pPr>
      <w:r>
        <w:t xml:space="preserve">Documentar constante dieléctrica relativa de cada material</w:t>
      </w:r>
    </w:p>
    <w:p>
      <w:pPr>
        <w:pStyle w:val="ListParagraph"/>
        <w:numPr>
          <w:ilvl w:val="0"/>
          <w:numId w:val="3"/>
        </w:numPr>
      </w:pPr>
      <w:r>
        <w:t xml:space="preserve">Generar tabla de caracterización con distancias máximas de detección</w:t>
      </w:r>
    </w:p>
    <w:p>
      <w:pPr>
        <w:pStyle w:val="Heading1"/>
      </w:pPr>
      <w:r>
        <w:t xml:space="preserve">6. APLICACIONES</w:t>
      </w:r>
    </w:p>
    <w:p>
      <w:pPr>
        <w:spacing w:after="120"/>
      </w:pPr>
      <w:r>
        <w:t xml:space="preserve">El módulo puede utilizarse en las siguientes aplicaciones:</w:t>
      </w:r>
    </w:p>
    <w:p>
      <w:pPr>
        <w:pStyle w:val="ListParagraph"/>
        <w:numPr>
          <w:ilvl w:val="0"/>
          <w:numId w:val="4"/>
        </w:numPr>
      </w:pPr>
      <w:r>
        <w:t xml:space="preserve">Detección de nivel en tanques</w:t>
      </w:r>
    </w:p>
    <w:p>
      <w:pPr>
        <w:pStyle w:val="ListParagraph"/>
        <w:numPr>
          <w:ilvl w:val="0"/>
          <w:numId w:val="4"/>
        </w:numPr>
      </w:pPr>
      <w:r>
        <w:t xml:space="preserve">Control de llenado de recipientes</w:t>
      </w:r>
    </w:p>
    <w:p>
      <w:pPr>
        <w:pStyle w:val="ListParagraph"/>
        <w:numPr>
          <w:ilvl w:val="0"/>
          <w:numId w:val="4"/>
        </w:numPr>
      </w:pPr>
      <w:r>
        <w:t xml:space="preserve">Contador de objetos no metálicos</w:t>
      </w:r>
    </w:p>
    <w:p>
      <w:pPr>
        <w:pStyle w:val="ListParagraph"/>
        <w:numPr>
          <w:ilvl w:val="0"/>
          <w:numId w:val="4"/>
        </w:numPr>
      </w:pPr>
      <w:r>
        <w:t xml:space="preserve">Automatización industrial</w:t>
      </w:r>
    </w:p>
    <w:p>
      <w:pPr>
        <w:pStyle w:val="Heading1"/>
      </w:pPr>
      <w:r>
        <w:t xml:space="preserve">7. PRECAUCIONES DE SEGURIDAD</w:t>
      </w:r>
    </w:p>
    <w:p>
      <w:pPr>
        <w:pStyle w:val="ListParagraph"/>
        <w:numPr>
          <w:ilvl w:val="0"/>
          <w:numId w:val="5"/>
        </w:numPr>
      </w:pPr>
      <w:r>
        <w:t xml:space="preserve">Verificar voltaje de alimentación antes de conectar</w:t>
      </w:r>
    </w:p>
    <w:p>
      <w:pPr>
        <w:pStyle w:val="ListParagraph"/>
        <w:numPr>
          <w:ilvl w:val="0"/>
          <w:numId w:val="5"/>
        </w:numPr>
      </w:pPr>
      <w:r>
        <w:t xml:space="preserve">No exceder los rangos de operación especificados</w:t>
      </w:r>
    </w:p>
    <w:p>
      <w:pPr>
        <w:pStyle w:val="ListParagraph"/>
        <w:numPr>
          <w:ilvl w:val="0"/>
          <w:numId w:val="5"/>
        </w:numPr>
      </w:pPr>
      <w:r>
        <w:t xml:space="preserve">Mantener conexiones firmes para evitar lecturas erróneas</w:t>
      </w:r>
    </w:p>
    <w:p>
      <w:pPr>
        <w:pStyle w:val="ListParagraph"/>
        <w:numPr>
          <w:ilvl w:val="0"/>
          <w:numId w:val="5"/>
        </w:numPr>
      </w:pPr>
      <w:r>
        <w:t xml:space="preserve">Evitar ambientes con humedad excesiva o polvo</w:t>
      </w:r>
    </w:p>
    <w:p>
      <w:pPr>
        <w:pStyle w:val="ListParagraph"/>
        <w:numPr>
          <w:ilvl w:val="0"/>
          <w:numId w:val="5"/>
        </w:numPr>
      </w:pPr>
      <w:r>
        <w:t xml:space="preserve">Realizar calibración en condiciones controladas</w:t>
      </w:r>
    </w:p>
    <w:p>
      <w:pPr>
        <w:pStyle w:val="Heading1"/>
      </w:pPr>
      <w:r>
        <w:t xml:space="preserve">8. REFERENCIAS</w:t>
      </w:r>
    </w:p>
    <w:p>
      <w:r>
        <w:t xml:space="preserve">Repositorio GitHub: </w:t>
      </w:r>
      <w:hyperlink w:history="1" r:id="rIdiqqoh4d2sqokyeyt4-jmj">
        <w:r>
          <w:rPr>
            <w:color w:val="0563C1"/>
            <w:u w:val="single"/>
          </w:rPr>
          <w:t xml:space="preserve">https://github.com/YamithR/SensoraCore</w:t>
        </w:r>
      </w:hyperlink>
    </w:p>
    <w:p>
      <w:r>
        <w:t xml:space="preserve">Documentación Web: </w:t>
      </w:r>
      <w:hyperlink w:history="1" r:id="rId-i7plzv6iqdrfbpgjtxkz">
        <w:r>
          <w:rPr>
            <w:color w:val="0563C1"/>
            <w:u w:val="single"/>
          </w:rPr>
          <w:t xml:space="preserve">https://yamithr.github.io/SensoraCore/</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Universidad Autónoma del Caribe | </w:t>
    </w:r>
    <w:r>
      <w:rPr>
        <w:b/>
        <w:bCs/>
        <w:color w:val="1F4E79"/>
        <w:sz w:val="18"/>
        <w:szCs w:val="18"/>
      </w:rPr>
      <w:t xml:space="preserve">Manual CAPACITIVE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iqqoh4d2sqokyeyt4-jmj" Type="http://schemas.openxmlformats.org/officeDocument/2006/relationships/hyperlink" Target="https://github.com/YamithR/SensoraCore" TargetMode="External"/><Relationship Id="rId-i7plzv6iqdrfbpgjtxkz" Type="http://schemas.openxmlformats.org/officeDocument/2006/relationships/hyperlink" Target="https://yamithr.github.io/SensoraCore/"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2025-12-12T02:15:28.167Z</dcterms:created>
  <dcterms:modified xsi:type="dcterms:W3CDTF">2025-12-12T02:15:28.167Z</dcterms:modified>
</cp:coreProperties>
</file>

<file path=docProps/custom.xml><?xml version="1.0" encoding="utf-8"?>
<Properties xmlns="http://schemas.openxmlformats.org/officeDocument/2006/custom-properties" xmlns:vt="http://schemas.openxmlformats.org/officeDocument/2006/docPropsVTypes"/>
</file>