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MANUAL DE USUARIO</w:t>
      </w:r>
    </w:p>
    <w:p>
      <w:pPr>
        <w:spacing w:before="200"/>
        <w:jc w:val="center"/>
      </w:pPr>
      <w:r>
        <w:rPr>
          <w:color w:val="2E75B6"/>
          <w:sz w:val="36"/>
          <w:szCs w:val="36"/>
        </w:rPr>
        <w:t xml:space="preserve">Módulo SENSORA_THERMOREGULATION</w:t>
      </w:r>
    </w:p>
    <w:p>
      <w:pPr>
        <w:spacing w:before="400"/>
        <w:jc w:val="center"/>
      </w:pPr>
      <w:r>
        <w:rPr>
          <w:i/>
          <w:iCs/>
          <w:sz w:val="28"/>
          <w:szCs w:val="28"/>
        </w:rPr>
        <w:t xml:space="preserve">Plataforma SensoraCore</w:t>
      </w:r>
    </w:p>
    <w:p>
      <w:pPr>
        <w:spacing w:before="200"/>
        <w:jc w:val="center"/>
      </w:pPr>
      <w:r>
        <w:rPr>
          <w:sz w:val="24"/>
          <w:szCs w:val="24"/>
        </w:rPr>
        <w:t xml:space="preserve">Universidad Autónoma del Caribe</w:t>
      </w:r>
    </w:p>
    <w:p>
      <w:pPr>
        <w:jc w:val="center"/>
      </w:pPr>
      <w:r>
        <w:rPr>
          <w:sz w:val="22"/>
          <w:szCs w:val="22"/>
        </w:rPr>
        <w:t xml:space="preserve">Programa de Ingeniería Mecatrónica</w:t>
      </w:r>
    </w:p>
    <w:p>
      <w:pPr>
        <w:spacing w:before="400"/>
        <w:jc w:val="center"/>
      </w:pPr>
      <w:r>
        <w:rPr>
          <w:b/>
          <w:bCs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pStyle w:val="Heading2"/>
      </w:pPr>
      <w:r>
        <w:t xml:space="preserve">1.1 Descripción General</w:t>
      </w:r>
    </w:p>
    <w:p>
      <w:pPr>
        <w:spacing w:after="120"/>
      </w:pPr>
      <w:r>
        <w:t xml:space="preserve">Este manual proporciona instrucciones detalladas para la configuración, uso y calibración del módulo SENSORA_THERMOREGULATION de la plataforma SensoraCore.</w:t>
      </w:r>
    </w:p>
    <w:p>
      <w:pPr>
        <w:spacing w:after="120"/>
      </w:pPr>
      <w:r>
        <w:rPr>
          <w:b/>
          <w:bCs/>
        </w:rPr>
        <w:t xml:space="preserve">Sensor(es): </w:t>
      </w:r>
      <w:r>
        <w:t xml:space="preserve">LM35 + Termopar K + DS18B20</w:t>
      </w:r>
    </w:p>
    <w:p>
      <w:pPr>
        <w:spacing w:after="120"/>
      </w:pPr>
      <w:r>
        <w:rPr>
          <w:b/>
          <w:bCs/>
        </w:rPr>
        <w:t xml:space="preserve">Variable medida: </w:t>
      </w:r>
      <w:r>
        <w:t xml:space="preserve">Temperatura (°C)</w:t>
      </w:r>
    </w:p>
    <w:p>
      <w:pPr>
        <w:spacing w:after="120"/>
      </w:pPr>
      <w:r>
        <w:rPr>
          <w:b/>
          <w:bCs/>
        </w:rPr>
        <w:t xml:space="preserve">Método de calibración: </w:t>
      </w:r>
      <w:r>
        <w:t xml:space="preserve">Lineal / Polinómica</w:t>
      </w:r>
    </w:p>
    <w:p>
      <w:pPr>
        <w:pStyle w:val="Heading2"/>
      </w:pPr>
      <w:r>
        <w:t xml:space="preserve">1.2 Principio de Funcionamiento</w:t>
      </w:r>
    </w:p>
    <w:p>
      <w:pPr>
        <w:spacing w:after="120"/>
      </w:pPr>
      <w:r>
        <w:t xml:space="preserve">El módulo integra tres tecnologías de medición de temperatura: LM35 (analógico, 10mV/°C), Termopar Tipo K (efecto Seebeck, alta temperatura) y DS18B20 (digital OneWire). Permite comparar características y aplicar diferentes métodos de calibración.</w:t>
      </w:r>
    </w:p>
    <w:p>
      <w:pPr>
        <w:pStyle w:val="Heading1"/>
      </w:pPr>
      <w:r>
        <w:t xml:space="preserve">2. ESPECIFICACIONES TÉCNICAS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LM35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Rango: -55°C a +150°C, Sensibilidad: 10mV/°C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Termopar 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Rango: -200°C a +1350°C (con MAX6675)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DS18B20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Rango: -55°C a +125°C, Precisión: ±0.5°C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Ventilador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12V DC, Control ON/OFF o PWM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Comunicación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ADC, SPI (MAX6675), OneWire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Resolución DS18B20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9-12 bits configurable</w:t>
            </w:r>
          </w:p>
        </w:tc>
      </w:tr>
    </w:tbl>
    <w:p>
      <w:pPr>
        <w:pStyle w:val="Heading1"/>
      </w:pPr>
      <w:r>
        <w:t xml:space="preserve">3. CONEXIONES</w:t>
      </w:r>
    </w:p>
    <w:p>
      <w:pPr>
        <w:pStyle w:val="Heading2"/>
      </w:pPr>
      <w:r>
        <w:t xml:space="preserve">3.1 Diagrama de Pines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Pin/Cable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Conexión ESP32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LM35 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GPIO34 (ADC)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Señal analógica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MAX6675 SCK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Reloj SPI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MAX6675 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Chip Select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MAX6675 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Datos SPI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DS18B20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OneWire (pull-up 4.7kΩ)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Ventilador PWM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Control de enfriamiento</w:t>
            </w:r>
          </w:p>
        </w:tc>
      </w:tr>
    </w:tbl>
    <w:p>
      <w:pPr>
        <w:pStyle w:val="Heading1"/>
      </w:pPr>
      <w:r>
        <w:t xml:space="preserve">4. CONFIGURACIÓN DEL SOFTWARE</w:t>
      </w:r>
    </w:p>
    <w:p>
      <w:pPr>
        <w:pStyle w:val="Heading2"/>
      </w:pPr>
      <w:r>
        <w:t xml:space="preserve">4.1 Conexión a SensoraCore</w:t>
      </w:r>
    </w:p>
    <w:p>
      <w:pPr>
        <w:pStyle w:val="ListParagraph"/>
        <w:numPr>
          <w:ilvl w:val="0"/>
          <w:numId w:val="2"/>
        </w:numPr>
      </w:pPr>
      <w:r>
        <w:t xml:space="preserve">Abrir la aplicación SensoraCore en el computador</w:t>
      </w:r>
    </w:p>
    <w:p>
      <w:pPr>
        <w:pStyle w:val="ListParagraph"/>
        <w:numPr>
          <w:ilvl w:val="0"/>
          <w:numId w:val="2"/>
        </w:numPr>
      </w:pPr>
      <w:r>
        <w:t xml:space="preserve">Conectarse a la misma red Wi-Fi que el ESP32</w:t>
      </w:r>
    </w:p>
    <w:p>
      <w:pPr>
        <w:pStyle w:val="ListParagraph"/>
        <w:numPr>
          <w:ilvl w:val="0"/>
          <w:numId w:val="2"/>
        </w:numPr>
      </w:pPr>
      <w:r>
        <w:t xml:space="preserve">Obtener la dirección IP mostrada en la pantalla OLED del módulo de control</w:t>
      </w:r>
    </w:p>
    <w:p>
      <w:pPr>
        <w:pStyle w:val="ListParagraph"/>
        <w:numPr>
          <w:ilvl w:val="0"/>
          <w:numId w:val="2"/>
        </w:numPr>
      </w:pPr>
      <w:r>
        <w:t xml:space="preserve">Ingresar la IP en SensoraCore y hacer clic en 'Conectar'</w:t>
      </w:r>
    </w:p>
    <w:p>
      <w:pPr>
        <w:pStyle w:val="ListParagraph"/>
        <w:numPr>
          <w:ilvl w:val="0"/>
          <w:numId w:val="2"/>
        </w:numPr>
      </w:pPr>
      <w:r>
        <w:t xml:space="preserve">Seleccionar el módulo 'SENSORA_THERMOREGULATION' del menú desplegable</w:t>
      </w:r>
    </w:p>
    <w:p>
      <w:pPr>
        <w:pStyle w:val="Heading1"/>
      </w:pPr>
      <w:r>
        <w:t xml:space="preserve">5. PROCEDIMIENTO DE CALIBRACIÓN</w:t>
      </w:r>
    </w:p>
    <w:p>
      <w:pPr>
        <w:spacing w:after="120"/>
      </w:pPr>
      <w:r>
        <w:t xml:space="preserve">Siga los siguientes pasos para calibrar correctamente el sensor:</w:t>
      </w:r>
    </w:p>
    <w:p>
      <w:pPr>
        <w:pStyle w:val="ListParagraph"/>
        <w:numPr>
          <w:ilvl w:val="0"/>
          <w:numId w:val="3"/>
        </w:numPr>
      </w:pPr>
      <w:r>
        <w:t xml:space="preserve">Preparar referencias: hielo (0°C) y agua hirviendo (100°C)</w:t>
      </w:r>
    </w:p>
    <w:p>
      <w:pPr>
        <w:pStyle w:val="ListParagraph"/>
        <w:numPr>
          <w:ilvl w:val="0"/>
          <w:numId w:val="3"/>
        </w:numPr>
      </w:pPr>
      <w:r>
        <w:t xml:space="preserve">Sumergir sensores en baño de hielo, esperar estabilización (2-3 min)</w:t>
      </w:r>
    </w:p>
    <w:p>
      <w:pPr>
        <w:pStyle w:val="ListParagraph"/>
        <w:numPr>
          <w:ilvl w:val="0"/>
          <w:numId w:val="3"/>
        </w:numPr>
      </w:pPr>
      <w:r>
        <w:t xml:space="preserve">Registrar lecturas de los 3 sensores como punto 0°C</w:t>
      </w:r>
    </w:p>
    <w:p>
      <w:pPr>
        <w:pStyle w:val="ListParagraph"/>
        <w:numPr>
          <w:ilvl w:val="0"/>
          <w:numId w:val="3"/>
        </w:numPr>
      </w:pPr>
      <w:r>
        <w:t xml:space="preserve">Transferir a agua hirviendo, esperar estabilización</w:t>
      </w:r>
    </w:p>
    <w:p>
      <w:pPr>
        <w:pStyle w:val="ListParagraph"/>
        <w:numPr>
          <w:ilvl w:val="0"/>
          <w:numId w:val="3"/>
        </w:numPr>
      </w:pPr>
      <w:r>
        <w:t xml:space="preserve">Registrar lecturas como punto 100°C</w:t>
      </w:r>
    </w:p>
    <w:p>
      <w:pPr>
        <w:pStyle w:val="ListParagraph"/>
        <w:numPr>
          <w:ilvl w:val="0"/>
          <w:numId w:val="3"/>
        </w:numPr>
      </w:pPr>
      <w:r>
        <w:t xml:space="preserve">Para LM35: aplicar regresión lineal T = a₁V + a₀</w:t>
      </w:r>
    </w:p>
    <w:p>
      <w:pPr>
        <w:pStyle w:val="ListParagraph"/>
        <w:numPr>
          <w:ilvl w:val="0"/>
          <w:numId w:val="3"/>
        </w:numPr>
      </w:pPr>
      <w:r>
        <w:t xml:space="preserve">Para Termopar K: aplicar regresión polinómica si hay no linealidad</w:t>
      </w:r>
    </w:p>
    <w:p>
      <w:pPr>
        <w:pStyle w:val="ListParagraph"/>
        <w:numPr>
          <w:ilvl w:val="0"/>
          <w:numId w:val="3"/>
        </w:numPr>
      </w:pPr>
      <w:r>
        <w:t xml:space="preserve">DS18B20 viene calibrado de fábrica, verificar precisión</w:t>
      </w:r>
    </w:p>
    <w:p>
      <w:pPr>
        <w:pStyle w:val="Heading1"/>
      </w:pPr>
      <w:r>
        <w:t xml:space="preserve">6. APLICACIONES</w:t>
      </w:r>
    </w:p>
    <w:p>
      <w:pPr>
        <w:spacing w:after="120"/>
      </w:pPr>
      <w:r>
        <w:t xml:space="preserve">El módulo puede utilizarse en las siguientes aplicaciones:</w:t>
      </w:r>
    </w:p>
    <w:p>
      <w:pPr>
        <w:pStyle w:val="ListParagraph"/>
        <w:numPr>
          <w:ilvl w:val="0"/>
          <w:numId w:val="4"/>
        </w:numPr>
      </w:pPr>
      <w:r>
        <w:t xml:space="preserve">Control de procesos térmicos</w:t>
      </w:r>
    </w:p>
    <w:p>
      <w:pPr>
        <w:pStyle w:val="ListParagraph"/>
        <w:numPr>
          <w:ilvl w:val="0"/>
          <w:numId w:val="4"/>
        </w:numPr>
      </w:pPr>
      <w:r>
        <w:t xml:space="preserve">Monitoreo ambiental</w:t>
      </w:r>
    </w:p>
    <w:p>
      <w:pPr>
        <w:pStyle w:val="ListParagraph"/>
        <w:numPr>
          <w:ilvl w:val="0"/>
          <w:numId w:val="4"/>
        </w:numPr>
      </w:pPr>
      <w:r>
        <w:t xml:space="preserve">Sistemas de climatización</w:t>
      </w:r>
    </w:p>
    <w:p>
      <w:pPr>
        <w:pStyle w:val="ListParagraph"/>
        <w:numPr>
          <w:ilvl w:val="0"/>
          <w:numId w:val="4"/>
        </w:numPr>
      </w:pPr>
      <w:r>
        <w:t xml:space="preserve">Incubadoras y hornos industriales</w:t>
      </w:r>
    </w:p>
    <w:p>
      <w:pPr>
        <w:pStyle w:val="Heading1"/>
      </w:pPr>
      <w:r>
        <w:t xml:space="preserve">7. PRECAUCIONES DE SEGURIDAD</w:t>
      </w:r>
    </w:p>
    <w:p>
      <w:pPr>
        <w:pStyle w:val="ListParagraph"/>
        <w:numPr>
          <w:ilvl w:val="0"/>
          <w:numId w:val="5"/>
        </w:numPr>
      </w:pPr>
      <w:r>
        <w:t xml:space="preserve">Verificar voltaje de alimentación antes de conectar</w:t>
      </w:r>
    </w:p>
    <w:p>
      <w:pPr>
        <w:pStyle w:val="ListParagraph"/>
        <w:numPr>
          <w:ilvl w:val="0"/>
          <w:numId w:val="5"/>
        </w:numPr>
      </w:pPr>
      <w:r>
        <w:t xml:space="preserve">No exceder los rangos de operación especificados</w:t>
      </w:r>
    </w:p>
    <w:p>
      <w:pPr>
        <w:pStyle w:val="ListParagraph"/>
        <w:numPr>
          <w:ilvl w:val="0"/>
          <w:numId w:val="5"/>
        </w:numPr>
      </w:pPr>
      <w:r>
        <w:t xml:space="preserve">Mantener conexiones firmes para evitar lecturas erróneas</w:t>
      </w:r>
    </w:p>
    <w:p>
      <w:pPr>
        <w:pStyle w:val="ListParagraph"/>
        <w:numPr>
          <w:ilvl w:val="0"/>
          <w:numId w:val="5"/>
        </w:numPr>
      </w:pPr>
      <w:r>
        <w:t xml:space="preserve">Evitar ambientes con humedad excesiva o polvo</w:t>
      </w:r>
    </w:p>
    <w:p>
      <w:pPr>
        <w:pStyle w:val="ListParagraph"/>
        <w:numPr>
          <w:ilvl w:val="0"/>
          <w:numId w:val="5"/>
        </w:numPr>
      </w:pPr>
      <w:r>
        <w:t xml:space="preserve">Realizar calibración en condiciones controladas</w:t>
      </w:r>
    </w:p>
    <w:p>
      <w:pPr>
        <w:pStyle w:val="Heading1"/>
      </w:pPr>
      <w:r>
        <w:t xml:space="preserve">8. REFERENCIAS</w:t>
      </w:r>
    </w:p>
    <w:p>
      <w:r>
        <w:t xml:space="preserve">Repositorio GitHub: </w:t>
      </w:r>
      <w:hyperlink w:history="1" r:id="rIdgnaq9dcocuo0do24rqyed">
        <w:r>
          <w:rPr>
            <w:color w:val="0563C1"/>
            <w:u w:val="single"/>
          </w:rPr>
          <w:t xml:space="preserve">https://github.com/YamithR/SensoraCore</w:t>
        </w:r>
      </w:hyperlink>
    </w:p>
    <w:p>
      <w:r>
        <w:t xml:space="preserve">Documentación Web: </w:t>
      </w:r>
      <w:hyperlink w:history="1" r:id="rIdetm02jv30rdgbt3lcpo3k">
        <w:r>
          <w:rPr>
            <w:color w:val="0563C1"/>
            <w:u w:val="single"/>
          </w:rPr>
          <w:t xml:space="preserve">https://yamithr.github.io/SensoraCore/</w:t>
        </w:r>
      </w:hyperlink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Universidad Autónoma del Caribe | </w:t>
    </w:r>
    <w:r>
      <w:rPr>
        <w:b/>
        <w:bCs/>
        <w:color w:val="1F4E79"/>
        <w:sz w:val="18"/>
        <w:szCs w:val="18"/>
      </w:rPr>
      <w:t xml:space="preserve">Manual THERMOREGULATION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gnaq9dcocuo0do24rqyed" Type="http://schemas.openxmlformats.org/officeDocument/2006/relationships/hyperlink" Target="https://github.com/YamithR/SensoraCore" TargetMode="External"/><Relationship Id="rIdetm02jv30rdgbt3lcpo3k" Type="http://schemas.openxmlformats.org/officeDocument/2006/relationships/hyperlink" Target="https://yamithr.github.io/SensoraCore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2025-12-12T02:15:28.316Z</dcterms:created>
  <dcterms:modified xsi:type="dcterms:W3CDTF">2025-12-12T02:15:28.316Z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