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TASK 5 🎊🎉💥</w:t>
      </w:r>
    </w:p>
    <w:p>
      <w:pPr>
        <w:jc w:val="center"/>
      </w:pPr>
      <w:r>
        <w:rPr>
          <w:b/>
          <w:color w:val="1F4E79"/>
          <w:sz w:val="48"/>
        </w:rPr>
        <w:t>AI-Powered InAmigos Impact Analysis</w:t>
      </w:r>
    </w:p>
    <w:p>
      <w:pPr>
        <w:jc w:val="center"/>
      </w:pPr>
      <w:r>
        <w:rPr>
          <w:i/>
          <w:color w:val="595959"/>
          <w:sz w:val="24"/>
        </w:rPr>
        <w:t>Research, Insights, Challenges and Strategic Recommendations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Prepared by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Yamuna Tanuku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Focus Area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AI-Assisted NGO Impact Research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Method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Web Research + AI Analysis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31 August 2026</w:t>
            </w:r>
          </w:p>
        </w:tc>
      </w:tr>
    </w:tbl>
    <w:p>
      <w:r>
        <w:rPr>
          <w:rFonts w:ascii="Aptos Display" w:hAnsi="Aptos Display"/>
          <w:b/>
          <w:color w:val="1F4E79"/>
          <w:sz w:val="32"/>
        </w:rPr>
        <w:t>Executive Summary</w:t>
      </w:r>
    </w:p>
    <w:p>
      <w:r>
        <w:t>InAmigos Foundation is a Section 8 registered non-profit organization founded on 23 September 2020 and based in Chhattisgarh. Its six major initiatives address community welfare, child education, animal welfare, women empowerment, environmental sustainability, and employability. This AI-assisted report analyzes the Foundation's publicly available impact information and identifies practical opportunities to strengthen measurement, outreach, and long-term sustainability.</w:t>
      </w:r>
    </w:p>
    <w:p>
      <w:r>
        <w:rPr>
          <w:rFonts w:ascii="Aptos Display" w:hAnsi="Aptos Display"/>
          <w:b/>
          <w:color w:val="1F4E79"/>
          <w:sz w:val="32"/>
        </w:rPr>
        <w:t>1. Major Projects and Available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Primary Focus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Reported / Available Impact</w:t>
            </w:r>
          </w:p>
        </w:tc>
      </w:tr>
      <w:tr>
        <w:tc>
          <w:tcPr>
            <w:tcW w:type="dxa" w:w="3408"/>
            <w:vAlign w:val="center"/>
            <w:shd w:fill="EAF2F8"/>
          </w:tcPr>
          <w:p>
            <w:r/>
            <w:r>
              <w:rPr>
                <w:b w:val="0"/>
                <w:sz w:val="17"/>
              </w:rPr>
              <w:t>Project Seva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Food and clothing support for underprivileged communities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50,000+ meals and clothing distributions</w:t>
            </w:r>
          </w:p>
        </w:tc>
      </w:tr>
      <w:tr>
        <w:tc>
          <w:tcPr>
            <w:tcW w:type="dxa" w:w="3408"/>
            <w:vAlign w:val="center"/>
            <w:shd w:fill="EAF2F8"/>
          </w:tcPr>
          <w:p>
            <w:r/>
            <w:r>
              <w:rPr>
                <w:b w:val="0"/>
                <w:sz w:val="17"/>
              </w:rPr>
              <w:t>Project BachpanShala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Education, digital literacy, life skills and school support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Qualitative educational support reported</w:t>
            </w:r>
          </w:p>
        </w:tc>
      </w:tr>
      <w:tr>
        <w:tc>
          <w:tcPr>
            <w:tcW w:type="dxa" w:w="3408"/>
            <w:vAlign w:val="center"/>
            <w:shd w:fill="EAF2F8"/>
          </w:tcPr>
          <w:p>
            <w:r/>
            <w:r>
              <w:rPr>
                <w:b w:val="0"/>
                <w:sz w:val="17"/>
              </w:rPr>
              <w:t>Project Jeev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Animal feeding, rescue, protection and welfare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50+ stray animals fed daily</w:t>
            </w:r>
          </w:p>
        </w:tc>
      </w:tr>
      <w:tr>
        <w:tc>
          <w:tcPr>
            <w:tcW w:type="dxa" w:w="3408"/>
            <w:vAlign w:val="center"/>
            <w:shd w:fill="EAF2F8"/>
          </w:tcPr>
          <w:p>
            <w:r/>
            <w:r>
              <w:rPr>
                <w:b w:val="0"/>
                <w:sz w:val="17"/>
              </w:rPr>
              <w:t>Project Udaan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Women empowerment, skills and financial independence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Works with rural self-help groups and awareness programs</w:t>
            </w:r>
          </w:p>
        </w:tc>
      </w:tr>
      <w:tr>
        <w:tc>
          <w:tcPr>
            <w:tcW w:type="dxa" w:w="3408"/>
            <w:vAlign w:val="center"/>
            <w:shd w:fill="EAF2F8"/>
          </w:tcPr>
          <w:p>
            <w:r/>
            <w:r>
              <w:rPr>
                <w:b w:val="0"/>
                <w:sz w:val="17"/>
              </w:rPr>
              <w:t>Project Prakriti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Environmental conservation and sustainability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20,000+ saplings planted</w:t>
            </w:r>
          </w:p>
        </w:tc>
      </w:tr>
      <w:tr>
        <w:tc>
          <w:tcPr>
            <w:tcW w:type="dxa" w:w="3408"/>
            <w:vAlign w:val="center"/>
            <w:shd w:fill="EAF2F8"/>
          </w:tcPr>
          <w:p>
            <w:r/>
            <w:r>
              <w:rPr>
                <w:b w:val="0"/>
                <w:sz w:val="17"/>
              </w:rPr>
              <w:t>Project Vikas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Internships, skill development and employability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30,000+ interns trained in four years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95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amigos_impact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9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Selected available impact indicators reported by InAmigos Foundation.</w:t>
      </w:r>
    </w:p>
    <w:p>
      <w:r>
        <w:rPr>
          <w:rFonts w:ascii="Aptos Display" w:hAnsi="Aptos Display"/>
          <w:b/>
          <w:color w:val="1F4E79"/>
          <w:sz w:val="32"/>
        </w:rPr>
        <w:t>2. Five Key Insights from AI-Assisted Analysis</w:t>
      </w:r>
    </w:p>
    <w:p>
      <w:pPr>
        <w:spacing w:after="40"/>
      </w:pPr>
      <w:r>
        <w:rPr>
          <w:b/>
        </w:rPr>
        <w:t xml:space="preserve">• Diversified impact model: </w:t>
      </w:r>
      <w:r>
        <w:t>The Foundation addresses interconnected social issues rather than relying on a single program area, enabling broader community reach.</w:t>
      </w:r>
    </w:p>
    <w:p>
      <w:pPr>
        <w:spacing w:after="40"/>
      </w:pPr>
      <w:r>
        <w:rPr>
          <w:b/>
        </w:rPr>
        <w:t xml:space="preserve">• Volunteer and partnership strength: </w:t>
      </w:r>
      <w:r>
        <w:t>A multi-state volunteer network can extend delivery capacity and create opportunities for community participation.</w:t>
      </w:r>
    </w:p>
    <w:p>
      <w:pPr>
        <w:spacing w:after="40"/>
      </w:pPr>
      <w:r>
        <w:rPr>
          <w:b/>
        </w:rPr>
        <w:t xml:space="preserve">• Education and employability support long-term change: </w:t>
      </w:r>
      <w:r>
        <w:t>BachpanShala and Vikas focus on capabilities that can improve future opportunities beyond immediate assistance.</w:t>
      </w:r>
    </w:p>
    <w:p>
      <w:pPr>
        <w:spacing w:after="40"/>
      </w:pPr>
      <w:r>
        <w:rPr>
          <w:b/>
        </w:rPr>
        <w:t xml:space="preserve">• Digital visibility can amplify impact: </w:t>
      </w:r>
      <w:r>
        <w:t>Online communication can attract volunteers, interns, donors, colleges and CSR partners while making activities more visible.</w:t>
      </w:r>
    </w:p>
    <w:p>
      <w:pPr>
        <w:spacing w:after="40"/>
      </w:pPr>
      <w:r>
        <w:rPr>
          <w:b/>
        </w:rPr>
        <w:t xml:space="preserve">• Outcome measurement is the next growth opportunity: </w:t>
      </w:r>
      <w:r>
        <w:t>Activity counts are valuable, but tracking beneficiary outcomes and follow-up results would provide stronger evidence of long-term change.</w:t>
      </w:r>
    </w:p>
    <w:p>
      <w:r>
        <w:rPr>
          <w:rFonts w:ascii="Aptos Display" w:hAnsi="Aptos Display"/>
          <w:b/>
          <w:color w:val="1F4E79"/>
          <w:sz w:val="32"/>
        </w:rPr>
        <w:t>3. Challenges / Areas for Improvement</w:t>
      </w:r>
    </w:p>
    <w:p>
      <w:r>
        <w:rPr>
          <w:b/>
        </w:rPr>
        <w:t xml:space="preserve">• Limited outcome-level measurement: </w:t>
      </w:r>
      <w:r>
        <w:t>Public activity totals do not always show longer-term outcomes such as learning improvement, income change, employment or beneficiary retention.</w:t>
      </w:r>
    </w:p>
    <w:p>
      <w:r>
        <w:rPr>
          <w:b/>
        </w:rPr>
        <w:t xml:space="preserve">• Consistency across a diverse network: </w:t>
      </w:r>
      <w:r>
        <w:t>Multiple projects, locations and volunteers can create challenges in training, quality control and standardized reporting.</w:t>
      </w:r>
    </w:p>
    <w:p>
      <w:r>
        <w:rPr>
          <w:b/>
        </w:rPr>
        <w:t xml:space="preserve">• Long-term sustainability tracking: </w:t>
      </w:r>
      <w:r>
        <w:t>Programs such as plantation, education and skill development benefit from follow-up measures such as sapling survival, learning progress and career outcomes.</w:t>
      </w:r>
    </w:p>
    <w:p>
      <w:r>
        <w:rPr>
          <w:rFonts w:ascii="Aptos Display" w:hAnsi="Aptos Display"/>
          <w:b/>
          <w:color w:val="1F4E79"/>
          <w:sz w:val="32"/>
        </w:rPr>
        <w:t>4. Practical Recommendations</w:t>
      </w:r>
    </w:p>
    <w:p>
      <w:r>
        <w:rPr>
          <w:b/>
        </w:rPr>
        <w:t xml:space="preserve">• Create a digital impact dashboard: </w:t>
      </w:r>
      <w:r>
        <w:t>Publish clear indicators for beneficiaries reached, volunteers, project locations and project-specific outcomes. Update the dashboard periodically to improve transparency.</w:t>
      </w:r>
    </w:p>
    <w:p>
      <w:r>
        <w:rPr>
          <w:b/>
        </w:rPr>
        <w:t xml:space="preserve">• Introduce standardized KPIs for every project: </w:t>
      </w:r>
      <w:r>
        <w:t>Examples include attendance and learning progress for BachpanShala, employment outcomes for Vikas, income-related outcomes for Udaan, and sapling survival rates for Prakriti.</w:t>
      </w:r>
    </w:p>
    <w:p>
      <w:r>
        <w:rPr>
          <w:b/>
        </w:rPr>
        <w:t xml:space="preserve">• Strengthen digital storytelling and partnerships: </w:t>
      </w:r>
      <w:r>
        <w:t>Use beneficiary stories, before-and-after examples and concise data visualizations to attract universities, CSR partners, volunteers and community organizations.</w:t>
      </w:r>
    </w:p>
    <w:p>
      <w:r>
        <w:rPr>
          <w:rFonts w:ascii="Aptos Display" w:hAnsi="Aptos Display"/>
          <w:b/>
          <w:color w:val="1F4E79"/>
          <w:sz w:val="32"/>
        </w:rPr>
        <w:t>5. Conclusion</w:t>
      </w:r>
    </w:p>
    <w:p>
      <w:r>
        <w:t>The analysis indicates that InAmigos Foundation has built a broad, community-oriented model spanning immediate humanitarian support and longer-term empowerment. Its strongest opportunity for future growth is to connect activity data with measurable outcomes. A structured impact dashboard, common KPIs, regular follow-up and stronger digital storytelling could help the Foundation demonstrate results more clearly and expand its reach.</w:t>
      </w:r>
    </w:p>
    <w:p>
      <w:r>
        <w:rPr>
          <w:rFonts w:ascii="Aptos Display" w:hAnsi="Aptos Display"/>
          <w:b/>
          <w:color w:val="1F4E79"/>
          <w:sz w:val="32"/>
        </w:rPr>
        <w:t>6. AI Tools and Important Prompts</w:t>
      </w:r>
    </w:p>
    <w:p>
      <w:r>
        <w:t>AI tool used: ChatGPT for research synthesis, impact analysis, insight generation, critical evaluation, chart preparation and report structuring.</w:t>
      </w:r>
    </w:p>
    <w:p>
      <w:pPr>
        <w:ind w:left="216"/>
      </w:pPr>
      <w:r>
        <w:t>• Research InAmigos Foundation and identify its major projects, initiatives and publicly available impact data.</w:t>
      </w:r>
    </w:p>
    <w:p>
      <w:pPr>
        <w:ind w:left="216"/>
      </w:pPr>
      <w:r>
        <w:t>• Analyze the social impact of InAmigos Foundation based on its initiatives and reported achievements.</w:t>
      </w:r>
    </w:p>
    <w:p>
      <w:pPr>
        <w:ind w:left="216"/>
      </w:pPr>
      <w:r>
        <w:t>• Identify five key insights from the Foundation's activities and impact model.</w:t>
      </w:r>
    </w:p>
    <w:p>
      <w:pPr>
        <w:ind w:left="216"/>
      </w:pPr>
      <w:r>
        <w:t>• Identify three challenges or areas for improvement for an NGO operating across multiple social sectors.</w:t>
      </w:r>
    </w:p>
    <w:p>
      <w:pPr>
        <w:ind w:left="216"/>
      </w:pPr>
      <w:r>
        <w:t>• Suggest three practical, data-driven recommendations to improve impact measurement and outreach.</w:t>
      </w:r>
    </w:p>
    <w:p>
      <w:r>
        <w:rPr>
          <w:rFonts w:ascii="Aptos Display" w:hAnsi="Aptos Display"/>
          <w:b/>
          <w:color w:val="1F4E79"/>
          <w:sz w:val="32"/>
        </w:rPr>
        <w:t>7. Sources</w:t>
      </w:r>
    </w:p>
    <w:p>
      <w:pPr>
        <w:spacing w:after="20"/>
      </w:pPr>
      <w:r>
        <w:t>• InAmigos Foundation Official Website — https://inamigosfoundation.org.in/</w:t>
      </w:r>
    </w:p>
    <w:p>
      <w:pPr>
        <w:spacing w:after="20"/>
      </w:pPr>
      <w:r>
        <w:t>• InAmigos Foundation About Us &amp; Impact Information — https://inamigosfoundation.org.in/page/About-Us</w:t>
      </w:r>
    </w:p>
    <w:p>
      <w:pPr>
        <w:spacing w:after="20"/>
      </w:pPr>
      <w:r>
        <w:t>• InAmigos Foundation Blog — https://inamigosfoundation.org.in/blog</w:t>
      </w:r>
    </w:p>
    <w:p>
      <w:pPr>
        <w:spacing w:after="20"/>
      </w:pPr>
      <w:r>
        <w:t>• InAmigos Foundation, “Transforming Lives Through Compassion and Action” — https://inamigosfoundation.org.in/single/inamigos-foundation-transforming-lives</w:t>
      </w:r>
    </w:p>
    <w:p>
      <w:pPr>
        <w:spacing w:before="100"/>
      </w:pPr>
      <w:r>
        <w:rPr>
          <w:b/>
        </w:rPr>
        <w:t xml:space="preserve">Data note: </w:t>
      </w:r>
      <w:r>
        <w:t>Reported figures are based on publicly available information from InAmigos Foundation and should be interpreted as organization-reported indicators. The chart intentionally includes only indicators with clear numeric values and labels them as different units.</w:t>
      </w:r>
    </w:p>
    <w:sectPr w:rsidR="00FC693F" w:rsidRPr="0006063C" w:rsidSect="00034616"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AI-Powered InAmigos Impact Analysis | Task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