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Solution Architecture: Freelance Finder</w:t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27-06-2025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ID: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Solution Architecture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deliver a seamless, intelligent, and secure freelancing platform that connects clients with skilled freelancers while ensuring transparency, trust, and smooth operations.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Key Architecture Goals: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Job Matching System - AI-powered job suggestion engine that matches freelancers with relevant opportunities.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 User Onboarding - KYC-based authentication for both clients and freelancers to increase trust.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Milestone-Based Project Management - Contract-based job flows with deliverables and milestone tracking.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Secure &amp; Escrow-Based Payments - Escrow system with automatic release on client approval.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Integrated Real-Time Chat - Chat module with file sharing and discussion features.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Scalable Microservices Architecture - Modular services for better scalability and maintainability.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Dashboard &amp; Analytics - Central interface to monitor disputes, metrics, and platform health.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Tech Stack (Example):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React.js, Tailwind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Node.js (Express), Microservices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Firebase Auth + OTP Verification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Stripe / Razorpay with Escrow Logic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Messaging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Socket.IO / Firebase Realtime 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Docker, Kubernetes, AWS/GCP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Visual: Solution Architecture Diagram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following diagram illustrates the architectural layout of the Freelance Finder platform.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029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643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643E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5IO7I5KGsF56aLVUMr5gHXnMdw==">CgMxLjA4AHIhMVV2WFNaOVZSS0YwcmQ1Z085RHhWRzZOalFWSUpoMlo5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