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svg" ContentType="image/svg+xml"/>
  <Override PartName="/word/media/image13.svg" ContentType="image/svg+xml"/>
  <Override PartName="/word/media/image15.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widowControl w:val="0"/>
        <w:numPr>
          <w:ilvl w:val="1"/>
          <w:numId w:val="1"/>
        </w:numPr>
        <w:snapToGrid w:val="0"/>
        <w:spacing w:before="0" w:after="0" w:line="408" w:lineRule="auto"/>
        <w:ind w:left="545" w:leftChars="100" w:right="210" w:rightChars="100" w:hanging="335"/>
        <w:outlineLvl w:val="1"/>
        <w:rPr>
          <w:rFonts w:ascii="Times New Roman" w:hAnsi="Times New Roman" w:eastAsia="楷体" w:cs="Times New Roman"/>
          <w:b/>
          <w:bCs/>
          <w:color w:val="1A1A1A"/>
          <w:kern w:val="2"/>
          <w:sz w:val="28"/>
          <w:szCs w:val="32"/>
          <w:lang w:val="en-US" w:eastAsia="zh-CN" w:bidi="ar-SA"/>
        </w:rPr>
      </w:pPr>
      <w:bookmarkStart w:id="0" w:name="_Toc130161116"/>
      <w:r>
        <w:rPr>
          <w:rFonts w:ascii="Times New Roman" w:hAnsi="Times New Roman" w:eastAsia="楷体" w:cs="Times New Roman"/>
          <w:b/>
          <w:bCs/>
          <w:color w:val="1A1A1A"/>
          <w:kern w:val="2"/>
          <w:sz w:val="28"/>
          <w:szCs w:val="32"/>
          <w:lang w:val="en-US" w:eastAsia="zh-CN" w:bidi="ar-SA"/>
        </w:rPr>
        <w:t>互联网</w:t>
      </w:r>
      <w:r>
        <w:rPr>
          <w:rFonts w:hint="eastAsia" w:ascii="Times New Roman" w:hAnsi="Times New Roman" w:eastAsia="楷体" w:cs="Times New Roman"/>
          <w:b/>
          <w:bCs/>
          <w:color w:val="1A1A1A"/>
          <w:kern w:val="2"/>
          <w:sz w:val="28"/>
          <w:szCs w:val="32"/>
          <w:lang w:val="en-US" w:eastAsia="zh-CN" w:bidi="ar-SA"/>
        </w:rPr>
        <w:t>诊</w:t>
      </w:r>
      <w:r>
        <w:rPr>
          <w:rFonts w:ascii="Times New Roman" w:hAnsi="Times New Roman" w:eastAsia="楷体" w:cs="Times New Roman"/>
          <w:b/>
          <w:bCs/>
          <w:color w:val="1A1A1A"/>
          <w:kern w:val="2"/>
          <w:sz w:val="28"/>
          <w:szCs w:val="32"/>
          <w:lang w:val="en-US" w:eastAsia="zh-CN" w:bidi="ar-SA"/>
        </w:rPr>
        <w:t>疗平台</w:t>
      </w:r>
      <w:r>
        <w:rPr>
          <w:rFonts w:hint="eastAsia" w:ascii="Times New Roman" w:hAnsi="Times New Roman" w:eastAsia="楷体" w:cs="Times New Roman"/>
          <w:b/>
          <w:bCs/>
          <w:color w:val="1A1A1A"/>
          <w:kern w:val="2"/>
          <w:sz w:val="28"/>
          <w:szCs w:val="32"/>
          <w:lang w:val="en-US" w:eastAsia="zh-CN" w:bidi="ar-SA"/>
        </w:rPr>
        <w:t>潜在</w:t>
      </w:r>
      <w:r>
        <w:rPr>
          <w:rFonts w:ascii="Times New Roman" w:hAnsi="Times New Roman" w:eastAsia="楷体" w:cs="Times New Roman"/>
          <w:b/>
          <w:bCs/>
          <w:color w:val="1A1A1A"/>
          <w:kern w:val="2"/>
          <w:sz w:val="28"/>
          <w:szCs w:val="32"/>
          <w:lang w:val="en-US" w:eastAsia="zh-CN" w:bidi="ar-SA"/>
        </w:rPr>
        <w:t>用户调查</w:t>
      </w:r>
      <w:bookmarkEnd w:id="0"/>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本章节将从最贴近生活的需求方，即具有就医需求的用户群体出发，通过在线调研来挖掘这个市场中用户的行为、使用习惯、想法等内容。这一部分研究思路如图3-1所示：首先将介绍本小节进行调研的方法与问卷设计思路，并就问卷实施情况进行介绍；接着将通过探索性数据分析就调研发现进行初步的分析报告；在确认问卷通过信效度检验后，项目组还将通过定量的逐步回归模型与结构方程模型进行进一步的数据挖掘，以期从数据中得到更多有价值的潜在信息。</w:t>
      </w:r>
    </w:p>
    <w:p>
      <w:pPr>
        <w:snapToGrid/>
        <w:spacing w:before="40" w:after="0" w:line="360" w:lineRule="auto"/>
        <w:ind w:firstLine="420" w:firstLineChars="200"/>
        <w:jc w:val="center"/>
        <w:rPr>
          <w:rFonts w:ascii="楷体" w:hAnsi="楷体" w:eastAsia="楷体" w:cs="楷体"/>
          <w:color w:val="000000"/>
          <w:sz w:val="28"/>
          <w:szCs w:val="22"/>
        </w:rPr>
      </w:pPr>
      <w:r>
        <w:rPr>
          <w:rFonts w:ascii="Times New Roman" w:hAnsi="Times New Roman" w:eastAsia="仿宋" w:cs="Times New Roman"/>
          <w:color w:val="333333"/>
          <w:szCs w:val="22"/>
        </w:rPr>
        <w:drawing>
          <wp:inline distT="0" distB="0" distL="0" distR="0">
            <wp:extent cx="3867785" cy="3994785"/>
            <wp:effectExtent l="0" t="0" r="5715" b="5715"/>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4"/>
                    <a:srcRect/>
                    <a:stretch>
                      <a:fillRect/>
                    </a:stretch>
                  </pic:blipFill>
                  <pic:spPr>
                    <a:xfrm>
                      <a:off x="0" y="0"/>
                      <a:ext cx="3969750" cy="4100083"/>
                    </a:xfrm>
                    <a:prstGeom prst="rect">
                      <a:avLst/>
                    </a:prstGeom>
                    <a:solidFill>
                      <a:srgbClr val="FFFFFF"/>
                    </a:solidFill>
                  </pic:spPr>
                </pic:pic>
              </a:graphicData>
            </a:graphic>
          </wp:inline>
        </w:drawing>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图3-1 问卷调查步骤</w:t>
      </w:r>
    </w:p>
    <w:p>
      <w:pPr>
        <w:keepNext/>
        <w:keepLines/>
        <w:widowControl w:val="0"/>
        <w:numPr>
          <w:ilvl w:val="2"/>
          <w:numId w:val="1"/>
        </w:numPr>
        <w:snapToGrid w:val="0"/>
        <w:spacing w:before="0" w:after="0" w:line="408" w:lineRule="auto"/>
        <w:ind w:left="546" w:right="210" w:rightChars="100"/>
        <w:outlineLvl w:val="2"/>
        <w:rPr>
          <w:rFonts w:ascii="Times New Roman" w:hAnsi="Times New Roman" w:eastAsia="楷体" w:cs="Times New Roman"/>
          <w:b/>
          <w:bCs/>
          <w:color w:val="1A1A1A"/>
          <w:kern w:val="2"/>
          <w:sz w:val="28"/>
          <w:szCs w:val="28"/>
          <w:lang w:val="en-US" w:eastAsia="zh-CN" w:bidi="ar-SA"/>
        </w:rPr>
      </w:pPr>
      <w:bookmarkStart w:id="1" w:name="_Toc130161117"/>
      <w:r>
        <w:rPr>
          <w:rFonts w:ascii="Times New Roman" w:hAnsi="Times New Roman" w:eastAsia="楷体" w:cs="Times New Roman"/>
          <w:b/>
          <w:bCs/>
          <w:color w:val="1A1A1A"/>
          <w:kern w:val="2"/>
          <w:sz w:val="28"/>
          <w:szCs w:val="28"/>
          <w:lang w:val="en-US" w:eastAsia="zh-CN" w:bidi="ar-SA"/>
        </w:rPr>
        <w:t>调研说明</w:t>
      </w:r>
      <w:bookmarkEnd w:id="1"/>
    </w:p>
    <w:p>
      <w:pPr>
        <w:keepNext/>
        <w:keepLines/>
        <w:widowControl w:val="0"/>
        <w:numPr>
          <w:ilvl w:val="0"/>
          <w:numId w:val="0"/>
        </w:numPr>
        <w:snapToGrid w:val="0"/>
        <w:spacing w:before="0" w:after="0" w:line="408" w:lineRule="auto"/>
        <w:ind w:right="210" w:rightChars="100" w:firstLine="210"/>
        <w:outlineLvl w:val="3"/>
        <w:rPr>
          <w:rFonts w:ascii="Times New Roman" w:hAnsi="Times New Roman" w:eastAsia="楷体" w:cs="Times New Roman"/>
          <w:b/>
          <w:bCs/>
          <w:color w:val="1A1A1A"/>
          <w:kern w:val="2"/>
          <w:sz w:val="28"/>
          <w:szCs w:val="24"/>
          <w:lang w:val="en-US" w:eastAsia="zh-CN" w:bidi="ar-SA"/>
        </w:rPr>
      </w:pPr>
      <w:bookmarkStart w:id="2" w:name="_Toc130161118"/>
      <w:r>
        <w:rPr>
          <w:rFonts w:ascii="Times New Roman" w:hAnsi="Times New Roman" w:eastAsia="楷体" w:cs="Times New Roman"/>
          <w:b/>
          <w:bCs/>
          <w:color w:val="1A1A1A"/>
          <w:kern w:val="2"/>
          <w:sz w:val="28"/>
          <w:szCs w:val="24"/>
          <w:lang w:val="en-US" w:eastAsia="zh-CN" w:bidi="ar-SA"/>
        </w:rPr>
        <w:t>1.1调研目的与手段</w:t>
      </w:r>
      <w:bookmarkEnd w:id="2"/>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 本次调研期望通过对线上诊疗用户的基本信息、使用体验、使用意愿及建议展开调查，来了解线上诊疗的优势与缺陷所在，为线上诊疗的优化和建议提供数据支持。该调研建立在已有的线上诊疗研究报告的基础上，调查了用户的使用原因、使用感受以及影响因素重要性的探究，并采用了定量研究手段建立量表，探究了用户使用意愿。</w:t>
      </w:r>
    </w:p>
    <w:p>
      <w:pPr>
        <w:keepNext/>
        <w:keepLines/>
        <w:widowControl w:val="0"/>
        <w:numPr>
          <w:ilvl w:val="0"/>
          <w:numId w:val="0"/>
        </w:numPr>
        <w:snapToGrid w:val="0"/>
        <w:spacing w:before="0" w:after="0" w:line="408" w:lineRule="auto"/>
        <w:ind w:right="210" w:rightChars="100" w:firstLine="281" w:firstLineChars="100"/>
        <w:outlineLvl w:val="3"/>
        <w:rPr>
          <w:rFonts w:ascii="Times New Roman" w:hAnsi="Times New Roman" w:eastAsia="楷体" w:cs="Times New Roman"/>
          <w:b/>
          <w:bCs/>
          <w:color w:val="1A1A1A"/>
          <w:kern w:val="2"/>
          <w:sz w:val="28"/>
          <w:szCs w:val="24"/>
          <w:lang w:val="en-US" w:eastAsia="zh-CN" w:bidi="ar-SA"/>
        </w:rPr>
      </w:pPr>
      <w:bookmarkStart w:id="3" w:name="_Toc130161119"/>
      <w:r>
        <w:rPr>
          <w:rFonts w:hint="eastAsia" w:ascii="Times New Roman" w:hAnsi="Times New Roman" w:eastAsia="楷体" w:cs="Times New Roman"/>
          <w:b/>
          <w:bCs/>
          <w:color w:val="1A1A1A"/>
          <w:kern w:val="2"/>
          <w:sz w:val="28"/>
          <w:szCs w:val="24"/>
          <w:lang w:val="en-US" w:eastAsia="zh-CN" w:bidi="ar-SA"/>
        </w:rPr>
        <w:t>1</w:t>
      </w:r>
      <w:r>
        <w:rPr>
          <w:rFonts w:ascii="Times New Roman" w:hAnsi="Times New Roman" w:eastAsia="楷体" w:cs="Times New Roman"/>
          <w:b/>
          <w:bCs/>
          <w:color w:val="1A1A1A"/>
          <w:kern w:val="2"/>
          <w:sz w:val="28"/>
          <w:szCs w:val="24"/>
          <w:lang w:val="en-US" w:eastAsia="zh-CN" w:bidi="ar-SA"/>
        </w:rPr>
        <w:t>.2问卷实施</w:t>
      </w:r>
      <w:bookmarkEnd w:id="3"/>
    </w:p>
    <w:p>
      <w:pPr>
        <w:keepNext/>
        <w:keepLines/>
        <w:widowControl w:val="0"/>
        <w:numPr>
          <w:ilvl w:val="0"/>
          <w:numId w:val="2"/>
        </w:numPr>
        <w:snapToGrid w:val="0"/>
        <w:spacing w:before="0" w:after="0" w:line="408" w:lineRule="auto"/>
        <w:ind w:left="920" w:hanging="360"/>
        <w:outlineLvl w:val="4"/>
        <w:rPr>
          <w:rFonts w:ascii="楷体" w:hAnsi="楷体" w:eastAsia="楷体" w:cs="Times New Roman"/>
          <w:b/>
          <w:bCs/>
          <w:color w:val="1A1A1A"/>
          <w:kern w:val="2"/>
          <w:sz w:val="28"/>
          <w:szCs w:val="22"/>
          <w:lang w:val="en-US" w:eastAsia="zh-CN" w:bidi="ar-SA"/>
        </w:rPr>
      </w:pPr>
      <w:bookmarkStart w:id="4" w:name="_Toc130161120"/>
      <w:r>
        <w:rPr>
          <w:rFonts w:ascii="楷体" w:hAnsi="楷体" w:eastAsia="楷体" w:cs="Times New Roman"/>
          <w:b/>
          <w:bCs/>
          <w:color w:val="1A1A1A"/>
          <w:kern w:val="2"/>
          <w:sz w:val="28"/>
          <w:szCs w:val="22"/>
          <w:lang w:val="en-US" w:eastAsia="zh-CN" w:bidi="ar-SA"/>
        </w:rPr>
        <w:t>问卷结构设计</w:t>
      </w:r>
      <w:bookmarkEnd w:id="4"/>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本部分的主体研究对象为在线诊疗的实际用户或潜在用户。问卷群体覆盖范围广泛，寻医问药本身即是所有人群都必然存在的基本需求，且在新冠疫情的背景加持下，绝大多数可以接入互联网的群体都可认为是本调研的研究对象。考虑到调研群体的广泛性，问卷在设计时尽可能对专业概念进行有关解释以保证问卷的可读性，并广泛收集以保证样本的均衡性。</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问卷主体包括：知情同意书、用户基本信息、线上诊疗使用情况问卷、调研量表共四大部分。为监控问卷的有效性，这里在第四部分“调研量表”中另增设了一道验证性问题。</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这里还需要特别就第四部分的设计进行一定说明。第四部分总共设置了5个潜在变量，每个浅变量有2～3个选择题，共14题，采用李克特7级量表，选项分值范围为1～7分（从“非常不认可”到“非常认可”），具体问题详见附录。</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在指标选取构造中，主要参考了由Viswanath Venkatesh 等提出的技术接受使用整合模型</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&lt;EndNote&gt;&lt;Cite&gt;&lt;Author&gt;Venkatesh&lt;/Author&gt;&lt;Year&gt;1998&lt;/Year&gt;&lt;RecNum&gt;54&lt;/RecNum&gt;&lt;DisplayText&gt;&lt;style face="superscript"&gt;[5]&lt;/style&gt;&lt;/DisplayText&gt;&lt;record&gt;&lt;rec-number&gt;54&lt;/rec-number&gt;&lt;foreign-keys&gt;&lt;key app="EN" db-id="z5t2xapxrvs5aeezvekvwzrk9rvz0rp9d9f0" timestamp="1676959829"&gt;54&lt;/key&gt;&lt;/foreign-keys&gt;&lt;ref-type name="Book"&gt;6&lt;/ref-type&gt;&lt;contributors&gt;&lt;authors&gt;&lt;author&gt;Venkatesh, Viswanath&lt;/author&gt;&lt;author&gt;University of, Minnesota&lt;/author&gt;&lt;author&gt;Davis, Gordon B.&lt;/author&gt;&lt;/authors&gt;&lt;/contributors&gt;&lt;titles&gt;&lt;title&gt;User acceptance of information technology: A unified view&lt;/title&gt;&lt;/titles&gt;&lt;dates&gt;&lt;year&gt;1998&lt;/year&gt;&lt;/dates&gt;&lt;pub-location&gt;Ann Arbor&lt;/pub-location&gt;&lt;publisher&gt;ProQuest Dissertations &amp;amp; Theses&lt;/publisher&gt;&lt;isbn&gt;9780591792515&lt;/isbn&gt;&lt;call-num&gt;University of Strathclyde Library&lt;/call-num&gt;&lt;urls&gt;&lt;related-urls&gt;&lt;url&gt;https://www.proquest.com/docview/304436442&lt;/url&gt;&lt;/related-urls&gt;&lt;/urls&gt;&lt;remote-database-name&gt;Library Hub Discover&lt;/remote-database-name&gt;&lt;remote-database-provider&gt;Jisc&lt;/remote-database-provider&gt;&lt;language&gt;English&lt;/language&gt;&lt;/record&gt;&lt;/Cite&gt;&lt;/EndNote&gt;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[5]</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（Unified Theory of Acceptance and Use of Technology Model, UTAUT）以及信息系统成功模型（Information System Success Model，IS Success Model）</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&lt;EndNote&gt;&lt;Cite&gt;&lt;Author&gt;DeLone&lt;/Author&gt;&lt;Year&gt;2016&lt;/Year&gt;&lt;RecNum&gt;55&lt;/RecNum&gt;&lt;DisplayText&gt;&lt;style face="superscript"&gt;[6]&lt;/style&gt;&lt;/DisplayText&gt;&lt;record&gt;&lt;rec-number&gt;55&lt;/rec-number&gt;&lt;foreign-keys&gt;&lt;key app="EN" db-id="z5t2xapxrvs5aeezvekvwzrk9rvz0rp9d9f0" timestamp="1676959873"&gt;55&lt;/key&gt;&lt;/foreign-keys&gt;&lt;ref-type name="Book"&gt;6&lt;/ref-type&gt;&lt;contributors&gt;&lt;authors&gt;&lt;author&gt;DeLone, William H.&lt;/author&gt;&lt;author&gt;McLean, Ephraim R.&lt;/author&gt;&lt;author&gt;Ieee Xplore&lt;/author&gt;&lt;author&gt;Now, Publishers&lt;/author&gt;&lt;/authors&gt;&lt;/contributors&gt;&lt;titles&gt;&lt;title&gt;Information systems success measurement&lt;/title&gt;&lt;secondary-title&gt;Foundations and trends in information systems volume 2, issue 1, pages 1-116&lt;/secondary-title&gt;&lt;/titles&gt;&lt;keywords&gt;&lt;keyword&gt;Management information systems -- Evaluation.&lt;/keyword&gt;&lt;/keywords&gt;&lt;dates&gt;&lt;year&gt;2016&lt;/year&gt;&lt;/dates&gt;&lt;pub-location&gt;Hanover, Massachusetts&amp;#xD;Piscataqay, New Jersey&lt;/pub-location&gt;&lt;publisher&gt;Now Publishers&amp;#xD;IEEE Xplore&lt;/publisher&gt;&lt;isbn&gt;9781680831436&amp;#xD;9781680831429&lt;/isbn&gt;&lt;call-num&gt;Lancaster University ; University of Bath Library&lt;/call-num&gt;&lt;urls&gt;&lt;related-urls&gt;&lt;url&gt;https://onesearch.lancaster-university.uk/openurl/44LAN/LUL_VU1? ?u.ignore_date_coverage=true&amp;amp;rft.mms_id=9930629206301221&lt;/url&gt;&lt;url&gt;https://www.bath.ac.uk/library/openurl/?u.ignore_date_coverage=true&amp;amp;rft.mms_id=991003690813102761&lt;/url&gt;&lt;/related-urls&gt;&lt;/urls&gt;&lt;remote-database-name&gt;Library Hub Discover&lt;/remote-database-name&gt;&lt;remote-database-provider&gt;Jisc&lt;/remote-database-provider&gt;&lt;language&gt;English&lt;/language&gt;&lt;/record&gt;&lt;/Cite&gt;&lt;/EndNote&gt;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[6]</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。两个模型都在有关信息系统的使用研究中得到了广泛使用，并且各有侧重。Venkatesh等人主要考虑了分别就系统的表现期望（performance expectancy）、努力期望（effort expectancy）、社会影响（social influence）与能动条件（enabling conditions）；而DeLone等则讨论了有关信息质量（information quality）、系统质量（system quality）、服务质量（service quality）、系统使用意愿（system usage intentions）、用户满意度（user satisfaction）与系统净收益（net system benefits）等方面。</w:t>
      </w:r>
    </w:p>
    <w:p>
      <w:pPr>
        <w:snapToGrid/>
        <w:spacing w:before="40" w:after="0" w:line="360" w:lineRule="auto"/>
        <w:ind w:firstLine="560" w:firstLineChars="200"/>
        <w:jc w:val="both"/>
        <w:rPr>
          <w:rFonts w:ascii="Times New Roman" w:hAnsi="Times New Roman" w:eastAsia="仿宋" w:cs="Times New Roman"/>
          <w:color w:val="333333"/>
          <w:szCs w:val="22"/>
        </w:rPr>
      </w:pPr>
      <w:r>
        <w:rPr>
          <w:rFonts w:ascii="Times New Roman" w:hAnsi="Times New Roman" w:eastAsia="楷体" w:cs="楷体"/>
          <w:color w:val="000000"/>
          <w:sz w:val="28"/>
          <w:szCs w:val="22"/>
        </w:rPr>
        <w:t>本报告在上述经典模型框架基础上，参考了童俞嘉等</w:t>
      </w:r>
      <w:r>
        <w:rPr>
          <w:rFonts w:ascii="楷体" w:hAnsi="楷体" w:eastAsia="楷体" w:cs="楷体"/>
          <w:color w:val="000000"/>
          <w:sz w:val="28"/>
          <w:szCs w:val="22"/>
        </w:rPr>
        <w:fldChar w:fldCharType="begin"/>
      </w:r>
      <w:r>
        <w:rPr>
          <w:rFonts w:ascii="楷体" w:hAnsi="楷体" w:eastAsia="楷体" w:cs="楷体"/>
          <w:color w:val="000000"/>
          <w:sz w:val="28"/>
          <w:szCs w:val="22"/>
        </w:rPr>
        <w:instrText xml:space="preserve"> ADDIN EN.CITE &lt;EndNote&gt;&lt;Cite&gt;&lt;Author&gt;童俞嘉&lt;/Author&gt;&lt;Year&gt;2020&lt;/Year&gt;&lt;RecNum&gt;57&lt;/RecNum&gt;&lt;DisplayText&gt;&lt;style face="superscript"&gt;[7]&lt;/style&gt;&lt;/DisplayText&gt;&lt;record&gt;&lt;rec-number&gt;57&lt;/rec-number&gt;&lt;foreign-keys&gt;&lt;key app="EN" db-id="z5t2xapxrvs5aeezvekvwzrk9rvz0rp9d9f0" timestamp="1676960446"&gt;57&lt;/key&gt;&lt;/foreign-keys&gt;&lt;ref-type name="Journal Article"&gt;17&lt;/ref-type&gt;&lt;contributors&gt;&lt;authors&gt;&lt;author&gt;童俞嘉&lt;/author&gt;&lt;author&gt;翟兴&lt;/author&gt;&lt;/authors&gt;&lt;/contributors&gt;&lt;auth-address&gt;北京协和医学院/中国医学科学院医学信息研究所;北京中医药大学管理学院;中国人民大学信息资源管理学院;&lt;/auth-address&gt;&lt;titles&gt;&lt;title&gt;基于结构方程模型的线上医疗咨询服务使用意愿研究&lt;/title&gt;&lt;secondary-title&gt;中华医学图书情报杂志&lt;/secondary-title&gt;&lt;/titles&gt;&lt;periodical&gt;&lt;full-title&gt;中华医学图书情报杂志&lt;/full-title&gt;&lt;/periodical&gt;&lt;pages&gt;65-73&lt;/pages&gt;&lt;volume&gt;29&lt;/volume&gt;&lt;number&gt;11&lt;/number&gt;&lt;keywords&gt;&lt;keyword&gt;线上医疗咨询服务&lt;/keyword&gt;&lt;keyword&gt;使用意愿&lt;/keyword&gt;&lt;keyword&gt;整合技术接受模型&lt;/keyword&gt;&lt;keyword&gt;信息系统成功模型&lt;/keyword&gt;&lt;/keywords&gt;&lt;dates&gt;&lt;year&gt;2020&lt;/year&gt;&lt;/dates&gt;&lt;isbn&gt;1671-3982&lt;/isbn&gt;&lt;call-num&gt;11-4745/R&lt;/call-num&gt;&lt;urls&gt;&lt;/urls&gt;&lt;remote-database-provider&gt;Cnki&lt;/remote-database-provider&gt;&lt;/record&gt;&lt;/Cite&gt;&lt;/EndNote&gt;</w:instrText>
      </w:r>
      <w:r>
        <w:rPr>
          <w:rFonts w:ascii="楷体" w:hAnsi="楷体" w:eastAsia="楷体" w:cs="楷体"/>
          <w:color w:val="000000"/>
          <w:sz w:val="28"/>
          <w:szCs w:val="22"/>
        </w:rPr>
        <w:fldChar w:fldCharType="separate"/>
      </w:r>
      <w:r>
        <w:rPr>
          <w:rFonts w:ascii="楷体" w:hAnsi="楷体" w:eastAsia="楷体" w:cs="楷体"/>
          <w:color w:val="000000"/>
          <w:sz w:val="28"/>
          <w:szCs w:val="22"/>
          <w:vertAlign w:val="superscript"/>
        </w:rPr>
        <w:t>[7]</w:t>
      </w:r>
      <w:r>
        <w:rPr>
          <w:rFonts w:ascii="楷体" w:hAnsi="楷体" w:eastAsia="楷体" w:cs="楷体"/>
          <w:color w:val="000000"/>
          <w:sz w:val="28"/>
          <w:szCs w:val="22"/>
        </w:rPr>
        <w:fldChar w:fldCharType="end"/>
      </w:r>
      <w:r>
        <w:rPr>
          <w:rFonts w:ascii="Times New Roman" w:hAnsi="Times New Roman" w:eastAsia="楷体" w:cs="楷体"/>
          <w:color w:val="000000"/>
          <w:sz w:val="28"/>
          <w:szCs w:val="22"/>
        </w:rPr>
        <w:t>的有关研究并结合预调研结果与实际情况，最终主要选用了信息质量（IQ）、表现期望（PE）、社会影响（SI）、能动条件（FC）、用户使用意愿（BI）共五个方面进行研究。其中：信息质量（IQ）指对线上诊疗平台输出的相关信息质量的评估，从其准确性、丰富性、时效性、权威性等进行反映；表现期望（PE）指线上诊疗服务平台所提供的服务帮助的程度，所提供帮助越多，公众使用的意愿相应越大；社会影响（SI）指用户所接触到的社会信息对用户使用线上诊疗平台的意愿的影响程度，家人朋友、媒体和医院的影响程度进行评估；能动条件（FC）指在使用线上诊疗平台时，用户所拥有的硬件技术、知识储备和问题解决能力三方面进行评估；用户使用意愿（BI）指用户使用线上诊疗平台的意愿。</w:t>
      </w:r>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8"/>
          <w:lang w:val="en-US" w:eastAsia="zh-CN" w:bidi="ar-SA"/>
        </w:rPr>
      </w:pPr>
      <w:bookmarkStart w:id="5" w:name="_Toc130161121"/>
      <w:r>
        <w:rPr>
          <w:rFonts w:hint="eastAsia" w:ascii="楷体" w:hAnsi="楷体" w:eastAsia="楷体" w:cs="Times New Roman"/>
          <w:b/>
          <w:bCs/>
          <w:color w:val="1A1A1A"/>
          <w:kern w:val="2"/>
          <w:sz w:val="28"/>
          <w:szCs w:val="28"/>
          <w:lang w:val="en-US" w:eastAsia="zh-CN" w:bidi="ar-SA"/>
        </w:rPr>
        <w:t>2</w:t>
      </w:r>
      <w:r>
        <w:rPr>
          <w:rFonts w:ascii="楷体" w:hAnsi="楷体" w:eastAsia="楷体" w:cs="Times New Roman"/>
          <w:b/>
          <w:bCs/>
          <w:color w:val="1A1A1A"/>
          <w:kern w:val="2"/>
          <w:sz w:val="28"/>
          <w:szCs w:val="28"/>
          <w:lang w:val="en-US" w:eastAsia="zh-CN" w:bidi="ar-SA"/>
        </w:rPr>
        <w:t>) 问卷发放与收集</w:t>
      </w:r>
      <w:bookmarkEnd w:id="5"/>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本调研问卷通过在线问卷调查平台问卷星（</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HYPERLINK "file:///D:\\Users\\xinby\\Downloads\\www.wjx.cn" \t "dlt" </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lang w:val="en-US" w:eastAsia="zh-CN" w:bidi="ar-SA"/>
        </w:rPr>
        <w:t>www.wjx.cn</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发放与收集。为了保证本次问卷调查最终得到的样本数据合理有效、可信可用，在具体实现问卷这一调查方式的过程中设置了七个步骤如右图4-1。经预调查的40份问卷测试，发现问卷填写时间一般在150~800秒。因此，本文在筛选有效样本时，只保留填写时间多于100秒，且不是题目的分数大部分都相同的答卷。</w:t>
      </w:r>
      <w:r>
        <w:rPr>
          <w:rFonts w:hint="eastAsia" w:ascii="Times New Roman" w:hAnsi="Times New Roman" w:eastAsia="楷体" w:cs="楷体"/>
          <w:color w:val="000000"/>
          <w:kern w:val="2"/>
          <w:sz w:val="28"/>
          <w:szCs w:val="22"/>
          <w:lang w:val="en-US" w:eastAsia="zh-CN" w:bidi="ar-SA"/>
        </w:rPr>
        <w:t>在分发第一次问卷后发现有部分问题无法通过信度检验，在第二次发放问卷时将这部分问题删去，并对部分问题的措辞进行了修改，</w:t>
      </w:r>
      <w:r>
        <w:rPr>
          <w:rFonts w:ascii="Times New Roman" w:hAnsi="Times New Roman" w:eastAsia="楷体" w:cs="楷体"/>
          <w:color w:val="000000"/>
          <w:kern w:val="2"/>
          <w:sz w:val="28"/>
          <w:szCs w:val="22"/>
          <w:lang w:val="en-US" w:eastAsia="zh-CN" w:bidi="ar-SA"/>
        </w:rPr>
        <w:t>通过网络渠道发放和回收问卷，共收到问卷</w:t>
      </w:r>
      <w:r>
        <w:rPr>
          <w:rFonts w:hint="eastAsia" w:ascii="Times New Roman" w:hAnsi="Times New Roman" w:eastAsia="楷体" w:cs="楷体"/>
          <w:color w:val="000000"/>
          <w:kern w:val="2"/>
          <w:sz w:val="28"/>
          <w:szCs w:val="22"/>
          <w:lang w:val="en-US" w:eastAsia="zh-CN" w:bidi="ar-SA"/>
        </w:rPr>
        <w:t>617</w:t>
      </w:r>
      <w:r>
        <w:rPr>
          <w:rFonts w:ascii="Times New Roman" w:hAnsi="Times New Roman" w:eastAsia="楷体" w:cs="楷体"/>
          <w:color w:val="000000"/>
          <w:kern w:val="2"/>
          <w:sz w:val="28"/>
          <w:szCs w:val="22"/>
          <w:lang w:val="en-US" w:eastAsia="zh-CN" w:bidi="ar-SA"/>
        </w:rPr>
        <w:t>份。最终共筛选出有效问卷</w:t>
      </w:r>
      <w:r>
        <w:rPr>
          <w:rFonts w:hint="eastAsia" w:ascii="Times New Roman" w:hAnsi="Times New Roman" w:eastAsia="楷体" w:cs="楷体"/>
          <w:color w:val="000000"/>
          <w:kern w:val="2"/>
          <w:sz w:val="28"/>
          <w:szCs w:val="22"/>
          <w:lang w:val="en-US" w:eastAsia="zh-CN" w:bidi="ar-SA"/>
        </w:rPr>
        <w:t>513</w:t>
      </w:r>
      <w:r>
        <w:rPr>
          <w:rFonts w:ascii="Times New Roman" w:hAnsi="Times New Roman" w:eastAsia="楷体" w:cs="楷体"/>
          <w:color w:val="000000"/>
          <w:kern w:val="2"/>
          <w:sz w:val="28"/>
          <w:szCs w:val="22"/>
          <w:lang w:val="en-US" w:eastAsia="zh-CN" w:bidi="ar-SA"/>
        </w:rPr>
        <w:t>份。</w:t>
      </w:r>
    </w:p>
    <w:p>
      <w:pPr>
        <w:keepNext/>
        <w:keepLines/>
        <w:widowControl w:val="0"/>
        <w:snapToGrid w:val="0"/>
        <w:spacing w:before="0" w:after="0" w:line="408" w:lineRule="auto"/>
        <w:ind w:left="60" w:firstLine="420"/>
        <w:outlineLvl w:val="4"/>
        <w:rPr>
          <w:rFonts w:ascii="楷体" w:hAnsi="楷体" w:eastAsia="楷体" w:cs="Times New Roman"/>
          <w:b/>
          <w:bCs/>
          <w:color w:val="1A1A1A"/>
          <w:kern w:val="2"/>
          <w:sz w:val="28"/>
          <w:szCs w:val="22"/>
          <w:lang w:val="en-US" w:eastAsia="zh-CN" w:bidi="ar-SA"/>
        </w:rPr>
      </w:pPr>
      <w:bookmarkStart w:id="6" w:name="_Toc130161122"/>
      <w:r>
        <w:rPr>
          <w:rFonts w:hint="eastAsia" w:ascii="楷体" w:hAnsi="楷体" w:eastAsia="楷体" w:cs="Times New Roman"/>
          <w:b/>
          <w:bCs/>
          <w:color w:val="1A1A1A"/>
          <w:kern w:val="2"/>
          <w:sz w:val="28"/>
          <w:szCs w:val="22"/>
          <w:lang w:val="en-US" w:eastAsia="zh-CN" w:bidi="ar-SA"/>
        </w:rPr>
        <w:t>3</w:t>
      </w:r>
      <w:r>
        <w:rPr>
          <w:rFonts w:ascii="楷体" w:hAnsi="楷体" w:eastAsia="楷体" w:cs="Times New Roman"/>
          <w:b/>
          <w:bCs/>
          <w:color w:val="1A1A1A"/>
          <w:kern w:val="2"/>
          <w:sz w:val="28"/>
          <w:szCs w:val="22"/>
          <w:lang w:val="en-US" w:eastAsia="zh-CN" w:bidi="ar-SA"/>
        </w:rPr>
        <w:t>) 用户画像</w:t>
      </w:r>
      <w:r>
        <w:rPr>
          <w:rFonts w:hint="eastAsia" w:ascii="楷体" w:hAnsi="楷体" w:eastAsia="楷体" w:cs="Times New Roman"/>
          <w:b/>
          <w:bCs/>
          <w:color w:val="1A1A1A"/>
          <w:kern w:val="2"/>
          <w:sz w:val="28"/>
          <w:szCs w:val="22"/>
          <w:lang w:val="en-US" w:eastAsia="zh-CN" w:bidi="ar-SA"/>
        </w:rPr>
        <w:t>与使用情况洞察</w:t>
      </w:r>
      <w:bookmarkEnd w:id="6"/>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表3-1 用户画像分析</w:t>
      </w:r>
    </w:p>
    <w:tbl>
      <w:tblPr>
        <w:tblStyle w:val="2"/>
        <w:tblpPr w:leftFromText="180" w:rightFromText="180" w:vertAnchor="text" w:horzAnchor="page" w:tblpX="1413" w:tblpY="1034"/>
        <w:tblOverlap w:val="never"/>
        <w:tblW w:w="101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60"/>
        <w:gridCol w:w="3390"/>
        <w:gridCol w:w="2380"/>
        <w:gridCol w:w="22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5" w:hRule="atLeast"/>
        </w:trPr>
        <w:tc>
          <w:tcPr>
            <w:tcW w:w="2160" w:type="dxa"/>
            <w:tcBorders>
              <w:top w:val="nil"/>
              <w:left w:val="nil"/>
              <w:bottom w:val="single" w:color="000000" w:sz="4" w:space="0"/>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指标</w:t>
            </w:r>
          </w:p>
        </w:tc>
        <w:tc>
          <w:tcPr>
            <w:tcW w:w="3390" w:type="dxa"/>
            <w:tcBorders>
              <w:top w:val="nil"/>
              <w:left w:val="nil"/>
              <w:bottom w:val="single" w:color="000000" w:sz="4" w:space="0"/>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分类</w:t>
            </w:r>
          </w:p>
        </w:tc>
        <w:tc>
          <w:tcPr>
            <w:tcW w:w="2380" w:type="dxa"/>
            <w:tcBorders>
              <w:top w:val="nil"/>
              <w:left w:val="nil"/>
              <w:bottom w:val="single" w:color="000000" w:sz="4" w:space="0"/>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频数</w:t>
            </w:r>
          </w:p>
        </w:tc>
        <w:tc>
          <w:tcPr>
            <w:tcW w:w="2220" w:type="dxa"/>
            <w:tcBorders>
              <w:top w:val="nil"/>
              <w:left w:val="nil"/>
              <w:bottom w:val="single" w:color="000000" w:sz="4" w:space="0"/>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比例/%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2160" w:type="dxa"/>
            <w:tcBorders>
              <w:top w:val="nil"/>
              <w:left w:val="nil"/>
              <w:bottom w:val="nil"/>
              <w:right w:val="nil"/>
            </w:tcBorders>
            <w:shd w:val="clear" w:color="auto" w:fill="auto"/>
            <w:noWrap/>
            <w:vAlign w:val="bottom"/>
          </w:tcPr>
          <w:p>
            <w:pPr>
              <w:jc w:val="center"/>
              <w:rPr>
                <w:rFonts w:hint="eastAsia"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238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222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性别</w:t>
            </w: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男</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210</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41.02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女</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302</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58.98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年龄</w:t>
            </w: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18岁以下</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18~25</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111</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21.68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26~30</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182</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35.55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31~40</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178</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34.77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41~50</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31</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51~60</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7</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60以上</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学历</w:t>
            </w: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初中</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高中/中专/技校</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21</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大学专科</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64</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12.50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大学本科</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386</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75.39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研究生及以上</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37</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7.23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月薪</w:t>
            </w: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1000元以下</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21</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1000～3000元</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63</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12.30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3001～5000元</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88</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17.19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5001～10000元</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237</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46.29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10000元以上</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103</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20.12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年就医次数</w:t>
            </w: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0次</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23</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1～4次</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444</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86.72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5次及以上</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45</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8.79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行业</w:t>
            </w: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在读学生</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60</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11.72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办公用品及设备</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餐饮/娱乐/旅游/酒店/生活服务</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25</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出版/印刷/包装</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电子技术/半导体/集成电路</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法律</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房地产开发/建筑工程/装潢/设计</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11</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服装/纺织/皮革</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10</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广告/公关/媒体/艺术</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航天/航空/能源/化工</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会计/审计</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16</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机械/设备/重工</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家具/工艺品/玩具</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交通/运输/物流</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11</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教育培训/科研院校</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47</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9.18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快速消费品(食品/饮料/化妆品)</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27</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贸易/进出口</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农业/渔业/林业</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批发/零售</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22</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汽车及零配件</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通信/电信运营/网络设备/增值服务</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20</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物业管理/商业中心</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医疗/护理/保健/卫生</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12</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仪器仪表/工业自动化</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银行/保险/证券/投资银行/风险基金</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9</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IT/软硬件服务/电子商务/因特网运营</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76</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14.84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制药/生物工程/医疗设备/器械</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制造业</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97</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18.95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中介/咨询/猎头/认证</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2160" w:type="dxa"/>
            <w:tcBorders>
              <w:top w:val="nil"/>
              <w:left w:val="nil"/>
              <w:bottom w:val="nil"/>
              <w:right w:val="nil"/>
            </w:tcBorders>
            <w:shd w:val="clear" w:color="auto" w:fill="auto"/>
            <w:noWrap/>
            <w:vAlign w:val="bottom"/>
          </w:tcPr>
          <w:p>
            <w:pPr>
              <w:jc w:val="center"/>
              <w:rPr>
                <w:rFonts w:hint="default" w:ascii="Arial" w:hAnsi="Arial" w:cs="Arial"/>
                <w:i w:val="0"/>
                <w:iCs w:val="0"/>
                <w:color w:val="000000"/>
                <w:sz w:val="20"/>
                <w:szCs w:val="20"/>
                <w:u w:val="none"/>
              </w:rPr>
            </w:pPr>
          </w:p>
        </w:tc>
        <w:tc>
          <w:tcPr>
            <w:tcW w:w="339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其他行业</w:t>
            </w:r>
          </w:p>
        </w:tc>
        <w:tc>
          <w:tcPr>
            <w:tcW w:w="238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16</w:t>
            </w:r>
          </w:p>
        </w:tc>
        <w:tc>
          <w:tcPr>
            <w:tcW w:w="2220" w:type="dxa"/>
            <w:tcBorders>
              <w:top w:val="nil"/>
              <w:left w:val="nil"/>
              <w:bottom w:val="nil"/>
              <w:right w:val="nil"/>
            </w:tcBorders>
            <w:shd w:val="clear" w:color="auto" w:fill="auto"/>
            <w:noWrap/>
            <w:vAlign w:val="bottom"/>
          </w:tcPr>
          <w:p>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3.13</w:t>
            </w:r>
          </w:p>
        </w:tc>
      </w:tr>
    </w:tbl>
    <w:p>
      <w:pPr>
        <w:snapToGrid/>
        <w:spacing w:before="40" w:after="0" w:line="360" w:lineRule="auto"/>
        <w:jc w:val="both"/>
        <w:rPr>
          <w:rFonts w:ascii="楷体" w:hAnsi="楷体" w:eastAsia="楷体" w:cs="楷体"/>
          <w:color w:val="000000"/>
          <w:sz w:val="28"/>
          <w:szCs w:val="22"/>
        </w:rPr>
      </w:pP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基于调研问卷收集到的用户基本信息如上表3-1，被调查者年龄分布集中于18~40岁，其中</w:t>
      </w:r>
      <w:r>
        <w:rPr>
          <w:rFonts w:hint="eastAsia" w:ascii="Times New Roman" w:hAnsi="Times New Roman" w:eastAsia="楷体" w:cs="楷体"/>
          <w:color w:val="000000"/>
          <w:kern w:val="2"/>
          <w:sz w:val="28"/>
          <w:szCs w:val="22"/>
          <w:lang w:val="en-US" w:eastAsia="zh-CN" w:bidi="ar-SA"/>
        </w:rPr>
        <w:t>26</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30</w:t>
      </w:r>
      <w:r>
        <w:rPr>
          <w:rFonts w:ascii="Times New Roman" w:hAnsi="Times New Roman" w:eastAsia="楷体" w:cs="楷体"/>
          <w:color w:val="000000"/>
          <w:kern w:val="2"/>
          <w:sz w:val="28"/>
          <w:szCs w:val="22"/>
          <w:lang w:val="en-US" w:eastAsia="zh-CN" w:bidi="ar-SA"/>
        </w:rPr>
        <w:t>岁的群体占比最大。受教育水平集中于大学本科，月收入5000~10000元占比最大，为</w:t>
      </w:r>
      <w:r>
        <w:rPr>
          <w:rFonts w:hint="eastAsia" w:ascii="Times New Roman" w:hAnsi="Times New Roman" w:eastAsia="楷体" w:cs="楷体"/>
          <w:color w:val="000000"/>
          <w:kern w:val="2"/>
          <w:sz w:val="28"/>
          <w:szCs w:val="22"/>
          <w:lang w:val="en-US" w:eastAsia="zh-CN" w:bidi="ar-SA"/>
        </w:rPr>
        <w:t>46.29</w:t>
      </w:r>
      <w:r>
        <w:rPr>
          <w:rFonts w:ascii="Times New Roman" w:hAnsi="Times New Roman" w:eastAsia="楷体" w:cs="楷体"/>
          <w:color w:val="000000"/>
          <w:kern w:val="2"/>
          <w:sz w:val="28"/>
          <w:szCs w:val="22"/>
          <w:lang w:val="en-US" w:eastAsia="zh-CN" w:bidi="ar-SA"/>
        </w:rPr>
        <w:t>%。被调查者超9</w:t>
      </w:r>
      <w:r>
        <w:rPr>
          <w:rFonts w:hint="eastAsia" w:ascii="Times New Roman" w:hAnsi="Times New Roman" w:eastAsia="楷体" w:cs="楷体"/>
          <w:color w:val="000000"/>
          <w:kern w:val="2"/>
          <w:sz w:val="28"/>
          <w:szCs w:val="22"/>
          <w:lang w:val="en-US" w:eastAsia="zh-CN" w:bidi="ar-SA"/>
        </w:rPr>
        <w:t>5</w:t>
      </w:r>
      <w:r>
        <w:rPr>
          <w:rFonts w:ascii="Times New Roman" w:hAnsi="Times New Roman" w:eastAsia="楷体" w:cs="楷体"/>
          <w:color w:val="000000"/>
          <w:kern w:val="2"/>
          <w:sz w:val="28"/>
          <w:szCs w:val="22"/>
          <w:lang w:val="en-US" w:eastAsia="zh-CN" w:bidi="ar-SA"/>
        </w:rPr>
        <w:t>%每年有就医经历，其中年均就医五次以上占</w:t>
      </w:r>
      <w:r>
        <w:rPr>
          <w:rFonts w:hint="eastAsia" w:ascii="Times New Roman" w:hAnsi="Times New Roman" w:eastAsia="楷体" w:cs="楷体"/>
          <w:color w:val="000000"/>
          <w:kern w:val="2"/>
          <w:sz w:val="28"/>
          <w:szCs w:val="22"/>
          <w:lang w:val="en-US" w:eastAsia="zh-CN" w:bidi="ar-SA"/>
        </w:rPr>
        <w:t>8.79</w:t>
      </w:r>
      <w:r>
        <w:rPr>
          <w:rFonts w:ascii="Times New Roman" w:hAnsi="Times New Roman" w:eastAsia="楷体" w:cs="楷体"/>
          <w:color w:val="000000"/>
          <w:kern w:val="2"/>
          <w:sz w:val="28"/>
          <w:szCs w:val="22"/>
          <w:lang w:val="en-US" w:eastAsia="zh-CN" w:bidi="ar-SA"/>
        </w:rPr>
        <w:t>%。</w:t>
      </w:r>
    </w:p>
    <w:p>
      <w:pPr>
        <w:widowControl w:val="0"/>
        <w:snapToGrid/>
        <w:spacing w:before="0" w:after="0" w:line="360" w:lineRule="auto"/>
        <w:ind w:firstLine="198" w:firstLineChars="71"/>
        <w:jc w:val="center"/>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drawing>
          <wp:inline distT="0" distB="0" distL="114300" distR="114300">
            <wp:extent cx="4782820" cy="3746500"/>
            <wp:effectExtent l="0" t="0" r="0" b="0"/>
            <wp:docPr id="5" name="图片 5" descr="使用原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使用原因"/>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782820" cy="3746500"/>
                    </a:xfrm>
                    <a:prstGeom prst="rect">
                      <a:avLst/>
                    </a:prstGeom>
                  </pic:spPr>
                </pic:pic>
              </a:graphicData>
            </a:graphic>
          </wp:inline>
        </w:drawing>
      </w:r>
    </w:p>
    <w:p>
      <w:pPr>
        <w:widowControl w:val="0"/>
        <w:snapToGrid/>
        <w:spacing w:before="0" w:after="0" w:line="360" w:lineRule="auto"/>
        <w:ind w:firstLine="170" w:firstLineChars="71"/>
        <w:jc w:val="center"/>
        <w:rPr>
          <w:rFonts w:ascii="Times New Roman" w:hAnsi="Times New Roman" w:eastAsia="楷体" w:cs="楷体"/>
          <w:color w:val="000000"/>
          <w:kern w:val="2"/>
          <w:sz w:val="24"/>
          <w:szCs w:val="22"/>
          <w:lang w:val="en-US" w:eastAsia="zh-CN" w:bidi="ar-SA"/>
        </w:rPr>
      </w:pPr>
      <w:r>
        <w:rPr>
          <w:rFonts w:hint="eastAsia" w:ascii="Times New Roman" w:hAnsi="Times New Roman" w:eastAsia="楷体" w:cs="楷体"/>
          <w:color w:val="000000"/>
          <w:kern w:val="2"/>
          <w:sz w:val="24"/>
          <w:szCs w:val="22"/>
          <w:lang w:val="en-US" w:eastAsia="zh-CN" w:bidi="ar-SA"/>
        </w:rPr>
        <w:t>图3</w:t>
      </w:r>
      <w:r>
        <w:rPr>
          <w:rFonts w:ascii="Times New Roman" w:hAnsi="Times New Roman" w:eastAsia="楷体" w:cs="楷体"/>
          <w:color w:val="000000"/>
          <w:kern w:val="2"/>
          <w:sz w:val="24"/>
          <w:szCs w:val="22"/>
          <w:lang w:val="en-US" w:eastAsia="zh-CN" w:bidi="ar-SA"/>
        </w:rPr>
        <w:t xml:space="preserve">-2 </w:t>
      </w:r>
      <w:r>
        <w:rPr>
          <w:rFonts w:hint="eastAsia" w:ascii="Times New Roman" w:hAnsi="Times New Roman" w:eastAsia="楷体" w:cs="楷体"/>
          <w:color w:val="000000"/>
          <w:kern w:val="2"/>
          <w:sz w:val="24"/>
          <w:szCs w:val="22"/>
          <w:lang w:val="en-US" w:eastAsia="zh-CN" w:bidi="ar-SA"/>
        </w:rPr>
        <w:t>使用线上诊疗的原因</w:t>
      </w:r>
    </w:p>
    <w:p>
      <w:pPr>
        <w:snapToGrid/>
        <w:spacing w:before="40" w:after="0" w:line="360" w:lineRule="auto"/>
        <w:jc w:val="center"/>
        <w:rPr>
          <w:rFonts w:hint="eastAsia" w:ascii="楷体" w:hAnsi="楷体" w:eastAsia="楷体" w:cs="楷体"/>
          <w:color w:val="000000"/>
          <w:sz w:val="28"/>
          <w:szCs w:val="22"/>
          <w:lang w:eastAsia="zh-CN"/>
        </w:rPr>
      </w:pPr>
      <w:r>
        <w:rPr>
          <w:rFonts w:hint="eastAsia" w:ascii="楷体" w:hAnsi="楷体" w:eastAsia="楷体" w:cs="楷体"/>
          <w:color w:val="000000"/>
          <w:sz w:val="28"/>
          <w:szCs w:val="22"/>
          <w:lang w:eastAsia="zh-CN"/>
        </w:rPr>
        <w:drawing>
          <wp:inline distT="0" distB="0" distL="114300" distR="114300">
            <wp:extent cx="4799965" cy="4079875"/>
            <wp:effectExtent l="0" t="0" r="0" b="0"/>
            <wp:docPr id="6" name="图片 6" descr="不适用原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不适用原因"/>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799965" cy="4079875"/>
                    </a:xfrm>
                    <a:prstGeom prst="rect">
                      <a:avLst/>
                    </a:prstGeom>
                  </pic:spPr>
                </pic:pic>
              </a:graphicData>
            </a:graphic>
          </wp:inline>
        </w:drawing>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图3-3 不使用线上诊疗的原因</w:t>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在问卷统计时，</w:t>
      </w:r>
      <w:r>
        <w:rPr>
          <w:rFonts w:hint="eastAsia" w:ascii="Times New Roman" w:hAnsi="Times New Roman" w:eastAsia="楷体" w:cs="楷体"/>
          <w:color w:val="000000"/>
          <w:kern w:val="2"/>
          <w:sz w:val="28"/>
          <w:szCs w:val="22"/>
          <w:lang w:val="en-US" w:eastAsia="zh-CN" w:bidi="ar-SA"/>
        </w:rPr>
        <w:t>项目组</w:t>
      </w:r>
      <w:r>
        <w:rPr>
          <w:rFonts w:ascii="Times New Roman" w:hAnsi="Times New Roman" w:eastAsia="楷体" w:cs="楷体"/>
          <w:color w:val="000000"/>
          <w:kern w:val="2"/>
          <w:sz w:val="28"/>
          <w:szCs w:val="22"/>
          <w:lang w:val="en-US" w:eastAsia="zh-CN" w:bidi="ar-SA"/>
        </w:rPr>
        <w:t>向使用过与未使用过问诊平台的不同群体分别询问了他们选择与否的原因如上图3-2</w:t>
      </w:r>
      <w:r>
        <w:rPr>
          <w:rFonts w:hint="eastAsia" w:ascii="Times New Roman" w:hAnsi="Times New Roman" w:eastAsia="楷体" w:cs="楷体"/>
          <w:color w:val="000000"/>
          <w:kern w:val="2"/>
          <w:sz w:val="28"/>
          <w:szCs w:val="22"/>
          <w:lang w:val="en-US" w:eastAsia="zh-CN" w:bidi="ar-SA"/>
        </w:rPr>
        <w:t>和图3</w:t>
      </w:r>
      <w:r>
        <w:rPr>
          <w:rFonts w:ascii="Times New Roman" w:hAnsi="Times New Roman" w:eastAsia="楷体" w:cs="楷体"/>
          <w:color w:val="000000"/>
          <w:kern w:val="2"/>
          <w:sz w:val="28"/>
          <w:szCs w:val="22"/>
          <w:lang w:val="en-US" w:eastAsia="zh-CN" w:bidi="ar-SA"/>
        </w:rPr>
        <w:t>-3。其中，</w:t>
      </w:r>
      <w:r>
        <w:rPr>
          <w:rFonts w:hint="eastAsia" w:ascii="Times New Roman" w:hAnsi="Times New Roman" w:eastAsia="楷体" w:cs="楷体"/>
          <w:color w:val="000000"/>
          <w:kern w:val="2"/>
          <w:sz w:val="28"/>
          <w:szCs w:val="22"/>
          <w:lang w:val="en-US" w:eastAsia="zh-CN" w:bidi="ar-SA"/>
        </w:rPr>
        <w:t>21.3</w:t>
      </w:r>
      <w:r>
        <w:rPr>
          <w:rFonts w:ascii="Times New Roman" w:hAnsi="Times New Roman" w:eastAsia="楷体" w:cs="楷体"/>
          <w:color w:val="000000"/>
          <w:kern w:val="2"/>
          <w:sz w:val="28"/>
          <w:szCs w:val="22"/>
          <w:lang w:val="en-US" w:eastAsia="zh-CN" w:bidi="ar-SA"/>
        </w:rPr>
        <w:t>%的用户认为使用问诊平台可以</w:t>
      </w:r>
      <w:r>
        <w:rPr>
          <w:rFonts w:ascii="Times New Roman" w:hAnsi="Times New Roman" w:eastAsia="楷体" w:cs="楷体"/>
          <w:b/>
          <w:bCs/>
          <w:color w:val="000000"/>
          <w:kern w:val="2"/>
          <w:sz w:val="28"/>
          <w:szCs w:val="22"/>
          <w:lang w:val="en-US" w:eastAsia="zh-CN" w:bidi="ar-SA"/>
        </w:rPr>
        <w:t>节省时间</w:t>
      </w:r>
      <w:r>
        <w:rPr>
          <w:rFonts w:ascii="Times New Roman" w:hAnsi="Times New Roman" w:eastAsia="楷体" w:cs="楷体"/>
          <w:color w:val="000000"/>
          <w:kern w:val="2"/>
          <w:sz w:val="28"/>
          <w:szCs w:val="22"/>
          <w:lang w:val="en-US" w:eastAsia="zh-CN" w:bidi="ar-SA"/>
        </w:rPr>
        <w:t>，并且</w:t>
      </w:r>
      <w:r>
        <w:rPr>
          <w:rFonts w:hint="eastAsia" w:ascii="Times New Roman" w:hAnsi="Times New Roman" w:eastAsia="楷体" w:cs="楷体"/>
          <w:color w:val="000000"/>
          <w:kern w:val="2"/>
          <w:sz w:val="28"/>
          <w:szCs w:val="22"/>
          <w:lang w:val="en-US" w:eastAsia="zh-CN" w:bidi="ar-SA"/>
        </w:rPr>
        <w:t>流程简单和病情较轻</w:t>
      </w:r>
      <w:r>
        <w:rPr>
          <w:rFonts w:ascii="Times New Roman" w:hAnsi="Times New Roman" w:eastAsia="楷体" w:cs="楷体"/>
          <w:color w:val="000000"/>
          <w:kern w:val="2"/>
          <w:sz w:val="28"/>
          <w:szCs w:val="22"/>
          <w:lang w:val="en-US" w:eastAsia="zh-CN" w:bidi="ar-SA"/>
        </w:rPr>
        <w:t>也是使用问诊平台的一个重要因素。这与由于不能进行身体检查导致不使用问诊平台相对应。可见当遇到复杂病情时，人们更倾向于进行线下医疗。在线问诊平台应成为线下问诊的辅助平台，通过对较轻病症、病情的线上治疗为线下医疗的资源挤兑问题进行缓解。</w:t>
      </w:r>
    </w:p>
    <w:p>
      <w:pPr>
        <w:widowControl w:val="0"/>
        <w:snapToGrid/>
        <w:spacing w:before="0" w:after="0" w:line="360" w:lineRule="auto"/>
        <w:ind w:firstLine="0" w:firstLineChars="0"/>
        <w:jc w:val="both"/>
        <w:rPr>
          <w:rFonts w:ascii="Times New Roman" w:hAnsi="Times New Roman" w:eastAsia="楷体" w:cs="楷体"/>
          <w:color w:val="000000"/>
          <w:kern w:val="2"/>
          <w:sz w:val="28"/>
          <w:szCs w:val="22"/>
          <w:lang w:val="en-US" w:eastAsia="zh-CN" w:bidi="ar-SA"/>
        </w:rPr>
      </w:pPr>
    </w:p>
    <w:p>
      <w:pPr>
        <w:snapToGrid/>
        <w:spacing w:before="40" w:after="0" w:line="360" w:lineRule="auto"/>
        <w:jc w:val="center"/>
        <w:rPr>
          <w:rFonts w:hint="eastAsia" w:ascii="楷体" w:hAnsi="楷体" w:eastAsia="楷体" w:cs="楷体"/>
          <w:color w:val="000000"/>
          <w:sz w:val="28"/>
          <w:szCs w:val="22"/>
          <w:lang w:eastAsia="zh-CN"/>
        </w:rPr>
      </w:pPr>
      <w:r>
        <w:rPr>
          <w:rFonts w:hint="eastAsia" w:ascii="楷体" w:hAnsi="楷体" w:eastAsia="楷体" w:cs="楷体"/>
          <w:color w:val="000000"/>
          <w:sz w:val="28"/>
          <w:szCs w:val="22"/>
          <w:lang w:eastAsia="zh-CN"/>
        </w:rPr>
        <w:drawing>
          <wp:inline distT="0" distB="0" distL="114300" distR="114300">
            <wp:extent cx="5269230" cy="4478655"/>
            <wp:effectExtent l="0" t="0" r="0" b="0"/>
            <wp:docPr id="7" name="图片 7" descr="在线诊疗存在的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在线诊疗存在的问题"/>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5269230" cy="4478655"/>
                    </a:xfrm>
                    <a:prstGeom prst="rect">
                      <a:avLst/>
                    </a:prstGeom>
                  </pic:spPr>
                </pic:pic>
              </a:graphicData>
            </a:graphic>
          </wp:inline>
        </w:drawing>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图3-4 在线诊疗存在的问题</w:t>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p>
    <w:p>
      <w:pPr>
        <w:widowControl w:val="0"/>
        <w:snapToGrid/>
        <w:spacing w:before="0" w:after="0" w:line="360" w:lineRule="auto"/>
        <w:ind w:firstLine="560" w:firstLineChars="200"/>
        <w:jc w:val="both"/>
        <w:rPr>
          <w:rFonts w:hint="default"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在使用过在线诊疗平台的用户中，有</w:t>
      </w:r>
      <w:r>
        <w:rPr>
          <w:rFonts w:hint="eastAsia" w:ascii="Times New Roman" w:hAnsi="Times New Roman" w:eastAsia="楷体" w:cs="楷体"/>
          <w:color w:val="000000"/>
          <w:kern w:val="2"/>
          <w:sz w:val="28"/>
          <w:szCs w:val="22"/>
          <w:lang w:val="en-US" w:eastAsia="zh-CN" w:bidi="ar-SA"/>
        </w:rPr>
        <w:t>1/4的用户认为无法体检</w:t>
      </w:r>
      <w:r>
        <w:rPr>
          <w:rFonts w:ascii="Times New Roman" w:hAnsi="Times New Roman" w:eastAsia="楷体" w:cs="楷体"/>
          <w:color w:val="000000"/>
          <w:kern w:val="2"/>
          <w:sz w:val="28"/>
          <w:szCs w:val="22"/>
          <w:lang w:val="en-US" w:eastAsia="zh-CN" w:bidi="ar-SA"/>
        </w:rPr>
        <w:t>是在线诊疗的问题所在，这一点需要线上问诊与线下问诊做到有效融合才能得以解决。如图3-4。由于当下在线诊疗仍处于发展阶段，环境构建、市场监管仍不完善，急需加强监督管理。并且，</w:t>
      </w:r>
      <w:r>
        <w:rPr>
          <w:rFonts w:hint="eastAsia" w:ascii="Times New Roman" w:hAnsi="Times New Roman" w:eastAsia="楷体" w:cs="楷体"/>
          <w:color w:val="000000"/>
          <w:kern w:val="2"/>
          <w:sz w:val="28"/>
          <w:szCs w:val="22"/>
          <w:lang w:val="en-US" w:eastAsia="zh-CN" w:bidi="ar-SA"/>
        </w:rPr>
        <w:t>与医生的线上交流导致的理解问题</w:t>
      </w:r>
      <w:r>
        <w:rPr>
          <w:rFonts w:ascii="Times New Roman" w:hAnsi="Times New Roman" w:eastAsia="楷体" w:cs="楷体"/>
          <w:color w:val="000000"/>
          <w:kern w:val="2"/>
          <w:sz w:val="28"/>
          <w:szCs w:val="22"/>
          <w:lang w:val="en-US" w:eastAsia="zh-CN" w:bidi="ar-SA"/>
        </w:rPr>
        <w:t>也会</w:t>
      </w:r>
      <w:r>
        <w:rPr>
          <w:rFonts w:hint="eastAsia" w:ascii="Times New Roman" w:hAnsi="Times New Roman" w:eastAsia="楷体" w:cs="楷体"/>
          <w:color w:val="000000"/>
          <w:kern w:val="2"/>
          <w:sz w:val="28"/>
          <w:szCs w:val="22"/>
          <w:lang w:val="en-US" w:eastAsia="zh-CN" w:bidi="ar-SA"/>
        </w:rPr>
        <w:t>成为</w:t>
      </w:r>
      <w:r>
        <w:rPr>
          <w:rFonts w:ascii="Times New Roman" w:hAnsi="Times New Roman" w:eastAsia="楷体" w:cs="楷体"/>
          <w:color w:val="000000"/>
          <w:kern w:val="2"/>
          <w:sz w:val="28"/>
          <w:szCs w:val="22"/>
          <w:lang w:val="en-US" w:eastAsia="zh-CN" w:bidi="ar-SA"/>
        </w:rPr>
        <w:t>在线问诊的传播使用受到限制</w:t>
      </w:r>
      <w:r>
        <w:rPr>
          <w:rFonts w:hint="eastAsia" w:ascii="Times New Roman" w:hAnsi="Times New Roman" w:eastAsia="楷体" w:cs="楷体"/>
          <w:color w:val="000000"/>
          <w:kern w:val="2"/>
          <w:sz w:val="28"/>
          <w:szCs w:val="22"/>
          <w:lang w:val="en-US" w:eastAsia="zh-CN" w:bidi="ar-SA"/>
        </w:rPr>
        <w:t>的原因。</w:t>
      </w:r>
    </w:p>
    <w:p>
      <w:pPr>
        <w:widowControl w:val="0"/>
        <w:snapToGrid/>
        <w:spacing w:before="0" w:after="0" w:line="360" w:lineRule="auto"/>
        <w:ind w:firstLine="0" w:firstLineChars="0"/>
        <w:jc w:val="both"/>
        <w:rPr>
          <w:rFonts w:ascii="Times New Roman" w:hAnsi="Times New Roman" w:eastAsia="楷体" w:cs="楷体"/>
          <w:color w:val="000000"/>
          <w:kern w:val="2"/>
          <w:sz w:val="28"/>
          <w:szCs w:val="22"/>
          <w:lang w:val="en-US" w:eastAsia="zh-CN" w:bidi="ar-SA"/>
        </w:rPr>
      </w:pPr>
    </w:p>
    <w:p>
      <w:pPr>
        <w:snapToGrid/>
        <w:spacing w:before="40" w:after="0" w:line="360" w:lineRule="auto"/>
        <w:jc w:val="center"/>
        <w:rPr>
          <w:rFonts w:hint="eastAsia" w:ascii="楷体" w:hAnsi="楷体" w:eastAsia="楷体" w:cs="楷体"/>
          <w:color w:val="000000"/>
          <w:sz w:val="28"/>
          <w:szCs w:val="22"/>
          <w:lang w:eastAsia="zh-CN"/>
        </w:rPr>
      </w:pPr>
      <w:r>
        <w:rPr>
          <w:rFonts w:hint="eastAsia" w:ascii="楷体" w:hAnsi="楷体" w:eastAsia="楷体" w:cs="楷体"/>
          <w:color w:val="000000"/>
          <w:sz w:val="28"/>
          <w:szCs w:val="22"/>
          <w:lang w:eastAsia="zh-CN"/>
        </w:rPr>
        <w:drawing>
          <wp:inline distT="0" distB="0" distL="114300" distR="114300">
            <wp:extent cx="5269230" cy="4478655"/>
            <wp:effectExtent l="0" t="0" r="0" b="0"/>
            <wp:docPr id="8" name="图片 8" descr="重要性打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重要性打分"/>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269230" cy="4478655"/>
                    </a:xfrm>
                    <a:prstGeom prst="rect">
                      <a:avLst/>
                    </a:prstGeom>
                  </pic:spPr>
                </pic:pic>
              </a:graphicData>
            </a:graphic>
          </wp:inline>
        </w:drawing>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图3-5 影响服务质量各个因素的重要性排序评分</w:t>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hint="eastAsia" w:ascii="Times New Roman" w:hAnsi="Times New Roman" w:eastAsia="楷体" w:cs="楷体"/>
          <w:color w:val="000000"/>
          <w:kern w:val="2"/>
          <w:sz w:val="28"/>
          <w:szCs w:val="22"/>
          <w:lang w:val="en-US" w:eastAsia="zh-CN" w:bidi="ar-SA"/>
        </w:rPr>
        <w:t>项目组</w:t>
      </w:r>
      <w:r>
        <w:rPr>
          <w:rFonts w:ascii="Times New Roman" w:hAnsi="Times New Roman" w:eastAsia="楷体" w:cs="楷体"/>
          <w:color w:val="000000"/>
          <w:kern w:val="2"/>
          <w:sz w:val="28"/>
          <w:szCs w:val="22"/>
          <w:lang w:val="en-US" w:eastAsia="zh-CN" w:bidi="ar-SA"/>
        </w:rPr>
        <w:t>通过调研用户对于服务质量影响因素的重要性排序得出了如上图4-4的结论。</w:t>
      </w:r>
      <w:r>
        <w:rPr>
          <w:rFonts w:hint="eastAsia" w:ascii="Times New Roman" w:hAnsi="Times New Roman" w:eastAsia="楷体" w:cs="楷体"/>
          <w:color w:val="000000"/>
          <w:kern w:val="2"/>
          <w:sz w:val="28"/>
          <w:szCs w:val="22"/>
          <w:lang w:val="en-US" w:eastAsia="zh-CN" w:bidi="ar-SA"/>
        </w:rPr>
        <w:t>医生反馈沟通的时效性是最为重要的问题，这是由于线上诊疗无法做到线下面对面沟通，在使用平台时可能出现沟通不及时的问题。其次是</w:t>
      </w:r>
      <w:r>
        <w:rPr>
          <w:rFonts w:ascii="Times New Roman" w:hAnsi="Times New Roman" w:eastAsia="楷体" w:cs="楷体"/>
          <w:color w:val="000000"/>
          <w:kern w:val="2"/>
          <w:sz w:val="28"/>
          <w:szCs w:val="22"/>
          <w:lang w:val="en-US" w:eastAsia="zh-CN" w:bidi="ar-SA"/>
        </w:rPr>
        <w:t>医生职级和医院等级，这与调研存在问题时，“医生良莠不齐”相对应。当用户担忧医生质量时，便会关注平台所提供的医生职级，医生职级越高，质量便相对越好。但这一指标所能涵盖的信息并不全面，仍需要加强监管以保证医生质量。在问诊时，医生的态度和</w:t>
      </w:r>
      <w:r>
        <w:rPr>
          <w:rFonts w:hint="eastAsia" w:ascii="Times New Roman" w:hAnsi="Times New Roman" w:eastAsia="楷体" w:cs="楷体"/>
          <w:color w:val="000000"/>
          <w:kern w:val="2"/>
          <w:sz w:val="28"/>
          <w:szCs w:val="22"/>
          <w:lang w:val="en-US" w:eastAsia="zh-CN" w:bidi="ar-SA"/>
        </w:rPr>
        <w:t>价格</w:t>
      </w:r>
      <w:r>
        <w:rPr>
          <w:rFonts w:ascii="Times New Roman" w:hAnsi="Times New Roman" w:eastAsia="楷体" w:cs="楷体"/>
          <w:color w:val="000000"/>
          <w:kern w:val="2"/>
          <w:sz w:val="28"/>
          <w:szCs w:val="22"/>
          <w:lang w:val="en-US" w:eastAsia="zh-CN" w:bidi="ar-SA"/>
        </w:rPr>
        <w:t>也是影响服务质量的重要因素，而是否可以在线购药</w:t>
      </w:r>
      <w:r>
        <w:rPr>
          <w:rFonts w:hint="eastAsia" w:ascii="Times New Roman" w:hAnsi="Times New Roman" w:eastAsia="楷体" w:cs="楷体"/>
          <w:color w:val="000000"/>
          <w:kern w:val="2"/>
          <w:sz w:val="28"/>
          <w:szCs w:val="22"/>
          <w:lang w:val="en-US" w:eastAsia="zh-CN" w:bidi="ar-SA"/>
        </w:rPr>
        <w:t>以及等待时长</w:t>
      </w:r>
      <w:r>
        <w:rPr>
          <w:rFonts w:ascii="Times New Roman" w:hAnsi="Times New Roman" w:eastAsia="楷体" w:cs="楷体"/>
          <w:color w:val="000000"/>
          <w:kern w:val="2"/>
          <w:sz w:val="28"/>
          <w:szCs w:val="22"/>
          <w:lang w:val="en-US" w:eastAsia="zh-CN" w:bidi="ar-SA"/>
        </w:rPr>
        <w:t>用户则认为相对并不重要。</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drawing>
          <wp:inline distT="0" distB="0" distL="114300" distR="114300">
            <wp:extent cx="5269230" cy="4478655"/>
            <wp:effectExtent l="0" t="0" r="0" b="0"/>
            <wp:docPr id="9" name="图片 9" descr="价格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价格区间"/>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269230" cy="4478655"/>
                    </a:xfrm>
                    <a:prstGeom prst="rect">
                      <a:avLst/>
                    </a:prstGeom>
                  </pic:spPr>
                </pic:pic>
              </a:graphicData>
            </a:graphic>
          </wp:inline>
        </w:drawing>
      </w:r>
    </w:p>
    <w:p>
      <w:pPr>
        <w:widowControl w:val="0"/>
        <w:snapToGrid/>
        <w:spacing w:before="0" w:after="0" w:line="360" w:lineRule="auto"/>
        <w:ind w:firstLine="560" w:firstLineChars="200"/>
        <w:jc w:val="both"/>
        <w:rPr>
          <w:rFonts w:hint="default" w:ascii="Times New Roman" w:hAnsi="Times New Roman" w:eastAsia="楷体" w:cs="楷体"/>
          <w:color w:val="000000"/>
          <w:kern w:val="2"/>
          <w:sz w:val="28"/>
          <w:szCs w:val="22"/>
          <w:lang w:val="en-US" w:eastAsia="zh-CN" w:bidi="ar-SA"/>
        </w:rPr>
      </w:pPr>
      <w:r>
        <w:rPr>
          <w:rFonts w:hint="eastAsia" w:ascii="Times New Roman" w:hAnsi="Times New Roman" w:eastAsia="楷体" w:cs="楷体"/>
          <w:color w:val="000000"/>
          <w:kern w:val="2"/>
          <w:sz w:val="28"/>
          <w:szCs w:val="22"/>
          <w:lang w:val="en-US" w:eastAsia="zh-CN" w:bidi="ar-SA"/>
        </w:rPr>
        <w:t>可以发现，患者原因支付的价格处于小于100元的区间内，少数用户愿意支付101——200元，极少数用户愿意支付500元以上。而平台方的定价有分化现象出现，出现少数较高的定价，这与患者意愿相违背，需要平台对于定价进行规范。</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drawing>
          <wp:inline distT="0" distB="0" distL="114300" distR="114300">
            <wp:extent cx="5269230" cy="4478655"/>
            <wp:effectExtent l="0" t="0" r="0" b="0"/>
            <wp:docPr id="10" name="图片 10" descr="等待回复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等待回复时间"/>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269230" cy="4478655"/>
                    </a:xfrm>
                    <a:prstGeom prst="rect">
                      <a:avLst/>
                    </a:prstGeom>
                  </pic:spPr>
                </pic:pic>
              </a:graphicData>
            </a:graphic>
          </wp:inline>
        </w:drawing>
      </w:r>
    </w:p>
    <w:p>
      <w:pPr>
        <w:widowControl w:val="0"/>
        <w:snapToGrid/>
        <w:spacing w:before="0" w:after="0" w:line="360" w:lineRule="auto"/>
        <w:ind w:firstLine="560" w:firstLineChars="200"/>
        <w:jc w:val="both"/>
        <w:rPr>
          <w:rFonts w:hint="default" w:ascii="Times New Roman" w:hAnsi="Times New Roman" w:eastAsia="楷体" w:cs="楷体"/>
          <w:color w:val="000000"/>
          <w:kern w:val="2"/>
          <w:sz w:val="28"/>
          <w:szCs w:val="22"/>
          <w:lang w:val="en-US" w:eastAsia="zh-CN" w:bidi="ar-SA"/>
        </w:rPr>
      </w:pPr>
      <w:r>
        <w:rPr>
          <w:rFonts w:hint="eastAsia" w:ascii="Times New Roman" w:hAnsi="Times New Roman" w:eastAsia="楷体" w:cs="楷体"/>
          <w:color w:val="000000"/>
          <w:kern w:val="2"/>
          <w:sz w:val="28"/>
          <w:szCs w:val="22"/>
          <w:lang w:val="en-US" w:eastAsia="zh-CN" w:bidi="ar-SA"/>
        </w:rPr>
        <w:t>在“影响服务质量的各个因素重要性打分”这一问题中，反馈沟通时效性为最重要的因素，而使用过平台的用户中，约有1/4的用户认为医生回复非常及时，即时间小于5分钟，大部分用户等待时长为5——10分钟。仍有一部分用户的等待时长超过十分钟，甚至有1%的用户等待时长超过30%。并且，在线问诊的沟通性是目前存在的一大重要问题，平台亟需解决由于网络、医生时间安排、患者时间安排等等问题出现的沟通不畅、等待时间过长的问题，以提高用户的使用感受。</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drawing>
          <wp:inline distT="0" distB="0" distL="114300" distR="114300">
            <wp:extent cx="5269230" cy="4478655"/>
            <wp:effectExtent l="0" t="0" r="0" b="0"/>
            <wp:docPr id="11" name="图片 11" descr="玉玦图-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玉玦图-副本"/>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5269230" cy="4478655"/>
                    </a:xfrm>
                    <a:prstGeom prst="rect">
                      <a:avLst/>
                    </a:prstGeom>
                  </pic:spPr>
                </pic:pic>
              </a:graphicData>
            </a:graphic>
          </wp:inline>
        </w:drawing>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p>
    <w:p>
      <w:pPr>
        <w:widowControl w:val="0"/>
        <w:snapToGrid/>
        <w:spacing w:before="0" w:after="0" w:line="360" w:lineRule="auto"/>
        <w:ind w:firstLine="560" w:firstLineChars="200"/>
        <w:jc w:val="both"/>
        <w:rPr>
          <w:rFonts w:hint="default" w:ascii="Times New Roman" w:hAnsi="Times New Roman" w:eastAsia="楷体" w:cs="楷体"/>
          <w:color w:val="000000"/>
          <w:kern w:val="2"/>
          <w:sz w:val="28"/>
          <w:szCs w:val="22"/>
          <w:lang w:val="en-US" w:eastAsia="zh-CN" w:bidi="ar-SA"/>
        </w:rPr>
      </w:pPr>
      <w:r>
        <w:rPr>
          <w:rFonts w:hint="eastAsia" w:ascii="Times New Roman" w:hAnsi="Times New Roman" w:eastAsia="楷体" w:cs="楷体"/>
          <w:color w:val="000000"/>
          <w:kern w:val="2"/>
          <w:sz w:val="28"/>
          <w:szCs w:val="22"/>
          <w:lang w:val="en-US" w:eastAsia="zh-CN" w:bidi="ar-SA"/>
        </w:rPr>
        <w:t>在发展趋势预测中，大部分用户认为在线问诊会与实体医院相辅相成，从而实现互助诊疗，极少部分用户认为在线问诊会被边缘化。</w:t>
      </w:r>
      <w:bookmarkStart w:id="18" w:name="_GoBack"/>
      <w:bookmarkEnd w:id="18"/>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2"/>
          <w:lang w:val="en-US" w:eastAsia="zh-CN" w:bidi="ar-SA"/>
        </w:rPr>
      </w:pPr>
      <w:bookmarkStart w:id="7" w:name="_Toc130161123"/>
      <w:r>
        <w:rPr>
          <w:rFonts w:hint="eastAsia" w:ascii="楷体" w:hAnsi="楷体" w:eastAsia="楷体" w:cs="Times New Roman"/>
          <w:b/>
          <w:bCs/>
          <w:color w:val="1A1A1A"/>
          <w:kern w:val="2"/>
          <w:sz w:val="28"/>
          <w:szCs w:val="22"/>
          <w:lang w:val="en-US" w:eastAsia="zh-CN" w:bidi="ar-SA"/>
        </w:rPr>
        <w:t>4</w:t>
      </w:r>
      <w:r>
        <w:rPr>
          <w:rFonts w:ascii="楷体" w:hAnsi="楷体" w:eastAsia="楷体" w:cs="Times New Roman"/>
          <w:b/>
          <w:bCs/>
          <w:color w:val="1A1A1A"/>
          <w:kern w:val="2"/>
          <w:sz w:val="28"/>
          <w:szCs w:val="22"/>
          <w:lang w:val="en-US" w:eastAsia="zh-CN" w:bidi="ar-SA"/>
        </w:rPr>
        <w:t>) 问卷问题有效性检验</w:t>
      </w:r>
      <w:bookmarkEnd w:id="7"/>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本问卷的量表信度检验主要指标包括内部一致性系数（Cronbach’s ）</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&lt;EndNote&gt;&lt;Cite&gt;&lt;Author&gt;Cronbach&lt;/Author&gt;&lt;Year&gt;1951&lt;/Year&gt;&lt;RecNum&gt;62&lt;/RecNum&gt;&lt;DisplayText&gt;&lt;style face="superscript"&gt;[8]&lt;/style&gt;&lt;/DisplayText&gt;&lt;record&gt;&lt;rec-number&gt;62&lt;/rec-number&gt;&lt;foreign-keys&gt;&lt;key app="EN" db-id="z5t2xapxrvs5aeezvekvwzrk9rvz0rp9d9f0" timestamp="1677597798"&gt;62&lt;/key&gt;&lt;/foreign-keys&gt;&lt;ref-type name="Journal Article"&gt;17&lt;/ref-type&gt;&lt;contributors&gt;&lt;authors&gt;&lt;author&gt;Cronbach, Lee J.&lt;/author&gt;&lt;/authors&gt;&lt;/contributors&gt;&lt;titles&gt;&lt;title&gt;Coefficient alpha and the internal structure of tests&lt;/title&gt;&lt;secondary-title&gt;Psychometrika&lt;/secondary-title&gt;&lt;/titles&gt;&lt;periodical&gt;&lt;full-title&gt;Psychometrika&lt;/full-title&gt;&lt;/periodical&gt;&lt;pages&gt;297-334&lt;/pages&gt;&lt;volume&gt;16&lt;/volume&gt;&lt;dates&gt;&lt;year&gt;1951&lt;/year&gt;&lt;/dates&gt;&lt;pub-location&gt;Germany&lt;/pub-location&gt;&lt;publisher&gt;Springer&lt;/publisher&gt;&lt;isbn&gt;1860-0980(Electronic),0033-3123(Print)&lt;/isbn&gt;&lt;urls&gt;&lt;/urls&gt;&lt;electronic-resource-num&gt;10.1007/BF02310555&lt;/electronic-resource-num&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[8]</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平均方差提取值( Average Variance Extracted，AVE)</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&lt;EndNote&gt;&lt;Cite&gt;&lt;Author&gt;Fornell&lt;/Author&gt;&lt;Year&gt;1981&lt;/Year&gt;&lt;RecNum&gt;63&lt;/RecNum&gt;&lt;DisplayText&gt;&lt;style face="superscript"&gt;[9]&lt;/style&gt;&lt;/DisplayText&gt;&lt;record&gt;&lt;rec-number&gt;63&lt;/rec-number&gt;&lt;foreign-keys&gt;&lt;key app="EN" db-id="z5t2xapxrvs5aeezvekvwzrk9rvz0rp9d9f0" timestamp="1677597879"&gt;63&lt;/key&gt;&lt;/foreign-keys&gt;&lt;ref-type name="Journal Article"&gt;17&lt;/ref-type&gt;&lt;contributors&gt;&lt;authors&gt;&lt;author&gt;Fornell, Claes&lt;/author&gt;&lt;author&gt;Larcker, David F.&lt;/author&gt;&lt;/authors&gt;&lt;/contributors&gt;&lt;titles&gt;&lt;title&gt;Evaluating structural equation models with unobservable variables and measurement error&lt;/title&gt;&lt;secondary-title&gt;Journal of Marketing Research&lt;/secondary-title&gt;&lt;/titles&gt;&lt;periodical&gt;&lt;full-title&gt;Journal of Marketing Research&lt;/full-title&gt;&lt;/periodical&gt;&lt;pages&gt;39-50&lt;/pages&gt;&lt;volume&gt;18&lt;/volume&gt;&lt;keywords&gt;&lt;keyword&gt;*Chi Square Test&lt;/keyword&gt;&lt;keyword&gt;*Error Analysis&lt;/keyword&gt;&lt;keyword&gt;*Sampling (Experimental)&lt;/keyword&gt;&lt;keyword&gt;*Statistical Analysis&lt;/keyword&gt;&lt;keyword&gt;*Type II Errors&lt;/keyword&gt;&lt;keyword&gt;Null Hypothesis Testing&lt;/keyword&gt;&lt;keyword&gt;Variability Measurement&lt;/keyword&gt;&lt;/keywords&gt;&lt;dates&gt;&lt;year&gt;1981&lt;/year&gt;&lt;/dates&gt;&lt;pub-location&gt;US&lt;/pub-location&gt;&lt;publisher&gt;American Marketing Association&lt;/publisher&gt;&lt;isbn&gt;1547-7193(Electronic),0022-2437(Print)&lt;/isbn&gt;&lt;urls&gt;&lt;/urls&gt;&lt;electronic-resource-num&gt;10.2307/3151312&lt;/electronic-resource-num&gt;&lt;/record&gt;&lt;/Cite&gt;&lt;/EndNote&gt;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[9]</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和组合信度( Congeneric Reliability，CR)</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&lt;EndNote&gt;&lt;Cite&gt;&lt;Author&gt;Jöreskog&lt;/Author&gt;&lt;Year&gt;1971&lt;/Year&gt;&lt;RecNum&gt;64&lt;/RecNum&gt;&lt;DisplayText&gt;&lt;style face="superscript"&gt;[10]&lt;/style&gt;&lt;/DisplayText&gt;&lt;record&gt;&lt;rec-number&gt;64&lt;/rec-number&gt;&lt;foreign-keys&gt;&lt;key app="EN" db-id="z5t2xapxrvs5aeezvekvwzrk9rvz0rp9d9f0" timestamp="1677597956"&gt;64&lt;/key&gt;&lt;/foreign-keys&gt;&lt;ref-type name="Journal Article"&gt;17&lt;/ref-type&gt;&lt;contributors&gt;&lt;authors&gt;&lt;author&gt;Jöreskog, K. G.&lt;/author&gt;&lt;/authors&gt;&lt;/contributors&gt;&lt;titles&gt;&lt;title&gt;Statistical analysis of sets of congeneric tests&lt;/title&gt;&lt;secondary-title&gt;Psychometrika&lt;/secondary-title&gt;&lt;/titles&gt;&lt;periodical&gt;&lt;full-title&gt;Psychometrika&lt;/full-title&gt;&lt;/periodical&gt;&lt;pages&gt;109-133&lt;/pages&gt;&lt;volume&gt;36&lt;/volume&gt;&lt;number&gt;2&lt;/number&gt;&lt;dates&gt;&lt;year&gt;1971&lt;/year&gt;&lt;pub-dates&gt;&lt;date&gt;1971/06/01&lt;/date&gt;&lt;/pub-dates&gt;&lt;/dates&gt;&lt;isbn&gt;1860-0980&lt;/isbn&gt;&lt;urls&gt;&lt;related-urls&gt;&lt;url&gt;https://doi.org/10.1007/BF02291393&lt;/url&gt;&lt;/related-urls&gt;&lt;/urls&gt;&lt;electronic-resource-num&gt;10.1007/BF02291393&lt;/electronic-resource-num&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[10]</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。其中问卷指标各项的相关检验系数如下表3-2所示，且经检验各指标均符合信度要求，全部处于“可接受”或“良好”区间。量表的效度检验主要包括KMO检验</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&lt;EndNote&gt;&lt;Cite&gt;&lt;Year&gt;1982&lt;/Year&gt;&lt;RecNum&gt;65&lt;/RecNum&gt;&lt;DisplayText&gt;&lt;style face="superscript"&gt;[11]&lt;/style&gt;&lt;/DisplayText&gt;&lt;record&gt;&lt;rec-number&gt;65&lt;/rec-number&gt;&lt;foreign-keys&gt;&lt;key app="EN" db-id="z5t2xapxrvs5aeezvekvwzrk9rvz0rp9d9f0" timestamp="1677598104"&gt;65&lt;/key&gt;&lt;/foreign-keys&gt;&lt;ref-type name="Journal Article"&gt;17&lt;/ref-type&gt;&lt;contributors&gt;&lt;/contributors&gt;&lt;titles&gt;&lt;title&gt;Educational and psychological measurement&lt;/title&gt;&lt;secondary-title&gt;Serials Review&lt;/secondary-title&gt;&lt;/titles&gt;&lt;periodical&gt;&lt;full-title&gt;Serials Review&lt;/full-title&gt;&lt;/periodical&gt;&lt;pages&gt;83-85&lt;/pages&gt;&lt;volume&gt;8&lt;/volume&gt;&lt;number&gt;3&lt;/number&gt;&lt;dates&gt;&lt;year&gt;1982&lt;/year&gt;&lt;pub-dates&gt;&lt;date&gt;1982/09/01/&lt;/date&gt;&lt;/pub-dates&gt;&lt;/dates&gt;&lt;isbn&gt;0098-7913&lt;/isbn&gt;&lt;urls&gt;&lt;related-urls&gt;&lt;url&gt;https://www.sciencedirect.com/science/article/pii/0098791382900533&lt;/url&gt;&lt;/related-urls&gt;&lt;/urls&gt;&lt;electronic-resource-num&gt;https://doi.org/10.1016/0098-7913(82)90053-3&lt;/electronic-resource-num&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[11]</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及Bartlett检验</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&lt;EndNote&gt;&lt;Cite&gt;&lt;Author&gt;Bartlett&lt;/Author&gt;&lt;Year&gt;1997&lt;/Year&gt;&lt;RecNum&gt;66&lt;/RecNum&gt;&lt;DisplayText&gt;&lt;style face="superscript"&gt;[12]&lt;/style&gt;&lt;/DisplayText&gt;&lt;record&gt;&lt;rec-number&gt;66&lt;/rec-number&gt;&lt;foreign-keys&gt;&lt;key app="EN" db-id="z5t2xapxrvs5aeezvekvwzrk9rvz0rp9d9f0" timestamp="1677598314"&gt;66&lt;/key&gt;&lt;/foreign-keys&gt;&lt;ref-type name="Journal Article"&gt;17&lt;/ref-type&gt;&lt;contributors&gt;&lt;authors&gt;&lt;author&gt;Bartlett, Maurice Stevenson&lt;/author&gt;&lt;author&gt;Fowler, Ralph Howard&lt;/author&gt;&lt;/authors&gt;&lt;/contributors&gt;&lt;titles&gt;&lt;title&gt;Properties of sufficiency and statistical tests&lt;/title&gt;&lt;secondary-title&gt;Proceedings of the Royal Society of London. Series A - Mathematical and Physical Sciences&lt;/secondary-title&gt;&lt;/titles&gt;&lt;periodical&gt;&lt;full-title&gt;Proceedings of the Royal Society of London. Series A - Mathematical and Physical Sciences&lt;/full-title&gt;&lt;/periodical&gt;&lt;pages&gt;268-282&lt;/pages&gt;&lt;volume&gt;160&lt;/volume&gt;&lt;number&gt;901&lt;/number&gt;&lt;dates&gt;&lt;year&gt;1997&lt;/year&gt;&lt;pub-dates&gt;&lt;date&gt;1997/01/01&lt;/date&gt;&lt;/pub-dates&gt;&lt;/dates&gt;&lt;publisher&gt;Royal Society&lt;/publisher&gt;&lt;urls&gt;&lt;related-urls&gt;&lt;url&gt;https://doi.org/10.1098/rspa.1937.0109&lt;/url&gt;&lt;/related-urls&gt;&lt;/urls&gt;&lt;electronic-resource-num&gt;10.1098/rspa.1937.0109&lt;/electronic-resource-num&gt;&lt;access-date&gt;2023/02/28&lt;/access-date&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[12]</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。经计算，本模型中KMO值为0.</w:t>
      </w:r>
      <w:r>
        <w:rPr>
          <w:rFonts w:hint="eastAsia" w:ascii="Times New Roman" w:hAnsi="Times New Roman" w:eastAsia="楷体" w:cs="楷体"/>
          <w:color w:val="000000"/>
          <w:kern w:val="2"/>
          <w:sz w:val="28"/>
          <w:szCs w:val="22"/>
          <w:lang w:val="en-US" w:eastAsia="zh-CN" w:bidi="ar-SA"/>
        </w:rPr>
        <w:t>894</w:t>
      </w:r>
      <w:r>
        <w:rPr>
          <w:rFonts w:ascii="Times New Roman" w:hAnsi="Times New Roman" w:eastAsia="楷体" w:cs="楷体"/>
          <w:color w:val="000000"/>
          <w:kern w:val="2"/>
          <w:sz w:val="28"/>
          <w:szCs w:val="22"/>
          <w:lang w:val="en-US" w:eastAsia="zh-CN" w:bidi="ar-SA"/>
        </w:rPr>
        <w:t>，接近0.</w:t>
      </w:r>
      <w:r>
        <w:rPr>
          <w:rFonts w:hint="eastAsia" w:ascii="Times New Roman" w:hAnsi="Times New Roman" w:eastAsia="楷体" w:cs="楷体"/>
          <w:color w:val="000000"/>
          <w:kern w:val="2"/>
          <w:sz w:val="28"/>
          <w:szCs w:val="22"/>
          <w:lang w:val="en-US" w:eastAsia="zh-CN" w:bidi="ar-SA"/>
        </w:rPr>
        <w:t>9</w:t>
      </w:r>
      <w:r>
        <w:rPr>
          <w:rFonts w:ascii="Times New Roman" w:hAnsi="Times New Roman" w:eastAsia="楷体" w:cs="楷体"/>
          <w:color w:val="000000"/>
          <w:kern w:val="2"/>
          <w:sz w:val="28"/>
          <w:szCs w:val="22"/>
          <w:lang w:val="en-US" w:eastAsia="zh-CN" w:bidi="ar-SA"/>
        </w:rPr>
        <w:t>，程度为“</w:t>
      </w:r>
      <w:r>
        <w:rPr>
          <w:rFonts w:hint="eastAsia" w:ascii="Times New Roman" w:hAnsi="Times New Roman" w:eastAsia="楷体" w:cs="楷体"/>
          <w:color w:val="000000"/>
          <w:kern w:val="2"/>
          <w:sz w:val="28"/>
          <w:szCs w:val="22"/>
          <w:lang w:val="en-US" w:eastAsia="zh-CN" w:bidi="ar-SA"/>
        </w:rPr>
        <w:t>很适合</w:t>
      </w:r>
      <w:r>
        <w:rPr>
          <w:rFonts w:ascii="Times New Roman" w:hAnsi="Times New Roman" w:eastAsia="楷体" w:cs="楷体"/>
          <w:color w:val="000000"/>
          <w:kern w:val="2"/>
          <w:sz w:val="28"/>
          <w:szCs w:val="22"/>
          <w:lang w:val="en-US" w:eastAsia="zh-CN" w:bidi="ar-SA"/>
        </w:rPr>
        <w:t>”；Bartlett检验的</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在1%的水平下显著。故说明该量表符合因子分析要求，可以进行因子分析。此外，由于本量表主要内容均来自经典量表，其内容效度也具有一定保证。</w:t>
      </w:r>
    </w:p>
    <w:p>
      <w:pPr>
        <w:widowControl w:val="0"/>
        <w:snapToGrid/>
        <w:spacing w:before="0" w:after="0" w:line="360" w:lineRule="auto"/>
        <w:ind w:firstLine="0" w:firstLineChars="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表3-2 问卷指标各项的相关检验系数</w:t>
      </w:r>
    </w:p>
    <w:tbl>
      <w:tblPr>
        <w:tblStyle w:val="3"/>
        <w:tblW w:w="3682"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2"/>
        <w:gridCol w:w="2169"/>
        <w:gridCol w:w="22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3" w:hRule="atLeast"/>
          <w:jc w:val="center"/>
        </w:trPr>
        <w:tc>
          <w:tcPr>
            <w:tcW w:w="1483" w:type="pct"/>
            <w:tcBorders>
              <w:top w:val="single" w:color="auto" w:sz="18" w:space="0"/>
              <w:bottom w:val="single" w:color="000000" w:sz="6" w:space="0"/>
            </w:tcBorders>
            <w:shd w:val="clear" w:color="auto" w:fill="auto"/>
            <w:tcMar>
              <w:top w:w="0" w:type="dxa"/>
              <w:left w:w="108" w:type="dxa"/>
              <w:bottom w:w="0" w:type="dxa"/>
              <w:right w:w="108" w:type="dxa"/>
            </w:tcMar>
            <w:vAlign w:val="top"/>
          </w:tcPr>
          <w:p>
            <w:pPr>
              <w:snapToGrid/>
              <w:spacing w:before="40" w:after="0" w:line="360" w:lineRule="auto"/>
              <w:jc w:val="center"/>
              <w:rPr>
                <w:rFonts w:ascii="宋体" w:hAnsi="宋体" w:eastAsia="宋体" w:cs="宋体"/>
                <w:b/>
                <w:bCs/>
                <w:color w:val="000000"/>
                <w:szCs w:val="22"/>
              </w:rPr>
            </w:pPr>
            <w:r>
              <w:rPr>
                <w:rFonts w:ascii="宋体" w:hAnsi="宋体" w:eastAsia="宋体" w:cs="宋体"/>
                <w:b/>
                <w:bCs/>
                <w:color w:val="000000"/>
                <w:sz w:val="22"/>
                <w:szCs w:val="22"/>
              </w:rPr>
              <w:t>因子</w:t>
            </w:r>
          </w:p>
        </w:tc>
        <w:tc>
          <w:tcPr>
            <w:tcW w:w="1727" w:type="pct"/>
            <w:tcBorders>
              <w:top w:val="single" w:color="auto" w:sz="18" w:space="0"/>
              <w:bottom w:val="single" w:color="000000" w:sz="6" w:space="0"/>
            </w:tcBorders>
            <w:shd w:val="clear" w:color="auto" w:fill="auto"/>
            <w:tcMar>
              <w:top w:w="0" w:type="dxa"/>
              <w:left w:w="108" w:type="dxa"/>
              <w:bottom w:w="0" w:type="dxa"/>
              <w:right w:w="108" w:type="dxa"/>
            </w:tcMar>
            <w:vAlign w:val="top"/>
          </w:tcPr>
          <w:p>
            <w:pPr>
              <w:snapToGrid/>
              <w:spacing w:before="40" w:after="0" w:line="360" w:lineRule="auto"/>
              <w:jc w:val="center"/>
              <w:rPr>
                <w:rFonts w:ascii="Times New Roman" w:hAnsi="Times New Roman" w:eastAsia="宋体" w:cs="Times New Roman"/>
                <w:b/>
                <w:bCs/>
                <w:color w:val="000000"/>
                <w:szCs w:val="22"/>
              </w:rPr>
            </w:pPr>
            <w:r>
              <w:rPr>
                <w:rFonts w:ascii="Times New Roman" w:hAnsi="Times New Roman" w:eastAsia="宋体" w:cs="Times New Roman"/>
                <w:b/>
                <w:bCs/>
                <w:color w:val="000000"/>
                <w:sz w:val="22"/>
                <w:szCs w:val="22"/>
              </w:rPr>
              <w:t>Cronbach</w:t>
            </w:r>
            <w:r>
              <w:rPr>
                <w:rFonts w:ascii="Times New Roman" w:hAnsi="Times New Roman" w:eastAsia="宋体" w:cs="Times New Roman"/>
                <w:b/>
                <w:bCs/>
                <w:color w:val="000000"/>
                <w:szCs w:val="22"/>
              </w:rPr>
              <w:t xml:space="preserve"> alpha</w:t>
            </w:r>
            <w:r>
              <w:rPr>
                <w:rFonts w:ascii="Times New Roman" w:hAnsi="Times New Roman" w:eastAsia="宋体" w:cs="Times New Roman"/>
                <w:b/>
                <w:bCs/>
                <w:color w:val="000000"/>
                <w:sz w:val="22"/>
                <w:szCs w:val="22"/>
              </w:rPr>
              <w:t xml:space="preserve"> </w:t>
            </w:r>
          </w:p>
        </w:tc>
        <w:tc>
          <w:tcPr>
            <w:tcW w:w="1788" w:type="pct"/>
            <w:tcBorders>
              <w:top w:val="single" w:color="auto" w:sz="18" w:space="0"/>
              <w:bottom w:val="single" w:color="000000" w:sz="6" w:space="0"/>
            </w:tcBorders>
            <w:shd w:val="clear" w:color="auto" w:fill="auto"/>
            <w:tcMar>
              <w:top w:w="0" w:type="dxa"/>
              <w:left w:w="108" w:type="dxa"/>
              <w:bottom w:w="0" w:type="dxa"/>
              <w:right w:w="108" w:type="dxa"/>
            </w:tcMar>
            <w:vAlign w:val="top"/>
          </w:tcPr>
          <w:p>
            <w:pPr>
              <w:snapToGrid/>
              <w:spacing w:before="40" w:after="0" w:line="360" w:lineRule="auto"/>
              <w:ind w:firstLine="442" w:firstLineChars="200"/>
              <w:jc w:val="center"/>
              <w:rPr>
                <w:rFonts w:ascii="Times New Roman" w:hAnsi="Times New Roman" w:eastAsia="宋体" w:cs="Times New Roman"/>
                <w:b/>
                <w:bCs/>
                <w:color w:val="000000"/>
                <w:szCs w:val="22"/>
              </w:rPr>
            </w:pPr>
            <w:r>
              <w:rPr>
                <w:rFonts w:ascii="Times New Roman" w:hAnsi="Times New Roman" w:eastAsia="宋体" w:cs="Times New Roman"/>
                <w:b/>
                <w:bCs/>
                <w:color w:val="000000"/>
                <w:sz w:val="22"/>
                <w:szCs w:val="22"/>
              </w:rPr>
              <w:t>CR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2" w:hRule="atLeast"/>
          <w:jc w:val="center"/>
        </w:trPr>
        <w:tc>
          <w:tcPr>
            <w:tcW w:w="1483" w:type="pct"/>
            <w:tcBorders>
              <w:top w:val="single" w:color="000000" w:sz="6" w:space="0"/>
            </w:tcBorders>
            <w:shd w:val="clear" w:color="auto" w:fill="auto"/>
            <w:tcMar>
              <w:top w:w="0" w:type="dxa"/>
              <w:left w:w="108" w:type="dxa"/>
              <w:bottom w:w="0" w:type="dxa"/>
              <w:right w:w="108" w:type="dxa"/>
            </w:tcMar>
            <w:vAlign w:val="top"/>
          </w:tcPr>
          <w:p>
            <w:pPr>
              <w:snapToGrid/>
              <w:spacing w:before="40" w:after="0" w:line="360" w:lineRule="auto"/>
              <w:jc w:val="center"/>
              <w:rPr>
                <w:rFonts w:ascii="Times New Roman" w:hAnsi="Times New Roman" w:eastAsia="宋体" w:cs="Times New Roman"/>
                <w:color w:val="000000"/>
                <w:szCs w:val="22"/>
              </w:rPr>
            </w:pPr>
            <w:r>
              <w:rPr>
                <w:rFonts w:ascii="Times New Roman" w:hAnsi="Times New Roman" w:eastAsia="宋体" w:cs="Times New Roman"/>
                <w:color w:val="000000"/>
                <w:sz w:val="22"/>
                <w:szCs w:val="22"/>
              </w:rPr>
              <w:t>IQ</w:t>
            </w:r>
            <w:r>
              <w:rPr>
                <w:rFonts w:hint="eastAsia" w:ascii="Times New Roman" w:hAnsi="Times New Roman" w:eastAsia="宋体" w:cs="Times New Roman"/>
                <w:color w:val="000000"/>
                <w:sz w:val="22"/>
                <w:szCs w:val="22"/>
              </w:rPr>
              <w:t>（信息质量）</w:t>
            </w:r>
          </w:p>
        </w:tc>
        <w:tc>
          <w:tcPr>
            <w:tcW w:w="1727" w:type="pct"/>
            <w:tcBorders>
              <w:top w:val="single" w:color="000000" w:sz="6" w:space="0"/>
            </w:tcBorders>
            <w:shd w:val="clear" w:color="auto" w:fill="auto"/>
            <w:tcMar>
              <w:top w:w="0" w:type="dxa"/>
              <w:left w:w="108" w:type="dxa"/>
              <w:bottom w:w="0" w:type="dxa"/>
              <w:right w:w="108" w:type="dxa"/>
            </w:tcMar>
            <w:vAlign w:val="top"/>
          </w:tcPr>
          <w:p>
            <w:pPr>
              <w:snapToGrid/>
              <w:spacing w:before="40" w:after="0" w:line="360" w:lineRule="auto"/>
              <w:ind w:firstLine="440" w:firstLineChars="200"/>
              <w:jc w:val="center"/>
              <w:rPr>
                <w:rFonts w:hint="default" w:ascii="Times New Roman" w:hAnsi="Times New Roman" w:eastAsia="宋体" w:cs="Times New Roman"/>
                <w:color w:val="000000"/>
                <w:szCs w:val="22"/>
                <w:lang w:val="en-US" w:eastAsia="zh-CN"/>
              </w:rPr>
            </w:pPr>
            <w:r>
              <w:rPr>
                <w:rFonts w:ascii="Times New Roman" w:hAnsi="Times New Roman" w:eastAsia="宋体" w:cs="Times New Roman"/>
                <w:color w:val="000000"/>
                <w:sz w:val="22"/>
                <w:szCs w:val="22"/>
              </w:rPr>
              <w:t>0.</w:t>
            </w:r>
            <w:r>
              <w:rPr>
                <w:rFonts w:hint="eastAsia" w:ascii="Times New Roman" w:hAnsi="Times New Roman" w:eastAsia="宋体" w:cs="Times New Roman"/>
                <w:color w:val="000000"/>
                <w:sz w:val="22"/>
                <w:szCs w:val="22"/>
                <w:lang w:val="en-US" w:eastAsia="zh-CN"/>
              </w:rPr>
              <w:t>517</w:t>
            </w:r>
          </w:p>
        </w:tc>
        <w:tc>
          <w:tcPr>
            <w:tcW w:w="1788" w:type="pct"/>
            <w:tcBorders>
              <w:top w:val="single" w:color="000000" w:sz="6" w:space="0"/>
            </w:tcBorders>
            <w:shd w:val="clear" w:color="auto" w:fill="auto"/>
            <w:tcMar>
              <w:top w:w="0" w:type="dxa"/>
              <w:left w:w="108" w:type="dxa"/>
              <w:bottom w:w="0" w:type="dxa"/>
              <w:right w:w="108" w:type="dxa"/>
            </w:tcMar>
            <w:vAlign w:val="top"/>
          </w:tcPr>
          <w:p>
            <w:pPr>
              <w:snapToGrid/>
              <w:spacing w:before="40" w:after="0" w:line="360" w:lineRule="auto"/>
              <w:ind w:firstLine="440" w:firstLineChars="200"/>
              <w:jc w:val="center"/>
              <w:rPr>
                <w:rFonts w:hint="default" w:ascii="Times New Roman" w:hAnsi="Times New Roman" w:eastAsia="宋体" w:cs="Times New Roman"/>
                <w:color w:val="000000"/>
                <w:szCs w:val="22"/>
                <w:lang w:val="en-US" w:eastAsia="zh-CN"/>
              </w:rPr>
            </w:pPr>
            <w:r>
              <w:rPr>
                <w:rFonts w:ascii="Times New Roman" w:hAnsi="Times New Roman" w:eastAsia="宋体" w:cs="Times New Roman"/>
                <w:color w:val="000000"/>
                <w:sz w:val="22"/>
                <w:szCs w:val="22"/>
              </w:rPr>
              <w:t>0.</w:t>
            </w:r>
            <w:r>
              <w:rPr>
                <w:rFonts w:hint="eastAsia" w:ascii="Times New Roman" w:hAnsi="Times New Roman" w:eastAsia="宋体" w:cs="Times New Roman"/>
                <w:color w:val="000000"/>
                <w:sz w:val="22"/>
                <w:szCs w:val="22"/>
                <w:lang w:val="en-US" w:eastAsia="zh-CN"/>
              </w:rPr>
              <w:t>560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1483" w:type="pct"/>
            <w:shd w:val="clear" w:color="auto" w:fill="auto"/>
            <w:tcMar>
              <w:top w:w="0" w:type="dxa"/>
              <w:left w:w="108" w:type="dxa"/>
              <w:bottom w:w="0" w:type="dxa"/>
              <w:right w:w="108" w:type="dxa"/>
            </w:tcMar>
            <w:vAlign w:val="top"/>
          </w:tcPr>
          <w:p>
            <w:pPr>
              <w:snapToGrid/>
              <w:spacing w:before="40" w:after="0" w:line="360" w:lineRule="auto"/>
              <w:jc w:val="center"/>
              <w:rPr>
                <w:rFonts w:ascii="Times New Roman" w:hAnsi="Times New Roman" w:eastAsia="宋体" w:cs="Times New Roman"/>
                <w:color w:val="000000"/>
                <w:szCs w:val="22"/>
              </w:rPr>
            </w:pPr>
            <w:r>
              <w:rPr>
                <w:rFonts w:ascii="Times New Roman" w:hAnsi="Times New Roman" w:eastAsia="宋体" w:cs="Times New Roman"/>
                <w:color w:val="000000"/>
                <w:sz w:val="22"/>
                <w:szCs w:val="22"/>
              </w:rPr>
              <w:t>PE</w:t>
            </w:r>
            <w:r>
              <w:rPr>
                <w:rFonts w:hint="eastAsia" w:ascii="Times New Roman" w:hAnsi="Times New Roman" w:eastAsia="宋体" w:cs="Times New Roman"/>
                <w:color w:val="000000"/>
                <w:sz w:val="22"/>
                <w:szCs w:val="22"/>
              </w:rPr>
              <w:t>（表现期望）</w:t>
            </w:r>
          </w:p>
        </w:tc>
        <w:tc>
          <w:tcPr>
            <w:tcW w:w="1727" w:type="pct"/>
            <w:shd w:val="clear" w:color="auto" w:fill="auto"/>
            <w:tcMar>
              <w:top w:w="0" w:type="dxa"/>
              <w:left w:w="108" w:type="dxa"/>
              <w:bottom w:w="0" w:type="dxa"/>
              <w:right w:w="108" w:type="dxa"/>
            </w:tcMar>
            <w:vAlign w:val="top"/>
          </w:tcPr>
          <w:p>
            <w:pPr>
              <w:snapToGrid/>
              <w:spacing w:before="40" w:after="0" w:line="360" w:lineRule="auto"/>
              <w:ind w:firstLine="440" w:firstLineChars="200"/>
              <w:jc w:val="center"/>
              <w:rPr>
                <w:rFonts w:hint="default" w:ascii="Times New Roman" w:hAnsi="Times New Roman" w:eastAsia="宋体" w:cs="Times New Roman"/>
                <w:color w:val="000000"/>
                <w:szCs w:val="22"/>
                <w:lang w:val="en-US" w:eastAsia="zh-CN"/>
              </w:rPr>
            </w:pPr>
            <w:r>
              <w:rPr>
                <w:rFonts w:ascii="Times New Roman" w:hAnsi="Times New Roman" w:eastAsia="宋体" w:cs="Times New Roman"/>
                <w:color w:val="000000"/>
                <w:sz w:val="22"/>
                <w:szCs w:val="22"/>
              </w:rPr>
              <w:t>0.</w:t>
            </w:r>
            <w:r>
              <w:rPr>
                <w:rFonts w:hint="eastAsia" w:ascii="Times New Roman" w:hAnsi="Times New Roman" w:eastAsia="宋体" w:cs="Times New Roman"/>
                <w:color w:val="000000"/>
                <w:sz w:val="22"/>
                <w:szCs w:val="22"/>
                <w:lang w:val="en-US" w:eastAsia="zh-CN"/>
              </w:rPr>
              <w:t>586</w:t>
            </w:r>
          </w:p>
        </w:tc>
        <w:tc>
          <w:tcPr>
            <w:tcW w:w="1788" w:type="pct"/>
            <w:shd w:val="clear" w:color="auto" w:fill="auto"/>
            <w:tcMar>
              <w:top w:w="0" w:type="dxa"/>
              <w:left w:w="108" w:type="dxa"/>
              <w:bottom w:w="0" w:type="dxa"/>
              <w:right w:w="108" w:type="dxa"/>
            </w:tcMar>
            <w:vAlign w:val="top"/>
          </w:tcPr>
          <w:p>
            <w:pPr>
              <w:snapToGrid/>
              <w:spacing w:before="40" w:after="0" w:line="360" w:lineRule="auto"/>
              <w:ind w:firstLine="440" w:firstLineChars="200"/>
              <w:jc w:val="center"/>
              <w:rPr>
                <w:rFonts w:hint="default" w:ascii="Times New Roman" w:hAnsi="Times New Roman" w:eastAsia="宋体" w:cs="Times New Roman"/>
                <w:color w:val="000000"/>
                <w:szCs w:val="22"/>
                <w:lang w:val="en-US" w:eastAsia="zh-CN"/>
              </w:rPr>
            </w:pPr>
            <w:r>
              <w:rPr>
                <w:rFonts w:ascii="Times New Roman" w:hAnsi="Times New Roman" w:eastAsia="宋体" w:cs="Times New Roman"/>
                <w:color w:val="000000"/>
                <w:sz w:val="22"/>
                <w:szCs w:val="22"/>
              </w:rPr>
              <w:t>0.</w:t>
            </w:r>
            <w:r>
              <w:rPr>
                <w:rFonts w:hint="eastAsia" w:ascii="Times New Roman" w:hAnsi="Times New Roman" w:eastAsia="宋体" w:cs="Times New Roman"/>
                <w:color w:val="000000"/>
                <w:sz w:val="22"/>
                <w:szCs w:val="22"/>
                <w:lang w:val="en-US" w:eastAsia="zh-CN"/>
              </w:rPr>
              <w:t>600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1483" w:type="pct"/>
            <w:shd w:val="clear" w:color="auto" w:fill="auto"/>
            <w:tcMar>
              <w:top w:w="0" w:type="dxa"/>
              <w:left w:w="108" w:type="dxa"/>
              <w:bottom w:w="0" w:type="dxa"/>
              <w:right w:w="108" w:type="dxa"/>
            </w:tcMar>
            <w:vAlign w:val="top"/>
          </w:tcPr>
          <w:p>
            <w:pPr>
              <w:snapToGrid/>
              <w:spacing w:before="40" w:after="0" w:line="360" w:lineRule="auto"/>
              <w:jc w:val="center"/>
              <w:rPr>
                <w:rFonts w:ascii="Times New Roman" w:hAnsi="Times New Roman" w:eastAsia="宋体" w:cs="Times New Roman"/>
                <w:color w:val="000000"/>
                <w:szCs w:val="22"/>
              </w:rPr>
            </w:pPr>
            <w:r>
              <w:rPr>
                <w:rFonts w:ascii="Times New Roman" w:hAnsi="Times New Roman" w:eastAsia="宋体" w:cs="Times New Roman"/>
                <w:color w:val="000000"/>
                <w:sz w:val="22"/>
                <w:szCs w:val="22"/>
              </w:rPr>
              <w:t>FC</w:t>
            </w:r>
            <w:r>
              <w:rPr>
                <w:rFonts w:hint="eastAsia" w:ascii="Times New Roman" w:hAnsi="Times New Roman" w:eastAsia="宋体" w:cs="Times New Roman"/>
                <w:color w:val="000000"/>
                <w:sz w:val="22"/>
                <w:szCs w:val="22"/>
              </w:rPr>
              <w:t>（能动条件）</w:t>
            </w:r>
          </w:p>
        </w:tc>
        <w:tc>
          <w:tcPr>
            <w:tcW w:w="1727" w:type="pct"/>
            <w:shd w:val="clear" w:color="auto" w:fill="auto"/>
            <w:tcMar>
              <w:top w:w="0" w:type="dxa"/>
              <w:left w:w="108" w:type="dxa"/>
              <w:bottom w:w="0" w:type="dxa"/>
              <w:right w:w="108" w:type="dxa"/>
            </w:tcMar>
            <w:vAlign w:val="top"/>
          </w:tcPr>
          <w:p>
            <w:pPr>
              <w:snapToGrid/>
              <w:spacing w:before="40" w:after="0" w:line="360" w:lineRule="auto"/>
              <w:ind w:firstLine="440" w:firstLineChars="200"/>
              <w:jc w:val="center"/>
              <w:rPr>
                <w:rFonts w:hint="default" w:ascii="Times New Roman" w:hAnsi="Times New Roman" w:eastAsia="宋体" w:cs="Times New Roman"/>
                <w:color w:val="000000"/>
                <w:szCs w:val="22"/>
                <w:lang w:val="en-US" w:eastAsia="zh-CN"/>
              </w:rPr>
            </w:pPr>
            <w:r>
              <w:rPr>
                <w:rFonts w:ascii="Times New Roman" w:hAnsi="Times New Roman" w:eastAsia="宋体" w:cs="Times New Roman"/>
                <w:color w:val="000000"/>
                <w:sz w:val="22"/>
                <w:szCs w:val="22"/>
              </w:rPr>
              <w:t>0.</w:t>
            </w:r>
            <w:r>
              <w:rPr>
                <w:rFonts w:hint="eastAsia" w:ascii="Times New Roman" w:hAnsi="Times New Roman" w:eastAsia="宋体" w:cs="Times New Roman"/>
                <w:color w:val="000000"/>
                <w:sz w:val="22"/>
                <w:szCs w:val="22"/>
                <w:lang w:val="en-US" w:eastAsia="zh-CN"/>
              </w:rPr>
              <w:t>600</w:t>
            </w:r>
          </w:p>
        </w:tc>
        <w:tc>
          <w:tcPr>
            <w:tcW w:w="1788" w:type="pct"/>
            <w:shd w:val="clear" w:color="auto" w:fill="auto"/>
            <w:tcMar>
              <w:top w:w="0" w:type="dxa"/>
              <w:left w:w="108" w:type="dxa"/>
              <w:bottom w:w="0" w:type="dxa"/>
              <w:right w:w="108" w:type="dxa"/>
            </w:tcMar>
            <w:vAlign w:val="top"/>
          </w:tcPr>
          <w:p>
            <w:pPr>
              <w:snapToGrid/>
              <w:spacing w:before="40" w:after="0" w:line="360" w:lineRule="auto"/>
              <w:ind w:firstLine="440" w:firstLineChars="200"/>
              <w:jc w:val="center"/>
              <w:rPr>
                <w:rFonts w:hint="default" w:ascii="Times New Roman" w:hAnsi="Times New Roman" w:eastAsia="宋体" w:cs="Times New Roman"/>
                <w:color w:val="000000"/>
                <w:szCs w:val="22"/>
                <w:lang w:val="en-US" w:eastAsia="zh-CN"/>
              </w:rPr>
            </w:pPr>
            <w:r>
              <w:rPr>
                <w:rFonts w:ascii="Times New Roman" w:hAnsi="Times New Roman" w:eastAsia="宋体" w:cs="Times New Roman"/>
                <w:color w:val="000000"/>
                <w:sz w:val="22"/>
                <w:szCs w:val="22"/>
              </w:rPr>
              <w:t>0.</w:t>
            </w:r>
            <w:r>
              <w:rPr>
                <w:rFonts w:hint="eastAsia" w:ascii="Times New Roman" w:hAnsi="Times New Roman" w:eastAsia="宋体" w:cs="Times New Roman"/>
                <w:color w:val="000000"/>
                <w:sz w:val="22"/>
                <w:szCs w:val="22"/>
                <w:lang w:val="en-US" w:eastAsia="zh-CN"/>
              </w:rPr>
              <w:t>600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1483" w:type="pct"/>
            <w:shd w:val="clear" w:color="auto" w:fill="auto"/>
            <w:tcMar>
              <w:top w:w="0" w:type="dxa"/>
              <w:left w:w="108" w:type="dxa"/>
              <w:bottom w:w="0" w:type="dxa"/>
              <w:right w:w="108" w:type="dxa"/>
            </w:tcMar>
            <w:vAlign w:val="top"/>
          </w:tcPr>
          <w:p>
            <w:pPr>
              <w:snapToGrid/>
              <w:spacing w:before="40" w:after="0" w:line="360" w:lineRule="auto"/>
              <w:jc w:val="center"/>
              <w:rPr>
                <w:rFonts w:ascii="Times New Roman" w:hAnsi="Times New Roman" w:eastAsia="宋体" w:cs="Times New Roman"/>
                <w:color w:val="000000"/>
                <w:szCs w:val="22"/>
              </w:rPr>
            </w:pPr>
            <w:r>
              <w:rPr>
                <w:rFonts w:hint="eastAsia" w:ascii="Times New Roman" w:hAnsi="Times New Roman" w:eastAsia="宋体" w:cs="Times New Roman"/>
                <w:color w:val="000000"/>
                <w:sz w:val="22"/>
                <w:szCs w:val="22"/>
              </w:rPr>
              <w:t>B</w:t>
            </w:r>
            <w:r>
              <w:rPr>
                <w:rFonts w:ascii="Times New Roman" w:hAnsi="Times New Roman" w:eastAsia="宋体" w:cs="Times New Roman"/>
                <w:color w:val="000000"/>
                <w:sz w:val="22"/>
                <w:szCs w:val="22"/>
              </w:rPr>
              <w:t>I</w:t>
            </w:r>
            <w:r>
              <w:rPr>
                <w:rFonts w:hint="eastAsia" w:ascii="Times New Roman" w:hAnsi="Times New Roman" w:eastAsia="宋体" w:cs="Times New Roman"/>
                <w:color w:val="000000"/>
                <w:sz w:val="22"/>
                <w:szCs w:val="22"/>
              </w:rPr>
              <w:t>（使用意愿）</w:t>
            </w:r>
          </w:p>
        </w:tc>
        <w:tc>
          <w:tcPr>
            <w:tcW w:w="1727" w:type="pct"/>
            <w:shd w:val="clear" w:color="auto" w:fill="auto"/>
            <w:tcMar>
              <w:top w:w="0" w:type="dxa"/>
              <w:left w:w="108" w:type="dxa"/>
              <w:bottom w:w="0" w:type="dxa"/>
              <w:right w:w="108" w:type="dxa"/>
            </w:tcMar>
            <w:vAlign w:val="top"/>
          </w:tcPr>
          <w:p>
            <w:pPr>
              <w:snapToGrid/>
              <w:spacing w:before="40" w:after="0" w:line="360" w:lineRule="auto"/>
              <w:ind w:firstLine="440" w:firstLineChars="200"/>
              <w:jc w:val="center"/>
              <w:rPr>
                <w:rFonts w:hint="default" w:ascii="Times New Roman" w:hAnsi="Times New Roman" w:eastAsia="宋体" w:cs="Times New Roman"/>
                <w:color w:val="000000"/>
                <w:szCs w:val="22"/>
                <w:lang w:val="en-US" w:eastAsia="zh-CN"/>
              </w:rPr>
            </w:pPr>
            <w:r>
              <w:rPr>
                <w:rFonts w:ascii="Times New Roman" w:hAnsi="Times New Roman" w:eastAsia="宋体" w:cs="Times New Roman"/>
                <w:color w:val="000000"/>
                <w:sz w:val="22"/>
                <w:szCs w:val="22"/>
              </w:rPr>
              <w:t>0.</w:t>
            </w:r>
            <w:r>
              <w:rPr>
                <w:rFonts w:hint="eastAsia" w:ascii="Times New Roman" w:hAnsi="Times New Roman" w:eastAsia="宋体" w:cs="Times New Roman"/>
                <w:color w:val="000000"/>
                <w:sz w:val="22"/>
                <w:szCs w:val="22"/>
                <w:lang w:val="en-US" w:eastAsia="zh-CN"/>
              </w:rPr>
              <w:t>718</w:t>
            </w:r>
          </w:p>
        </w:tc>
        <w:tc>
          <w:tcPr>
            <w:tcW w:w="1788" w:type="pct"/>
            <w:shd w:val="clear" w:color="auto" w:fill="auto"/>
            <w:tcMar>
              <w:top w:w="0" w:type="dxa"/>
              <w:left w:w="108" w:type="dxa"/>
              <w:bottom w:w="0" w:type="dxa"/>
              <w:right w:w="108" w:type="dxa"/>
            </w:tcMar>
            <w:vAlign w:val="top"/>
          </w:tcPr>
          <w:p>
            <w:pPr>
              <w:snapToGrid/>
              <w:spacing w:before="40" w:after="0" w:line="360" w:lineRule="auto"/>
              <w:ind w:firstLine="440" w:firstLineChars="200"/>
              <w:jc w:val="center"/>
              <w:rPr>
                <w:rFonts w:hint="default" w:ascii="Times New Roman" w:hAnsi="Times New Roman" w:eastAsia="宋体" w:cs="Times New Roman"/>
                <w:color w:val="000000"/>
                <w:szCs w:val="22"/>
                <w:lang w:val="en-US" w:eastAsia="zh-CN"/>
              </w:rPr>
            </w:pPr>
            <w:r>
              <w:rPr>
                <w:rFonts w:ascii="Times New Roman" w:hAnsi="Times New Roman" w:eastAsia="宋体" w:cs="Times New Roman"/>
                <w:color w:val="000000"/>
                <w:sz w:val="22"/>
                <w:szCs w:val="22"/>
              </w:rPr>
              <w:t>0.7</w:t>
            </w:r>
            <w:r>
              <w:rPr>
                <w:rFonts w:hint="eastAsia" w:ascii="Times New Roman" w:hAnsi="Times New Roman" w:eastAsia="宋体" w:cs="Times New Roman"/>
                <w:color w:val="000000"/>
                <w:sz w:val="22"/>
                <w:szCs w:val="22"/>
                <w:lang w:val="en-US" w:eastAsia="zh-CN"/>
              </w:rPr>
              <w:t>24</w:t>
            </w:r>
          </w:p>
        </w:tc>
      </w:tr>
    </w:tbl>
    <w:p>
      <w:pPr>
        <w:snapToGrid w:val="0"/>
        <w:spacing w:before="60" w:after="60" w:line="312" w:lineRule="auto"/>
        <w:jc w:val="left"/>
        <w:rPr>
          <w:rFonts w:ascii="楷体" w:hAnsi="楷体" w:eastAsia="楷体" w:cs="楷体"/>
          <w:b/>
          <w:bCs/>
          <w:color w:val="1A1A1A"/>
          <w:sz w:val="28"/>
          <w:szCs w:val="32"/>
        </w:rPr>
      </w:pPr>
    </w:p>
    <w:p>
      <w:pPr>
        <w:keepNext/>
        <w:keepLines/>
        <w:widowControl w:val="0"/>
        <w:numPr>
          <w:ilvl w:val="0"/>
          <w:numId w:val="0"/>
        </w:numPr>
        <w:snapToGrid w:val="0"/>
        <w:spacing w:before="0" w:after="0" w:line="408" w:lineRule="auto"/>
        <w:ind w:left="1216" w:right="210" w:rightChars="100"/>
        <w:outlineLvl w:val="2"/>
        <w:rPr>
          <w:rFonts w:ascii="Times New Roman" w:hAnsi="Times New Roman" w:eastAsia="楷体" w:cs="Times New Roman"/>
          <w:b/>
          <w:bCs/>
          <w:color w:val="1A1A1A"/>
          <w:kern w:val="2"/>
          <w:sz w:val="28"/>
          <w:szCs w:val="28"/>
          <w:lang w:val="en-US" w:eastAsia="zh-CN" w:bidi="ar-SA"/>
        </w:rPr>
      </w:pPr>
      <w:bookmarkStart w:id="8" w:name="_Toc130161124"/>
      <w:r>
        <w:rPr>
          <w:rFonts w:hint="eastAsia" w:ascii="Times New Roman" w:hAnsi="Times New Roman" w:eastAsia="楷体" w:cs="Times New Roman"/>
          <w:b/>
          <w:bCs/>
          <w:color w:val="1A1A1A"/>
          <w:kern w:val="2"/>
          <w:sz w:val="28"/>
          <w:szCs w:val="28"/>
          <w:lang w:val="en-US" w:eastAsia="zh-CN" w:bidi="ar-SA"/>
        </w:rPr>
        <w:t>2</w:t>
      </w:r>
      <w:r>
        <w:rPr>
          <w:rFonts w:ascii="Times New Roman" w:hAnsi="Times New Roman" w:eastAsia="楷体" w:cs="Times New Roman"/>
          <w:b/>
          <w:bCs/>
          <w:color w:val="1A1A1A"/>
          <w:kern w:val="2"/>
          <w:sz w:val="28"/>
          <w:szCs w:val="28"/>
          <w:lang w:val="en-US" w:eastAsia="zh-CN" w:bidi="ar-SA"/>
        </w:rPr>
        <w:t>. 使用意愿分析建模</w:t>
      </w:r>
      <w:bookmarkEnd w:id="8"/>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在上述调研内容之外，本研究还想具体定量化地对于当下在线诊疗的用户及潜在用户进行建模分析，从理论模型的角度探究影响用户对线上诊疗使用意愿（BI）的有关因素及其具体影响程度。本小节主要采用逐步回归及结构方程技术，尝试对问卷第四部分“调研模型”进行模型构建与数理分析解读。</w:t>
      </w:r>
    </w:p>
    <w:p>
      <w:pPr>
        <w:keepNext/>
        <w:keepLines/>
        <w:widowControl w:val="0"/>
        <w:numPr>
          <w:ilvl w:val="0"/>
          <w:numId w:val="0"/>
        </w:numPr>
        <w:snapToGrid w:val="0"/>
        <w:spacing w:before="0" w:after="0" w:line="408" w:lineRule="auto"/>
        <w:ind w:right="210" w:rightChars="100"/>
        <w:outlineLvl w:val="3"/>
        <w:rPr>
          <w:rFonts w:ascii="Times New Roman" w:hAnsi="Times New Roman" w:eastAsia="楷体" w:cs="Times New Roman"/>
          <w:b/>
          <w:bCs/>
          <w:color w:val="1A1A1A"/>
          <w:kern w:val="2"/>
          <w:sz w:val="28"/>
          <w:szCs w:val="24"/>
          <w:lang w:val="en-US" w:eastAsia="zh-CN" w:bidi="ar-SA"/>
        </w:rPr>
      </w:pPr>
      <w:bookmarkStart w:id="9" w:name="_Toc130161125"/>
      <w:r>
        <w:rPr>
          <w:rFonts w:hint="eastAsia" w:ascii="Times New Roman" w:hAnsi="Times New Roman" w:eastAsia="楷体" w:cs="Times New Roman"/>
          <w:b/>
          <w:bCs/>
          <w:color w:val="1A1A1A"/>
          <w:kern w:val="2"/>
          <w:sz w:val="28"/>
          <w:szCs w:val="24"/>
          <w:lang w:val="en-US" w:eastAsia="zh-CN" w:bidi="ar-SA"/>
        </w:rPr>
        <w:t>2</w:t>
      </w:r>
      <w:r>
        <w:rPr>
          <w:rFonts w:ascii="Times New Roman" w:hAnsi="Times New Roman" w:eastAsia="楷体" w:cs="Times New Roman"/>
          <w:b/>
          <w:bCs/>
          <w:color w:val="1A1A1A"/>
          <w:kern w:val="2"/>
          <w:sz w:val="28"/>
          <w:szCs w:val="24"/>
          <w:lang w:val="en-US" w:eastAsia="zh-CN" w:bidi="ar-SA"/>
        </w:rPr>
        <w:t>.1</w:t>
      </w:r>
      <w:r>
        <w:rPr>
          <w:rFonts w:hint="eastAsia" w:ascii="Times New Roman" w:hAnsi="Times New Roman" w:eastAsia="楷体" w:cs="Times New Roman"/>
          <w:b/>
          <w:bCs/>
          <w:color w:val="1A1A1A"/>
          <w:kern w:val="2"/>
          <w:sz w:val="28"/>
          <w:szCs w:val="24"/>
          <w:lang w:val="en-US" w:eastAsia="zh-CN" w:bidi="ar-SA"/>
        </w:rPr>
        <w:t xml:space="preserve"> OLS回归模型</w:t>
      </w:r>
      <w:bookmarkEnd w:id="9"/>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2"/>
          <w:lang w:val="en-US" w:eastAsia="zh-CN" w:bidi="ar-SA"/>
        </w:rPr>
      </w:pPr>
      <w:bookmarkStart w:id="10" w:name="_Toc130161126"/>
      <w:r>
        <w:rPr>
          <w:rFonts w:hint="eastAsia" w:ascii="楷体" w:hAnsi="楷体" w:eastAsia="楷体" w:cs="Times New Roman"/>
          <w:b/>
          <w:bCs/>
          <w:color w:val="1A1A1A"/>
          <w:kern w:val="2"/>
          <w:sz w:val="28"/>
          <w:szCs w:val="22"/>
          <w:lang w:val="en-US" w:eastAsia="zh-CN" w:bidi="ar-SA"/>
        </w:rPr>
        <w:t>1</w:t>
      </w:r>
      <w:r>
        <w:rPr>
          <w:rFonts w:ascii="楷体" w:hAnsi="楷体" w:eastAsia="楷体" w:cs="Times New Roman"/>
          <w:b/>
          <w:bCs/>
          <w:color w:val="1A1A1A"/>
          <w:kern w:val="2"/>
          <w:sz w:val="28"/>
          <w:szCs w:val="22"/>
          <w:lang w:val="en-US" w:eastAsia="zh-CN" w:bidi="ar-SA"/>
        </w:rPr>
        <w:t>) 理论模型介绍</w:t>
      </w:r>
      <w:bookmarkEnd w:id="10"/>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hint="eastAsia" w:ascii="Times New Roman" w:hAnsi="Times New Roman" w:eastAsia="楷体" w:cs="楷体"/>
          <w:color w:val="000000"/>
          <w:kern w:val="2"/>
          <w:sz w:val="28"/>
          <w:szCs w:val="22"/>
          <w:lang w:val="en-US" w:eastAsia="zh-CN" w:bidi="ar-SA"/>
        </w:rPr>
        <w:t>OLS（Ordinary Least Squares）通过最小化残差平方和，将其作为参数估计值。在变量筛选时，项目组采用了逐步回归法。</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逐步回归（Stepwise Regression）是一种线性回归手段。在回归模型中，</w:t>
      </w:r>
      <w:r>
        <w:rPr>
          <w:rFonts w:hint="eastAsia" w:ascii="Times New Roman" w:hAnsi="Times New Roman" w:eastAsia="楷体" w:cs="楷体"/>
          <w:color w:val="000000"/>
          <w:kern w:val="2"/>
          <w:sz w:val="28"/>
          <w:szCs w:val="22"/>
          <w:lang w:val="en-US" w:eastAsia="zh-CN" w:bidi="ar-SA"/>
        </w:rPr>
        <w:t>项目组</w:t>
      </w:r>
      <w:r>
        <w:rPr>
          <w:rFonts w:ascii="Times New Roman" w:hAnsi="Times New Roman" w:eastAsia="楷体" w:cs="楷体"/>
          <w:color w:val="000000"/>
          <w:kern w:val="2"/>
          <w:sz w:val="28"/>
          <w:szCs w:val="22"/>
          <w:lang w:val="en-US" w:eastAsia="zh-CN" w:bidi="ar-SA"/>
        </w:rPr>
        <w:t>尝试根据一个或多个预测变量（自变量）来对相应变量（因变量）进行解释或预测建模。在建模时，若预测变量与相应变量并不具有统计学上的显著影响，则需要将其提出。故逐步回归模型便给予一定准则对于变量进行一定的筛选与选择。</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其基本思想在于将变量逐个引入模型，并在每次引入后立刻对模型进行F检验，对变量进行t检验。若先前引入的变量由于新变量的引入不再显著则将其删除，以保证模型中只包含显著性变量。循环这一过程，直到有且仅有选入变量集中的变量是显著的，即确保变量集是最优的</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&lt;EndNote&gt;&lt;Cite&gt;&lt;Author&gt;Montgomery&lt;/Author&gt;&lt;Year&gt;2021&lt;/Year&gt;&lt;RecNum&gt;67&lt;/RecNum&gt;&lt;DisplayText&gt;&lt;style face="superscript"&gt;[13]&lt;/style&gt;&lt;/DisplayText&gt;&lt;record&gt;&lt;rec-number&gt;67&lt;/rec-number&gt;&lt;foreign-keys&gt;&lt;key app="EN" db-id="z5t2xapxrvs5aeezvekvwzrk9rvz0rp9d9f0" timestamp="1677598595"&gt;67&lt;/key&gt;&lt;/foreign-keys&gt;&lt;ref-type name="Book"&gt;6&lt;/ref-type&gt;&lt;contributors&gt;&lt;authors&gt;&lt;author&gt;Douglas C. Montgomery&lt;/author&gt;&lt;author&gt;Elizabeth A. Peck&lt;/author&gt;&lt;author&gt;G. Geoffrey Vining&lt;/author&gt;&lt;/authors&gt;&lt;/contributors&gt;&lt;titles&gt;&lt;title&gt;INTRODUCTION TO LINEAR REGRESSION ANALYSIS: A comprehensive and current introduction to the fundamentals of regression analysis&lt;/title&gt;&lt;/titles&gt;&lt;edition&gt;SIXTH EDITION&lt;/edition&gt;&lt;section&gt;704&lt;/section&gt;&lt;dates&gt;&lt;year&gt;2021&lt;/year&gt;&lt;/dates&gt;&lt;publisher&gt;WILEY&lt;/publisher&gt;&lt;urls&gt;&lt;/urls&gt;&lt;/record&gt;&lt;/Cite&gt;&lt;/EndNote&gt;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[13]</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w:t>
      </w:r>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2"/>
          <w:lang w:val="en-US" w:eastAsia="zh-CN" w:bidi="ar-SA"/>
        </w:rPr>
      </w:pPr>
      <w:bookmarkStart w:id="11" w:name="_Toc130161127"/>
      <w:r>
        <w:rPr>
          <w:rFonts w:hint="eastAsia" w:ascii="楷体" w:hAnsi="楷体" w:eastAsia="楷体" w:cs="Times New Roman"/>
          <w:b/>
          <w:bCs/>
          <w:color w:val="1A1A1A"/>
          <w:kern w:val="2"/>
          <w:sz w:val="28"/>
          <w:szCs w:val="22"/>
          <w:lang w:val="en-US" w:eastAsia="zh-CN" w:bidi="ar-SA"/>
        </w:rPr>
        <w:t>2</w:t>
      </w:r>
      <w:r>
        <w:rPr>
          <w:rFonts w:ascii="楷体" w:hAnsi="楷体" w:eastAsia="楷体" w:cs="Times New Roman"/>
          <w:b/>
          <w:bCs/>
          <w:color w:val="1A1A1A"/>
          <w:kern w:val="2"/>
          <w:sz w:val="28"/>
          <w:szCs w:val="22"/>
          <w:lang w:val="en-US" w:eastAsia="zh-CN" w:bidi="ar-SA"/>
        </w:rPr>
        <w:t>) 模型构建</w:t>
      </w:r>
      <w:bookmarkEnd w:id="11"/>
    </w:p>
    <w:p>
      <w:pPr>
        <w:widowControl w:val="0"/>
        <w:snapToGrid/>
        <w:spacing w:before="0" w:after="0" w:line="360" w:lineRule="auto"/>
        <w:ind w:firstLine="560" w:firstLineChars="200"/>
        <w:jc w:val="left"/>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本小节希望通过线性模型定量分析影响用户个人使用意愿的相关因素，具体关系如下：</w:t>
      </w:r>
      <w:r>
        <w:rPr>
          <w:rFonts w:ascii="Times New Roman" w:hAnsi="Times New Roman" w:eastAsia="楷体" w:cs="楷体"/>
          <w:color w:val="000000"/>
          <w:kern w:val="2"/>
          <w:sz w:val="28"/>
          <w:szCs w:val="22"/>
          <w:lang w:val="en-US" w:eastAsia="zh-CN" w:bidi="ar-SA"/>
        </w:rPr>
        <w:br w:type="textWrapping"/>
      </w:r>
      <m:oMathPara>
        <m:oMath>
          <m:sSub>
            <m:sSubPr>
              <m:ctrlPr>
                <w:rPr>
                  <w:rFonts w:ascii="Cambria Math" w:hAnsi="Cambria Math"/>
                  <w:i/>
                  <w:sz w:val="24"/>
                  <w:szCs w:val="24"/>
                </w:rPr>
              </m:ctrlPr>
            </m:sSubPr>
            <m:e>
              <m:r>
                <m:rPr/>
                <w:rPr>
                  <w:rFonts w:ascii="Cambria Math" w:hAnsi="Cambria Math"/>
                  <w:sz w:val="24"/>
                  <w:szCs w:val="24"/>
                </w:rPr>
                <m:t>BI</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r>
            <m:rPr/>
            <w:rPr>
              <w:rFonts w:hint="eastAsia" w:ascii="Cambria Math" w:hAnsi="Cambria Math"/>
              <w:sz w:val="24"/>
              <w:szCs w:val="24"/>
            </w:rPr>
            <m:t xml:space="preserve"> </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m:t>
              </m:r>
              <m:ctrlPr>
                <w:rPr>
                  <w:rFonts w:ascii="Cambria Math" w:hAnsi="Cambria Math"/>
                  <w:sz w:val="24"/>
                  <w:szCs w:val="24"/>
                </w:rPr>
              </m:ctrlPr>
            </m:sub>
          </m:sSub>
          <m:r>
            <m:rPr/>
            <w:rPr>
              <w:rFonts w:ascii="Cambria Math" w:hAnsi="Cambria Math"/>
              <w:sz w:val="24"/>
              <w:szCs w:val="24"/>
            </w:rPr>
            <m:t>I</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Sub>
          <m:r>
            <m:rPr/>
            <w:rPr>
              <w:rFonts w:ascii="Cambria Math" w:hAnsi="Cambria Math"/>
              <w:sz w:val="24"/>
              <w:szCs w:val="24"/>
            </w:rPr>
            <m:t>I</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3</m:t>
              </m:r>
              <m:ctrlPr>
                <w:rPr>
                  <w:rFonts w:ascii="Cambria Math" w:hAnsi="Cambria Math"/>
                  <w:sz w:val="24"/>
                  <w:szCs w:val="24"/>
                </w:rPr>
              </m:ctrlPr>
            </m:sub>
          </m:sSub>
          <m:r>
            <m:rPr/>
            <w:rPr>
              <w:rFonts w:ascii="Cambria Math" w:hAnsi="Cambria Math"/>
              <w:sz w:val="24"/>
              <w:szCs w:val="24"/>
            </w:rPr>
            <m:t>I</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m:sty m:val="p"/>
                </m:rPr>
                <w:rPr>
                  <w:rFonts w:ascii="Cambria Math" w:hAnsi="Cambria Math"/>
                  <w:sz w:val="24"/>
                  <w:szCs w:val="24"/>
                </w:rPr>
                <m:t>3</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4</m:t>
              </m:r>
              <m:ctrlPr>
                <w:rPr>
                  <w:rFonts w:ascii="Cambria Math" w:hAnsi="Cambria Math"/>
                  <w:sz w:val="24"/>
                  <w:szCs w:val="24"/>
                </w:rPr>
              </m:ctrlPr>
            </m:sub>
          </m:sSub>
          <m:r>
            <m:rPr/>
            <w:rPr>
              <w:rFonts w:ascii="Cambria Math" w:hAnsi="Cambria Math"/>
              <w:sz w:val="24"/>
              <w:szCs w:val="24"/>
            </w:rPr>
            <m:t>P</m:t>
          </m:r>
          <m:sSub>
            <m:sSubPr>
              <m:ctrlPr>
                <w:rPr>
                  <w:rFonts w:ascii="Cambria Math" w:hAnsi="Cambria Math"/>
                  <w:sz w:val="24"/>
                  <w:szCs w:val="24"/>
                </w:rPr>
              </m:ctrlPr>
            </m:sSubPr>
            <m:e>
              <m:r>
                <m:rPr/>
                <w:rPr>
                  <w:rFonts w:ascii="Cambria Math" w:hAnsi="Cambria Math"/>
                  <w:sz w:val="24"/>
                  <w:szCs w:val="24"/>
                </w:rPr>
                <m:t>E</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5</m:t>
              </m:r>
              <m:ctrlPr>
                <w:rPr>
                  <w:rFonts w:ascii="Cambria Math" w:hAnsi="Cambria Math"/>
                  <w:sz w:val="24"/>
                  <w:szCs w:val="24"/>
                </w:rPr>
              </m:ctrlPr>
            </m:sub>
          </m:sSub>
          <m:r>
            <m:rPr/>
            <w:rPr>
              <w:rFonts w:ascii="Cambria Math" w:hAnsi="Cambria Math"/>
              <w:sz w:val="24"/>
              <w:szCs w:val="24"/>
            </w:rPr>
            <m:t>P</m:t>
          </m:r>
          <m:sSub>
            <m:sSubPr>
              <m:ctrlPr>
                <w:rPr>
                  <w:rFonts w:ascii="Cambria Math" w:hAnsi="Cambria Math"/>
                  <w:sz w:val="24"/>
                  <w:szCs w:val="24"/>
                </w:rPr>
              </m:ctrlPr>
            </m:sSubPr>
            <m:e>
              <m:r>
                <m:rPr/>
                <w:rPr>
                  <w:rFonts w:ascii="Cambria Math" w:hAnsi="Cambria Math"/>
                  <w:sz w:val="24"/>
                  <w:szCs w:val="24"/>
                </w:rPr>
                <m:t>E</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6</m:t>
              </m:r>
              <m:ctrlPr>
                <w:rPr>
                  <w:rFonts w:ascii="Cambria Math" w:hAnsi="Cambria Math"/>
                  <w:sz w:val="24"/>
                  <w:szCs w:val="24"/>
                </w:rPr>
              </m:ctrlPr>
            </m:sub>
          </m:sSub>
          <m:r>
            <m:rPr/>
            <w:rPr>
              <w:rFonts w:ascii="Cambria Math" w:hAnsi="Cambria Math"/>
              <w:sz w:val="24"/>
              <w:szCs w:val="24"/>
            </w:rPr>
            <m:t>P</m:t>
          </m:r>
          <m:sSub>
            <m:sSubPr>
              <m:ctrlPr>
                <w:rPr>
                  <w:rFonts w:ascii="Cambria Math" w:hAnsi="Cambria Math"/>
                  <w:sz w:val="24"/>
                  <w:szCs w:val="24"/>
                </w:rPr>
              </m:ctrlPr>
            </m:sSubPr>
            <m:e>
              <m:r>
                <m:rPr/>
                <w:rPr>
                  <w:rFonts w:ascii="Cambria Math" w:hAnsi="Cambria Math"/>
                  <w:sz w:val="24"/>
                  <w:szCs w:val="24"/>
                </w:rPr>
                <m:t>E</m:t>
              </m:r>
              <m:ctrlPr>
                <w:rPr>
                  <w:rFonts w:ascii="Cambria Math" w:hAnsi="Cambria Math"/>
                  <w:sz w:val="24"/>
                  <w:szCs w:val="24"/>
                </w:rPr>
              </m:ctrlPr>
            </m:e>
            <m:sub>
              <m:r>
                <m:rPr>
                  <m:sty m:val="p"/>
                </m:rPr>
                <w:rPr>
                  <w:rFonts w:ascii="Cambria Math" w:hAnsi="Cambria Math"/>
                  <w:sz w:val="24"/>
                  <w:szCs w:val="24"/>
                </w:rPr>
                <m:t>3</m:t>
              </m:r>
              <m:ctrlPr>
                <w:rPr>
                  <w:rFonts w:ascii="Cambria Math" w:hAnsi="Cambria Math"/>
                  <w:sz w:val="24"/>
                  <w:szCs w:val="24"/>
                </w:rPr>
              </m:ctrlPr>
            </m:sub>
          </m:sSub>
        </m:oMath>
      </m:oMathPara>
    </w:p>
    <w:p>
      <w:pPr>
        <w:snapToGrid/>
        <w:spacing w:before="40" w:after="0" w:line="360" w:lineRule="auto"/>
        <w:jc w:val="center"/>
        <w:rPr>
          <w:rFonts w:ascii="Times New Roman" w:hAnsi="Times New Roman" w:eastAsia="楷体" w:cs="楷体"/>
          <w:color w:val="333333"/>
          <w:sz w:val="24"/>
          <w:szCs w:val="24"/>
        </w:rPr>
      </w:pPr>
      <m:oMathPara>
        <m:oMathParaPr>
          <m:jc m:val="center"/>
        </m:oMathParaPr>
        <m:oMath>
          <m:r>
            <m:rPr>
              <m:sty m:val="p"/>
            </m:rPr>
            <w:rPr>
              <w:rFonts w:ascii="Cambria Math" w:hAnsi="Cambria Math"/>
              <w:sz w:val="24"/>
              <w:szCs w:val="24"/>
            </w:rPr>
            <m:t xml:space="preserve">            +</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7</m:t>
              </m:r>
              <m:ctrlPr>
                <w:rPr>
                  <w:rFonts w:ascii="Cambria Math" w:hAnsi="Cambria Math"/>
                  <w:sz w:val="24"/>
                  <w:szCs w:val="24"/>
                </w:rPr>
              </m:ctrlPr>
            </m:sub>
          </m:sSub>
          <m:r>
            <m:rPr/>
            <w:rPr>
              <w:rFonts w:ascii="Cambria Math" w:hAnsi="Cambria Math"/>
              <w:sz w:val="24"/>
              <w:szCs w:val="24"/>
            </w:rPr>
            <m:t>F</m:t>
          </m:r>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8</m:t>
              </m:r>
              <m:ctrlPr>
                <w:rPr>
                  <w:rFonts w:ascii="Cambria Math" w:hAnsi="Cambria Math"/>
                  <w:sz w:val="24"/>
                  <w:szCs w:val="24"/>
                </w:rPr>
              </m:ctrlPr>
            </m:sub>
          </m:sSub>
          <m:r>
            <m:rPr/>
            <w:rPr>
              <w:rFonts w:ascii="Cambria Math" w:hAnsi="Cambria Math"/>
              <w:sz w:val="24"/>
              <w:szCs w:val="24"/>
            </w:rPr>
            <m:t>F</m:t>
          </m:r>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9</m:t>
              </m:r>
              <m:ctrlPr>
                <w:rPr>
                  <w:rFonts w:ascii="Cambria Math" w:hAnsi="Cambria Math"/>
                  <w:sz w:val="24"/>
                  <w:szCs w:val="24"/>
                </w:rPr>
              </m:ctrlPr>
            </m:sub>
          </m:sSub>
          <m:r>
            <m:rPr/>
            <w:rPr>
              <w:rFonts w:ascii="Cambria Math" w:hAnsi="Cambria Math"/>
              <w:sz w:val="24"/>
              <w:szCs w:val="24"/>
            </w:rPr>
            <m:t>F</m:t>
          </m:r>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m:sty m:val="p"/>
                </m:rPr>
                <w:rPr>
                  <w:rFonts w:ascii="Cambria Math" w:hAnsi="Cambria Math"/>
                  <w:sz w:val="24"/>
                  <w:szCs w:val="24"/>
                </w:rPr>
                <m:t>3</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10</m:t>
              </m:r>
              <m:ctrlPr>
                <w:rPr>
                  <w:rFonts w:ascii="Cambria Math" w:hAnsi="Cambria Math"/>
                  <w:sz w:val="24"/>
                  <w:szCs w:val="24"/>
                </w:rPr>
              </m:ctrlPr>
            </m:sub>
          </m:sSub>
          <m:r>
            <m:rPr/>
            <w:rPr>
              <w:rFonts w:ascii="Cambria Math" w:hAnsi="Cambria Math"/>
              <w:sz w:val="24"/>
              <w:szCs w:val="24"/>
            </w:rPr>
            <m:t>S</m:t>
          </m:r>
          <m:sSub>
            <m:sSubPr>
              <m:ctrlPr>
                <w:rPr>
                  <w:rFonts w:ascii="Cambria Math" w:hAnsi="Cambria Math"/>
                  <w:sz w:val="24"/>
                  <w:szCs w:val="24"/>
                </w:rPr>
              </m:ctrlPr>
            </m:sSubPr>
            <m:e>
              <m:r>
                <m:rPr/>
                <w:rPr>
                  <w:rFonts w:ascii="Cambria Math" w:hAnsi="Cambria Math"/>
                  <w:sz w:val="24"/>
                  <w:szCs w:val="24"/>
                </w:rPr>
                <m:t>I</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11</m:t>
              </m:r>
              <m:ctrlPr>
                <w:rPr>
                  <w:rFonts w:ascii="Cambria Math" w:hAnsi="Cambria Math"/>
                  <w:sz w:val="24"/>
                  <w:szCs w:val="24"/>
                </w:rPr>
              </m:ctrlPr>
            </m:sub>
          </m:sSub>
          <m:r>
            <m:rPr/>
            <w:rPr>
              <w:rFonts w:ascii="Cambria Math" w:hAnsi="Cambria Math"/>
              <w:sz w:val="24"/>
              <w:szCs w:val="24"/>
            </w:rPr>
            <m:t>S</m:t>
          </m:r>
          <m:sSub>
            <m:sSubPr>
              <m:ctrlPr>
                <w:rPr>
                  <w:rFonts w:ascii="Cambria Math" w:hAnsi="Cambria Math"/>
                  <w:sz w:val="24"/>
                  <w:szCs w:val="24"/>
                </w:rPr>
              </m:ctrlPr>
            </m:sSubPr>
            <m:e>
              <m:r>
                <m:rPr/>
                <w:rPr>
                  <w:rFonts w:ascii="Cambria Math" w:hAnsi="Cambria Math"/>
                  <w:sz w:val="24"/>
                  <w:szCs w:val="24"/>
                </w:rPr>
                <m:t>I</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12</m:t>
              </m:r>
              <m:ctrlPr>
                <w:rPr>
                  <w:rFonts w:ascii="Cambria Math" w:hAnsi="Cambria Math"/>
                  <w:sz w:val="24"/>
                  <w:szCs w:val="24"/>
                </w:rPr>
              </m:ctrlPr>
            </m:sub>
          </m:sSub>
          <m:r>
            <m:rPr/>
            <w:rPr>
              <w:rFonts w:ascii="Cambria Math" w:hAnsi="Cambria Math"/>
              <w:sz w:val="24"/>
              <w:szCs w:val="24"/>
            </w:rPr>
            <m:t>S</m:t>
          </m:r>
          <m:sSub>
            <m:sSubPr>
              <m:ctrlPr>
                <w:rPr>
                  <w:rFonts w:ascii="Cambria Math" w:hAnsi="Cambria Math"/>
                  <w:i/>
                  <w:sz w:val="24"/>
                  <w:szCs w:val="24"/>
                </w:rPr>
              </m:ctrlPr>
            </m:sSubPr>
            <m:e>
              <m:r>
                <m:rPr/>
                <w:rPr>
                  <w:rFonts w:ascii="Cambria Math" w:hAnsi="Cambria Math"/>
                  <w:sz w:val="24"/>
                  <w:szCs w:val="24"/>
                </w:rPr>
                <m:t>I</m:t>
              </m:r>
              <m:ctrlPr>
                <w:rPr>
                  <w:rFonts w:ascii="Cambria Math" w:hAnsi="Cambria Math"/>
                  <w:i/>
                  <w:sz w:val="24"/>
                  <w:szCs w:val="24"/>
                </w:rPr>
              </m:ctrlPr>
            </m:e>
            <m:sub>
              <m:r>
                <m:rPr/>
                <w:rPr>
                  <w:rFonts w:ascii="Cambria Math" w:hAnsi="Cambria Math"/>
                  <w:sz w:val="24"/>
                  <w:szCs w:val="24"/>
                </w:rPr>
                <m:t>3</m:t>
              </m:r>
              <m:ctrlPr>
                <w:rPr>
                  <w:rFonts w:ascii="Cambria Math" w:hAnsi="Cambria Math"/>
                  <w:i/>
                  <w:sz w:val="24"/>
                  <w:szCs w:val="24"/>
                </w:rPr>
              </m:ctrlPr>
            </m:sub>
          </m:sSub>
        </m:oMath>
      </m:oMathPara>
    </w:p>
    <w:p>
      <w:pPr>
        <w:snapToGrid/>
        <w:spacing w:before="40" w:after="0" w:line="360" w:lineRule="auto"/>
        <w:jc w:val="center"/>
        <w:rPr>
          <w:rFonts w:ascii="Times New Roman" w:hAnsi="Times New Roman" w:eastAsia="仿宋" w:cs="Times New Roman"/>
          <w:color w:val="333333"/>
          <w:sz w:val="24"/>
          <w:szCs w:val="24"/>
        </w:rPr>
      </w:pPr>
      <m:oMathPara>
        <m:oMath>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13</m:t>
              </m:r>
              <m:ctrlPr>
                <w:rPr>
                  <w:rFonts w:ascii="Cambria Math" w:hAnsi="Cambria Math"/>
                  <w:sz w:val="24"/>
                  <w:szCs w:val="24"/>
                </w:rPr>
              </m:ctrlPr>
            </m:sub>
          </m:sSub>
          <m:r>
            <m:rPr/>
            <w:rPr>
              <w:rFonts w:ascii="Cambria Math" w:hAnsi="Cambria Math"/>
              <w:sz w:val="24"/>
              <w:szCs w:val="24"/>
            </w:rPr>
            <m:t>Gender</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14</m:t>
              </m:r>
              <m:ctrlPr>
                <w:rPr>
                  <w:rFonts w:ascii="Cambria Math" w:hAnsi="Cambria Math"/>
                  <w:sz w:val="24"/>
                  <w:szCs w:val="24"/>
                </w:rPr>
              </m:ctrlPr>
            </m:sub>
          </m:sSub>
          <m:r>
            <m:rPr/>
            <w:rPr>
              <w:rFonts w:ascii="Cambria Math" w:hAnsi="Cambria Math"/>
              <w:sz w:val="24"/>
              <w:szCs w:val="24"/>
            </w:rPr>
            <m:t>Age</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15</m:t>
              </m:r>
              <m:ctrlPr>
                <w:rPr>
                  <w:rFonts w:ascii="Cambria Math" w:hAnsi="Cambria Math"/>
                  <w:sz w:val="24"/>
                  <w:szCs w:val="24"/>
                </w:rPr>
              </m:ctrlPr>
            </m:sub>
          </m:sSub>
          <m:r>
            <m:rPr/>
            <w:rPr>
              <w:rFonts w:ascii="Cambria Math" w:hAnsi="Cambria Math"/>
              <w:sz w:val="24"/>
              <w:szCs w:val="24"/>
            </w:rPr>
            <m:t>Education</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16</m:t>
              </m:r>
              <m:ctrlPr>
                <w:rPr>
                  <w:rFonts w:ascii="Cambria Math" w:hAnsi="Cambria Math"/>
                  <w:sz w:val="24"/>
                  <w:szCs w:val="24"/>
                </w:rPr>
              </m:ctrlPr>
            </m:sub>
          </m:sSub>
          <m:r>
            <m:rPr/>
            <w:rPr>
              <w:rFonts w:ascii="Cambria Math" w:hAnsi="Cambria Math"/>
              <w:sz w:val="24"/>
              <w:szCs w:val="24"/>
            </w:rPr>
            <m:t>Work</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β</m:t>
              </m:r>
              <m:ctrlPr>
                <w:rPr>
                  <w:rFonts w:ascii="Cambria Math" w:hAnsi="Cambria Math"/>
                  <w:sz w:val="24"/>
                  <w:szCs w:val="24"/>
                </w:rPr>
              </m:ctrlPr>
            </m:e>
            <m:sub>
              <m:r>
                <m:rPr/>
                <w:rPr>
                  <w:rFonts w:ascii="Cambria Math" w:hAnsi="Cambria Math"/>
                  <w:sz w:val="24"/>
                  <w:szCs w:val="24"/>
                </w:rPr>
                <m:t>17</m:t>
              </m:r>
              <m:ctrlPr>
                <w:rPr>
                  <w:rFonts w:ascii="Cambria Math" w:hAnsi="Cambria Math"/>
                  <w:sz w:val="24"/>
                  <w:szCs w:val="24"/>
                </w:rPr>
              </m:ctrlPr>
            </m:sub>
          </m:sSub>
          <m:r>
            <m:rPr/>
            <w:rPr>
              <w:rFonts w:ascii="Cambria Math" w:hAnsi="Cambria Math"/>
              <w:sz w:val="24"/>
              <w:szCs w:val="24"/>
            </w:rPr>
            <m:t xml:space="preserve">Income+ε  </m:t>
          </m:r>
          <m:r>
            <m:rPr/>
            <w:rPr>
              <w:rFonts w:ascii="Cambria Math" w:hAnsi="Cambria Math" w:eastAsia="楷体" w:cs="楷体"/>
              <w:color w:val="000000"/>
              <w:sz w:val="24"/>
              <w:szCs w:val="24"/>
            </w:rPr>
            <m:t>⋯(1)</m:t>
          </m:r>
        </m:oMath>
      </m:oMathPara>
    </w:p>
    <w:p>
      <w:pPr>
        <w:widowControl w:val="0"/>
        <w:snapToGrid/>
        <w:spacing w:before="0" w:after="0" w:line="360" w:lineRule="auto"/>
        <w:ind w:firstLine="560" w:firstLineChars="200"/>
        <w:jc w:val="left"/>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其中，选定</w:t>
      </w:r>
      <w:r>
        <w:rPr>
          <w:rFonts w:hint="eastAsia" w:ascii="Times New Roman" w:hAnsi="Times New Roman" w:eastAsia="楷体" w:cs="楷体"/>
          <w:color w:val="000000"/>
          <w:kern w:val="2"/>
          <w:sz w:val="28"/>
          <w:szCs w:val="22"/>
          <w:lang w:val="en-US" w:eastAsia="zh-CN" w:bidi="ar-SA"/>
        </w:rPr>
        <w:t>B</w:t>
      </w:r>
      <w:r>
        <w:rPr>
          <w:rFonts w:ascii="Times New Roman" w:hAnsi="Times New Roman" w:eastAsia="楷体" w:cs="楷体"/>
          <w:color w:val="000000"/>
          <w:kern w:val="2"/>
          <w:sz w:val="28"/>
          <w:szCs w:val="22"/>
          <w:lang w:val="en-US" w:eastAsia="zh-CN" w:bidi="ar-SA"/>
        </w:rPr>
        <w:t>I1（“今后我打算继续使用（或尝试使用）在线诊疗服务”）作为响应变量是合理的。该项变量直观地反映个人对于在线诊疗的意愿状况。</w:t>
      </w:r>
    </w:p>
    <w:p>
      <w:pPr>
        <w:widowControl w:val="0"/>
        <w:snapToGrid/>
        <w:spacing w:before="0" w:after="0" w:line="360" w:lineRule="auto"/>
        <w:ind w:firstLine="560" w:firstLineChars="200"/>
        <w:jc w:val="left"/>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通过逐步回归可以最终确定的模型为：</w:t>
      </w:r>
      <w:r>
        <w:rPr>
          <w:rFonts w:ascii="Times New Roman" w:hAnsi="Times New Roman" w:eastAsia="楷体" w:cs="楷体"/>
          <w:color w:val="000000"/>
          <w:kern w:val="2"/>
          <w:sz w:val="28"/>
          <w:szCs w:val="22"/>
          <w:lang w:val="en-US" w:eastAsia="zh-CN" w:bidi="ar-SA"/>
        </w:rPr>
        <w:br w:type="textWrapping"/>
      </w:r>
      <m:oMathPara>
        <m:oMath>
          <m:r>
            <m:rPr/>
            <w:rPr>
              <w:rFonts w:ascii="Cambria Math" w:hAnsi="Cambria Math"/>
              <w:sz w:val="24"/>
              <w:szCs w:val="24"/>
            </w:rPr>
            <m:t>B</m:t>
          </m:r>
          <m:sSub>
            <m:sSubPr>
              <m:ctrlPr>
                <w:rPr>
                  <w:rFonts w:ascii="Cambria Math" w:hAnsi="Cambria Math"/>
                  <w:i/>
                  <w:sz w:val="24"/>
                  <w:szCs w:val="24"/>
                </w:rPr>
              </m:ctrlPr>
            </m:sSubPr>
            <m:e>
              <m:r>
                <m:rPr/>
                <w:rPr>
                  <w:rFonts w:ascii="Cambria Math" w:hAnsi="Cambria Math"/>
                  <w:sz w:val="24"/>
                  <w:szCs w:val="24"/>
                </w:rPr>
                <m:t>I</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r>
            <m:rPr/>
            <w:rPr>
              <w:rFonts w:hint="eastAsia" w:ascii="Cambria Math" w:hAnsi="Cambria Math"/>
              <w:sz w:val="24"/>
              <w:szCs w:val="24"/>
            </w:rPr>
            <m:t xml:space="preserve">= </m:t>
          </m:r>
          <m:r>
            <m:rPr/>
            <w:rPr>
              <w:rFonts w:hint="default" w:ascii="Cambria Math" w:hAnsi="Cambria Math"/>
              <w:sz w:val="24"/>
              <w:szCs w:val="24"/>
              <w:lang w:val="en-US" w:eastAsia="zh-CN"/>
            </w:rPr>
            <m:t>−</m:t>
          </m:r>
          <m:r>
            <m:rPr/>
            <w:rPr>
              <w:rFonts w:hint="eastAsia" w:ascii="Cambria Math" w:hAnsi="Cambria Math"/>
              <w:sz w:val="24"/>
              <w:szCs w:val="24"/>
              <w:lang w:val="en-US" w:eastAsia="zh-CN"/>
            </w:rPr>
            <m:t>0.344</m:t>
          </m:r>
          <m:r>
            <m:rPr/>
            <w:rPr>
              <w:rFonts w:hint="default" w:ascii="Cambria Math" w:hAnsi="Cambria Math"/>
              <w:sz w:val="24"/>
              <w:szCs w:val="24"/>
              <w:lang w:val="en-US" w:eastAsia="zh-CN"/>
            </w:rPr>
            <m:t>Income_4+</m:t>
          </m:r>
          <m:r>
            <m:rPr/>
            <w:rPr>
              <w:rFonts w:ascii="Cambria Math" w:hAnsi="Cambria Math"/>
              <w:sz w:val="24"/>
              <w:szCs w:val="24"/>
            </w:rPr>
            <m:t>0.</m:t>
          </m:r>
          <m:r>
            <m:rPr/>
            <w:rPr>
              <w:rFonts w:hint="eastAsia" w:ascii="Cambria Math" w:hAnsi="Cambria Math"/>
              <w:sz w:val="24"/>
              <w:szCs w:val="24"/>
              <w:lang w:val="en-US" w:eastAsia="zh-CN"/>
            </w:rPr>
            <m:t>126</m:t>
          </m:r>
          <m:r>
            <m:rPr/>
            <w:rPr>
              <w:rFonts w:ascii="Cambria Math" w:hAnsi="Cambria Math"/>
              <w:sz w:val="24"/>
              <w:szCs w:val="24"/>
            </w:rPr>
            <m:t>P</m:t>
          </m:r>
          <m:sSub>
            <m:sSubPr>
              <m:ctrlPr>
                <w:rPr>
                  <w:rFonts w:ascii="Cambria Math" w:hAnsi="Cambria Math"/>
                  <w:i/>
                  <w:sz w:val="24"/>
                  <w:szCs w:val="24"/>
                </w:rPr>
              </m:ctrlPr>
            </m:sSubPr>
            <m:e>
              <m:r>
                <m:rPr/>
                <w:rPr>
                  <w:rFonts w:ascii="Cambria Math" w:hAnsi="Cambria Math"/>
                  <w:sz w:val="24"/>
                  <w:szCs w:val="24"/>
                </w:rPr>
                <m:t>E</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r>
            <m:rPr/>
            <w:rPr>
              <w:rFonts w:ascii="Cambria Math" w:hAnsi="Cambria Math"/>
              <w:sz w:val="24"/>
              <w:szCs w:val="24"/>
            </w:rPr>
            <m:t xml:space="preserve"> + 0.</m:t>
          </m:r>
          <m:r>
            <m:rPr/>
            <w:rPr>
              <w:rFonts w:hint="eastAsia" w:ascii="Cambria Math" w:hAnsi="Cambria Math"/>
              <w:sz w:val="24"/>
              <w:szCs w:val="24"/>
              <w:lang w:val="en-US" w:eastAsia="zh-CN"/>
            </w:rPr>
            <m:t>205</m:t>
          </m:r>
          <m:r>
            <m:rPr/>
            <w:rPr>
              <w:rFonts w:ascii="Cambria Math" w:hAnsi="Cambria Math"/>
              <w:sz w:val="24"/>
              <w:szCs w:val="24"/>
            </w:rPr>
            <m:t>P</m:t>
          </m:r>
          <m:sSub>
            <m:sSubPr>
              <m:ctrlPr>
                <w:rPr>
                  <w:rFonts w:ascii="Cambria Math" w:hAnsi="Cambria Math"/>
                  <w:i/>
                  <w:sz w:val="24"/>
                  <w:szCs w:val="24"/>
                </w:rPr>
              </m:ctrlPr>
            </m:sSubPr>
            <m:e>
              <m:r>
                <m:rPr/>
                <w:rPr>
                  <w:rFonts w:ascii="Cambria Math" w:hAnsi="Cambria Math"/>
                  <w:sz w:val="24"/>
                  <w:szCs w:val="24"/>
                </w:rPr>
                <m:t>E</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r>
            <m:rPr/>
            <w:rPr>
              <w:rFonts w:ascii="Cambria Math" w:hAnsi="Cambria Math"/>
              <w:sz w:val="24"/>
              <w:szCs w:val="24"/>
            </w:rPr>
            <m:t xml:space="preserve"> + 0.</m:t>
          </m:r>
          <m:r>
            <m:rPr/>
            <w:rPr>
              <w:rFonts w:hint="eastAsia" w:ascii="Cambria Math" w:hAnsi="Cambria Math"/>
              <w:sz w:val="24"/>
              <w:szCs w:val="24"/>
              <w:lang w:val="en-US" w:eastAsia="zh-CN"/>
            </w:rPr>
            <m:t>219</m:t>
          </m:r>
          <m:r>
            <m:rPr/>
            <w:rPr>
              <w:rFonts w:ascii="Cambria Math" w:hAnsi="Cambria Math"/>
              <w:sz w:val="24"/>
              <w:szCs w:val="24"/>
            </w:rPr>
            <m:t>P</m:t>
          </m:r>
          <m:sSub>
            <m:sSubPr>
              <m:ctrlPr>
                <w:rPr>
                  <w:rFonts w:ascii="Cambria Math" w:hAnsi="Cambria Math"/>
                  <w:i/>
                  <w:sz w:val="24"/>
                  <w:szCs w:val="24"/>
                </w:rPr>
              </m:ctrlPr>
            </m:sSubPr>
            <m:e>
              <m:r>
                <m:rPr/>
                <w:rPr>
                  <w:rFonts w:ascii="Cambria Math" w:hAnsi="Cambria Math"/>
                  <w:sz w:val="24"/>
                  <w:szCs w:val="24"/>
                </w:rPr>
                <m:t>E</m:t>
              </m:r>
              <m:ctrlPr>
                <w:rPr>
                  <w:rFonts w:ascii="Cambria Math" w:hAnsi="Cambria Math"/>
                  <w:i/>
                  <w:sz w:val="24"/>
                  <w:szCs w:val="24"/>
                </w:rPr>
              </m:ctrlPr>
            </m:e>
            <m:sub>
              <m:r>
                <m:rPr/>
                <w:rPr>
                  <w:rFonts w:ascii="Cambria Math" w:hAnsi="Cambria Math"/>
                  <w:sz w:val="24"/>
                  <w:szCs w:val="24"/>
                </w:rPr>
                <m:t>3</m:t>
              </m:r>
              <m:ctrlPr>
                <w:rPr>
                  <w:rFonts w:ascii="Cambria Math" w:hAnsi="Cambria Math"/>
                  <w:i/>
                  <w:sz w:val="24"/>
                  <w:szCs w:val="24"/>
                </w:rPr>
              </m:ctrlPr>
            </m:sub>
          </m:sSub>
          <m:r>
            <m:rPr/>
            <w:rPr>
              <w:rFonts w:ascii="Cambria Math" w:hAnsi="Cambria Math"/>
              <w:sz w:val="24"/>
              <w:szCs w:val="24"/>
            </w:rPr>
            <m:t xml:space="preserve"> +0.</m:t>
          </m:r>
          <m:r>
            <m:rPr/>
            <w:rPr>
              <w:rFonts w:hint="eastAsia" w:ascii="Cambria Math" w:hAnsi="Cambria Math"/>
              <w:sz w:val="24"/>
              <w:szCs w:val="24"/>
              <w:lang w:val="en-US" w:eastAsia="zh-CN"/>
            </w:rPr>
            <m:t>109</m:t>
          </m:r>
          <m:r>
            <m:rPr/>
            <w:rPr>
              <w:rFonts w:ascii="Cambria Math" w:hAnsi="Cambria Math"/>
              <w:sz w:val="24"/>
              <w:szCs w:val="24"/>
            </w:rPr>
            <m:t xml:space="preserve"> F</m:t>
          </m:r>
          <m:sSub>
            <m:sSubPr>
              <m:ctrlPr>
                <w:rPr>
                  <w:rFonts w:ascii="Cambria Math" w:hAnsi="Cambria Math"/>
                  <w:i/>
                  <w:sz w:val="24"/>
                  <w:szCs w:val="24"/>
                </w:rPr>
              </m:ctrlPr>
            </m:sSubPr>
            <m:e>
              <m:r>
                <m:rPr/>
                <w:rPr>
                  <w:rFonts w:ascii="Cambria Math" w:hAnsi="Cambria Math"/>
                  <w:sz w:val="24"/>
                  <w:szCs w:val="24"/>
                </w:rPr>
                <m:t>C</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oMath>
      </m:oMathPara>
    </w:p>
    <w:p>
      <w:pPr>
        <w:snapToGrid/>
        <w:spacing w:before="40" w:after="0" w:line="360" w:lineRule="auto"/>
        <w:jc w:val="center"/>
        <w:rPr>
          <w:rFonts w:ascii="Cambria Math" w:hAnsi="Cambria Math" w:eastAsia="等线" w:cs="Times New Roman"/>
          <w:i/>
          <w:color w:val="333333"/>
          <w:sz w:val="24"/>
          <w:szCs w:val="24"/>
        </w:rPr>
      </w:pPr>
      <m:oMathPara>
        <m:oMath>
          <m:r>
            <m:rPr/>
            <w:rPr>
              <w:rFonts w:ascii="Cambria Math" w:hAnsi="Cambria Math"/>
              <w:sz w:val="24"/>
              <w:szCs w:val="24"/>
            </w:rPr>
            <m:t xml:space="preserve"> +0.</m:t>
          </m:r>
          <m:r>
            <m:rPr/>
            <w:rPr>
              <w:rFonts w:hint="eastAsia" w:ascii="Cambria Math" w:hAnsi="Cambria Math"/>
              <w:sz w:val="24"/>
              <w:szCs w:val="24"/>
              <w:lang w:val="en-US" w:eastAsia="zh-CN"/>
            </w:rPr>
            <m:t>142</m:t>
          </m:r>
          <m:r>
            <m:rPr/>
            <w:rPr>
              <w:rFonts w:ascii="Cambria Math" w:hAnsi="Cambria Math"/>
              <w:sz w:val="24"/>
              <w:szCs w:val="24"/>
            </w:rPr>
            <m:t xml:space="preserve"> F</m:t>
          </m:r>
          <m:sSub>
            <m:sSubPr>
              <m:ctrlPr>
                <w:rPr>
                  <w:rFonts w:ascii="Cambria Math" w:hAnsi="Cambria Math"/>
                  <w:i/>
                  <w:sz w:val="24"/>
                  <w:szCs w:val="24"/>
                </w:rPr>
              </m:ctrlPr>
            </m:sSubPr>
            <m:e>
              <m:r>
                <m:rPr/>
                <w:rPr>
                  <w:rFonts w:ascii="Cambria Math" w:hAnsi="Cambria Math"/>
                  <w:sz w:val="24"/>
                  <w:szCs w:val="24"/>
                </w:rPr>
                <m:t>C</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r>
            <m:rPr/>
            <w:rPr>
              <w:rFonts w:ascii="Cambria Math" w:hAnsi="Cambria Math"/>
              <w:sz w:val="24"/>
              <w:szCs w:val="24"/>
            </w:rPr>
            <m:t xml:space="preserve"> +0.</m:t>
          </m:r>
          <m:r>
            <m:rPr/>
            <w:rPr>
              <w:rFonts w:hint="eastAsia" w:ascii="Cambria Math" w:hAnsi="Cambria Math"/>
              <w:sz w:val="24"/>
              <w:szCs w:val="24"/>
              <w:lang w:val="en-US" w:eastAsia="zh-CN"/>
            </w:rPr>
            <m:t>184</m:t>
          </m:r>
          <m:r>
            <m:rPr/>
            <w:rPr>
              <w:rFonts w:ascii="Cambria Math" w:hAnsi="Cambria Math"/>
              <w:sz w:val="24"/>
              <w:szCs w:val="24"/>
            </w:rPr>
            <m:t xml:space="preserve"> </m:t>
          </m:r>
          <m:r>
            <m:rPr/>
            <w:rPr>
              <w:rFonts w:hint="default" w:ascii="Cambria Math" w:hAnsi="Cambria Math"/>
              <w:sz w:val="24"/>
              <w:szCs w:val="24"/>
              <w:lang w:val="en-US" w:eastAsia="zh-CN"/>
            </w:rPr>
            <m:t>I</m:t>
          </m:r>
          <m:sSub>
            <m:sSubPr>
              <m:ctrlPr>
                <w:rPr>
                  <w:rFonts w:ascii="Cambria Math" w:hAnsi="Cambria Math"/>
                  <w:i/>
                  <w:sz w:val="24"/>
                  <w:szCs w:val="24"/>
                </w:rPr>
              </m:ctrlPr>
            </m:sSubPr>
            <m:e>
              <m:r>
                <m:rPr/>
                <w:rPr>
                  <w:rFonts w:hint="default" w:ascii="Cambria Math" w:hAnsi="Cambria Math"/>
                  <w:sz w:val="24"/>
                  <w:szCs w:val="24"/>
                  <w:lang w:val="en-US" w:eastAsia="zh-CN"/>
                </w:rPr>
                <m:t>Q</m:t>
              </m:r>
              <m:ctrlPr>
                <w:rPr>
                  <w:rFonts w:ascii="Cambria Math" w:hAnsi="Cambria Math"/>
                  <w:i/>
                  <w:sz w:val="24"/>
                  <w:szCs w:val="24"/>
                </w:rPr>
              </m:ctrlPr>
            </m:e>
            <m:sub>
              <m:r>
                <m:rPr/>
                <w:rPr>
                  <w:rFonts w:hint="eastAsia" w:ascii="Cambria Math" w:hAnsi="Cambria Math"/>
                  <w:sz w:val="24"/>
                  <w:szCs w:val="24"/>
                  <w:lang w:val="en-US" w:eastAsia="zh-CN"/>
                </w:rPr>
                <m:t>1</m:t>
              </m:r>
              <m:ctrlPr>
                <w:rPr>
                  <w:rFonts w:ascii="Cambria Math" w:hAnsi="Cambria Math"/>
                  <w:i/>
                  <w:sz w:val="24"/>
                  <w:szCs w:val="24"/>
                </w:rPr>
              </m:ctrlPr>
            </m:sub>
          </m:sSub>
          <m:r>
            <m:rPr/>
            <w:rPr>
              <w:rFonts w:ascii="Cambria Math" w:hAnsi="Cambria Math"/>
              <w:sz w:val="24"/>
              <w:szCs w:val="24"/>
            </w:rPr>
            <m:t xml:space="preserve"> </m:t>
          </m:r>
          <m:r>
            <m:rPr/>
            <w:rPr>
              <w:rFonts w:hint="eastAsia" w:ascii="Cambria Math" w:hAnsi="Cambria Math"/>
              <w:sz w:val="24"/>
              <w:szCs w:val="24"/>
              <w:lang w:val="en-US" w:eastAsia="zh-CN"/>
            </w:rPr>
            <m:t>+</m:t>
          </m:r>
          <m:r>
            <m:rPr/>
            <w:rPr>
              <w:rFonts w:ascii="Cambria Math" w:hAnsi="Cambria Math"/>
              <w:sz w:val="24"/>
              <w:szCs w:val="24"/>
            </w:rPr>
            <m:t>0.</m:t>
          </m:r>
          <m:r>
            <m:rPr/>
            <w:rPr>
              <w:rFonts w:hint="eastAsia" w:ascii="Cambria Math" w:hAnsi="Cambria Math"/>
              <w:sz w:val="24"/>
              <w:szCs w:val="24"/>
              <w:lang w:val="en-US" w:eastAsia="zh-CN"/>
            </w:rPr>
            <m:t>238</m:t>
          </m:r>
          <m:r>
            <m:rPr/>
            <w:rPr>
              <w:rFonts w:ascii="Cambria Math" w:hAnsi="Cambria Math"/>
              <w:sz w:val="24"/>
              <w:szCs w:val="24"/>
            </w:rPr>
            <m:t xml:space="preserve">  ⋯(2)</m:t>
          </m:r>
        </m:oMath>
      </m:oMathPara>
    </w:p>
    <w:p>
      <w:pPr>
        <w:snapToGrid/>
        <w:spacing w:before="40" w:after="0" w:line="360" w:lineRule="auto"/>
        <w:ind w:firstLine="560" w:firstLineChars="200"/>
        <w:jc w:val="both"/>
        <w:rPr>
          <w:rFonts w:ascii="Times New Roman" w:hAnsi="Times New Roman" w:eastAsia="仿宋" w:cs="Times New Roman"/>
          <w:color w:val="333333"/>
          <w:szCs w:val="22"/>
        </w:rPr>
      </w:pPr>
      <w:r>
        <w:rPr>
          <w:rFonts w:ascii="楷体" w:hAnsi="楷体" w:eastAsia="楷体" w:cs="楷体"/>
          <w:color w:val="000000"/>
          <w:sz w:val="28"/>
          <w:szCs w:val="22"/>
        </w:rPr>
        <w:t>通过计算，可知模型的</w:t>
      </w:r>
      <m:oMath>
        <m:r>
          <m:rPr/>
          <w:rPr>
            <w:rFonts w:ascii="Cambria Math" w:hAnsi="Cambria Math" w:eastAsia="楷体" w:cs="楷体"/>
            <w:color w:val="000000"/>
            <w:sz w:val="28"/>
          </w:rPr>
          <m:t>F</m:t>
        </m:r>
      </m:oMath>
      <w:r>
        <w:rPr>
          <w:rFonts w:ascii="楷体" w:hAnsi="楷体" w:eastAsia="楷体" w:cs="楷体"/>
          <w:color w:val="000000"/>
          <w:sz w:val="28"/>
          <w:szCs w:val="22"/>
        </w:rPr>
        <w:t>检验</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value</m:t>
            </m:r>
            <m:ctrlPr>
              <w:rPr>
                <w:rFonts w:ascii="Cambria Math" w:hAnsi="Cambria Math"/>
                <w:i/>
              </w:rPr>
            </m:ctrlPr>
          </m:sub>
        </m:sSub>
        <m:r>
          <m:rPr/>
          <w:rPr>
            <w:rFonts w:ascii="Cambria Math" w:hAnsi="Cambria Math"/>
          </w:rPr>
          <m:t>&lt;2.2×</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−16</m:t>
            </m:r>
            <m:ctrlPr>
              <w:rPr>
                <w:rFonts w:ascii="Cambria Math" w:hAnsi="Cambria Math"/>
                <w:i/>
              </w:rPr>
            </m:ctrlPr>
          </m:sup>
        </m:sSup>
      </m:oMath>
      <w:r>
        <w:rPr>
          <w:rFonts w:ascii="楷体" w:hAnsi="楷体" w:eastAsia="楷体" w:cs="楷体"/>
          <w:color w:val="000000"/>
          <w:sz w:val="28"/>
          <w:szCs w:val="22"/>
        </w:rPr>
        <w:t>，具有很强的统计显著性。模型</w:t>
      </w:r>
      <m:oMath>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adj</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=0.4</m:t>
        </m:r>
      </m:oMath>
      <w:r>
        <w:rPr>
          <w:rFonts w:ascii="楷体" w:hAnsi="楷体" w:eastAsia="楷体" w:cs="楷体"/>
          <w:color w:val="000000"/>
          <w:sz w:val="28"/>
          <w:szCs w:val="22"/>
        </w:rPr>
        <w:t>，</w:t>
      </w:r>
      <w:r>
        <w:rPr>
          <w:rFonts w:ascii="Times New Roman" w:hAnsi="Times New Roman" w:eastAsia="楷体" w:cs="楷体"/>
          <w:color w:val="000000"/>
          <w:sz w:val="28"/>
          <w:szCs w:val="22"/>
        </w:rPr>
        <w:t>具有一定的解释性。经检验，本模型亦通过其他残差检验等内容。对于回归分析中各解释变量的系数、t检验、p值及其对应变量含义详见下表3-3。</w:t>
      </w:r>
    </w:p>
    <w:p>
      <w:pPr>
        <w:widowControl w:val="0"/>
        <w:snapToGrid/>
        <w:spacing w:before="0" w:after="0" w:line="360" w:lineRule="auto"/>
        <w:ind w:firstLine="0" w:firstLineChars="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表3-3 回归分析结果</w:t>
      </w:r>
    </w:p>
    <w:tbl>
      <w:tblPr>
        <w:tblStyle w:val="3"/>
        <w:tblW w:w="5000" w:type="pct"/>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22"/>
        <w:gridCol w:w="4900"/>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tcBorders>
              <w:top w:val="single" w:color="auto" w:sz="18" w:space="0"/>
              <w:bottom w:val="single" w:color="auto" w:sz="4" w:space="0"/>
            </w:tcBorders>
            <w:vAlign w:val="center"/>
          </w:tcPr>
          <w:p>
            <w:pPr>
              <w:snapToGrid/>
              <w:spacing w:before="40" w:after="0" w:line="360" w:lineRule="auto"/>
              <w:jc w:val="center"/>
              <w:rPr>
                <w:rFonts w:ascii="宋体" w:hAnsi="宋体" w:eastAsia="宋体" w:cs="宋体"/>
                <w:b/>
                <w:bCs/>
                <w:color w:val="000000"/>
                <w:szCs w:val="22"/>
              </w:rPr>
            </w:pPr>
            <w:r>
              <w:rPr>
                <w:rFonts w:hint="eastAsia" w:ascii="宋体" w:hAnsi="宋体" w:eastAsia="宋体" w:cs="宋体"/>
                <w:b/>
                <w:bCs/>
                <w:color w:val="000000"/>
                <w:szCs w:val="22"/>
              </w:rPr>
              <w:t>变量</w:t>
            </w:r>
          </w:p>
        </w:tc>
        <w:tc>
          <w:tcPr>
            <w:tcW w:w="2874" w:type="pct"/>
            <w:tcBorders>
              <w:top w:val="single" w:color="auto" w:sz="18" w:space="0"/>
              <w:bottom w:val="single" w:color="auto" w:sz="4" w:space="0"/>
            </w:tcBorders>
            <w:vAlign w:val="center"/>
          </w:tcPr>
          <w:p>
            <w:pPr>
              <w:snapToGrid/>
              <w:spacing w:before="40" w:after="0" w:line="360" w:lineRule="auto"/>
              <w:jc w:val="center"/>
              <w:rPr>
                <w:rFonts w:ascii="宋体" w:hAnsi="宋体" w:eastAsia="宋体" w:cs="宋体"/>
                <w:b/>
                <w:bCs/>
                <w:color w:val="000000"/>
                <w:szCs w:val="22"/>
              </w:rPr>
            </w:pPr>
            <w:r>
              <w:rPr>
                <w:rFonts w:hint="eastAsia" w:ascii="宋体" w:hAnsi="宋体" w:eastAsia="宋体" w:cs="宋体"/>
                <w:b/>
                <w:bCs/>
                <w:color w:val="000000"/>
                <w:szCs w:val="22"/>
              </w:rPr>
              <w:t xml:space="preserve">逐步回归模型系数 </w:t>
            </w:r>
          </w:p>
          <w:p>
            <w:pPr>
              <w:snapToGrid/>
              <w:spacing w:before="40" w:after="0" w:line="360" w:lineRule="auto"/>
              <w:jc w:val="center"/>
              <w:rPr>
                <w:rFonts w:ascii="宋体" w:hAnsi="宋体" w:eastAsia="宋体" w:cs="宋体"/>
                <w:b/>
                <w:bCs/>
                <w:color w:val="000000"/>
                <w:szCs w:val="22"/>
              </w:rPr>
            </w:pPr>
            <w:r>
              <w:rPr>
                <w:rFonts w:hint="eastAsia" w:ascii="宋体" w:hAnsi="宋体" w:eastAsia="宋体" w:cs="宋体"/>
                <w:b/>
                <w:bCs/>
                <w:color w:val="000000"/>
                <w:szCs w:val="22"/>
              </w:rPr>
              <w:t>(标准差</w:t>
            </w:r>
            <w:r>
              <w:rPr>
                <w:rFonts w:ascii="宋体" w:hAnsi="宋体" w:eastAsia="宋体" w:cs="宋体"/>
                <w:b/>
                <w:bCs/>
                <w:color w:val="000000"/>
                <w:szCs w:val="22"/>
              </w:rPr>
              <w:t>)</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tcBorders>
              <w:top w:val="single" w:color="auto" w:sz="18" w:space="0"/>
              <w:bottom w:val="single" w:color="auto" w:sz="4" w:space="0"/>
            </w:tcBorders>
            <w:vAlign w:val="center"/>
          </w:tcPr>
          <w:p>
            <w:pPr>
              <w:snapToGrid/>
              <w:spacing w:before="40" w:after="0" w:line="360" w:lineRule="auto"/>
              <w:jc w:val="left"/>
              <w:rPr>
                <w:rFonts w:hint="default" w:ascii="宋体" w:hAnsi="宋体" w:eastAsia="宋体" w:cs="宋体"/>
                <w:b/>
                <w:bCs/>
                <w:color w:val="000000"/>
                <w:szCs w:val="22"/>
                <w:lang w:val="en-US" w:eastAsia="zh-CN"/>
              </w:rPr>
            </w:pPr>
            <w:r>
              <w:rPr>
                <w:rFonts w:hint="eastAsia" w:ascii="宋体" w:hAnsi="宋体" w:eastAsia="宋体" w:cs="宋体"/>
                <w:b/>
                <w:bCs/>
                <w:color w:val="000000"/>
                <w:szCs w:val="22"/>
                <w:lang w:val="en-US" w:eastAsia="zh-CN"/>
              </w:rPr>
              <w:t>Income_4</w:t>
            </w:r>
          </w:p>
        </w:tc>
        <w:tc>
          <w:tcPr>
            <w:tcW w:w="2874" w:type="pct"/>
            <w:tcBorders>
              <w:top w:val="single" w:color="auto" w:sz="18" w:space="0"/>
              <w:bottom w:val="single" w:color="auto" w:sz="4" w:space="0"/>
            </w:tcBorders>
            <w:vAlign w:val="center"/>
          </w:tcPr>
          <w:p>
            <w:pPr>
              <w:snapToGrid/>
              <w:spacing w:before="40" w:after="0" w:line="360" w:lineRule="auto"/>
              <w:jc w:val="center"/>
              <w:rPr>
                <w:rFonts w:hAnsi="Cambria Math" w:eastAsia="宋体" w:cs="宋体"/>
                <w:b/>
                <w:bCs/>
                <w:i w:val="0"/>
                <w:color w:val="000000"/>
                <w:sz w:val="22"/>
              </w:rPr>
            </w:pPr>
            <m:oMathPara>
              <m:oMath>
                <m:sSup>
                  <m:sSupPr>
                    <m:ctrlPr>
                      <w:rPr>
                        <w:rFonts w:ascii="Cambria Math" w:hAnsi="Cambria Math" w:eastAsia="宋体" w:cs="宋体"/>
                        <w:b/>
                        <w:bCs/>
                        <w:color w:val="000000"/>
                        <w:sz w:val="22"/>
                      </w:rPr>
                    </m:ctrlPr>
                  </m:sSupPr>
                  <m:e>
                    <m:r>
                      <m:rPr>
                        <m:sty m:val="b"/>
                      </m:rPr>
                      <w:rPr>
                        <w:rFonts w:hint="default" w:ascii="Cambria Math" w:hAnsi="Cambria Math" w:eastAsia="宋体" w:cs="宋体"/>
                        <w:color w:val="000000"/>
                        <w:sz w:val="22"/>
                        <w:lang w:val="en-US" w:eastAsia="zh-CN"/>
                      </w:rPr>
                      <m:t>−0.344</m:t>
                    </m:r>
                    <m:ctrlPr>
                      <w:rPr>
                        <w:rFonts w:ascii="Cambria Math" w:hAnsi="Cambria Math" w:eastAsia="宋体" w:cs="宋体"/>
                        <w:b/>
                        <w:bCs/>
                        <w:color w:val="000000"/>
                        <w:sz w:val="22"/>
                      </w:rPr>
                    </m:ctrlPr>
                  </m:e>
                  <m:sup>
                    <m:r>
                      <m:rPr>
                        <m:sty m:val="bi"/>
                      </m:rPr>
                      <w:rPr>
                        <w:rFonts w:ascii="Cambria Math" w:hAnsi="Cambria Math" w:eastAsia="宋体" w:cs="宋体"/>
                        <w:color w:val="000000"/>
                        <w:sz w:val="22"/>
                      </w:rPr>
                      <m:t>∗</m:t>
                    </m:r>
                    <m:r>
                      <m:rPr>
                        <m:sty m:val="bi"/>
                      </m:rPr>
                      <w:rPr>
                        <w:rFonts w:ascii="Cambria Math" w:hAnsi="Cambria Math" w:cs="宋体"/>
                        <w:color w:val="000000"/>
                        <w:sz w:val="22"/>
                      </w:rPr>
                      <m:t>∗</m:t>
                    </m:r>
                    <m:r>
                      <m:rPr>
                        <m:sty m:val="bi"/>
                      </m:rPr>
                      <w:rPr>
                        <w:rFonts w:ascii="Cambria Math" w:hAnsi="Cambria Math" w:eastAsia="宋体" w:cs="宋体"/>
                        <w:color w:val="000000"/>
                        <w:sz w:val="22"/>
                      </w:rPr>
                      <m:t>∗</m:t>
                    </m:r>
                    <m:ctrlPr>
                      <w:rPr>
                        <w:rFonts w:ascii="Cambria Math" w:hAnsi="Cambria Math" w:eastAsia="宋体" w:cs="宋体"/>
                        <w:b/>
                        <w:bCs/>
                        <w:color w:val="000000"/>
                        <w:sz w:val="22"/>
                      </w:rPr>
                    </m:ctrlPr>
                  </m:sup>
                </m:sSup>
              </m:oMath>
            </m:oMathPara>
          </w:p>
          <w:p>
            <w:pPr>
              <w:snapToGrid/>
              <w:spacing w:before="40" w:after="0" w:line="360" w:lineRule="auto"/>
              <w:jc w:val="center"/>
              <w:rPr>
                <w:rFonts w:hint="default" w:hAnsi="Cambria Math" w:eastAsia="宋体" w:cs="宋体"/>
                <w:b/>
                <w:bCs/>
                <w:i w:val="0"/>
                <w:color w:val="000000"/>
                <w:sz w:val="22"/>
                <w:lang w:val="en-US" w:eastAsia="zh-CN"/>
              </w:rPr>
            </w:pPr>
            <w:r>
              <w:rPr>
                <w:rFonts w:hint="eastAsia" w:hAnsi="Cambria Math" w:eastAsia="宋体" w:cs="宋体"/>
                <w:b/>
                <w:bCs/>
                <w:i w:val="0"/>
                <w:color w:val="000000"/>
                <w:sz w:val="22"/>
                <w:lang w:val="en-US" w:eastAsia="zh-CN"/>
              </w:rPr>
              <w:t>(0.128)</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7" w:hRule="atLeast"/>
          <w:jc w:val="center"/>
        </w:trPr>
        <w:tc>
          <w:tcPr>
            <w:tcW w:w="2125" w:type="pct"/>
            <w:tcBorders>
              <w:top w:val="single" w:color="auto" w:sz="4" w:space="0"/>
              <w:bottom w:val="nil"/>
            </w:tcBorders>
            <w:vAlign w:val="top"/>
          </w:tcPr>
          <w:p>
            <w:pPr>
              <w:snapToGrid/>
              <w:spacing w:before="40" w:after="0" w:line="360" w:lineRule="auto"/>
              <w:jc w:val="both"/>
              <w:rPr>
                <w:rFonts w:ascii="宋体" w:hAnsi="宋体" w:eastAsia="宋体" w:cs="宋体"/>
                <w:b/>
                <w:bCs/>
                <w:color w:val="000000"/>
                <w:szCs w:val="22"/>
              </w:rPr>
            </w:pPr>
            <w:r>
              <w:rPr>
                <w:rFonts w:hint="eastAsia" w:ascii="宋体" w:hAnsi="宋体" w:eastAsia="宋体" w:cs="宋体"/>
                <w:b/>
                <w:bCs/>
                <w:color w:val="000000"/>
                <w:szCs w:val="22"/>
              </w:rPr>
              <w:t>PE（表现期望）</w:t>
            </w:r>
          </w:p>
        </w:tc>
        <w:tc>
          <w:tcPr>
            <w:tcW w:w="2874" w:type="pct"/>
            <w:tcBorders>
              <w:top w:val="single" w:color="auto" w:sz="4" w:space="0"/>
              <w:bottom w:val="nil"/>
            </w:tcBorders>
            <w:vAlign w:val="center"/>
          </w:tcPr>
          <w:p>
            <w:pPr>
              <w:snapToGrid/>
              <w:spacing w:before="40" w:after="0" w:line="360" w:lineRule="auto"/>
              <w:jc w:val="center"/>
              <w:rPr>
                <w:rFonts w:ascii="宋体" w:hAnsi="宋体" w:eastAsia="宋体" w:cs="宋体"/>
                <w:b/>
                <w:bCs/>
                <w:color w:val="000000"/>
                <w:szCs w:val="22"/>
              </w:rPr>
            </w:pP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tcBorders>
              <w:top w:val="nil"/>
            </w:tcBorders>
            <w:vAlign w:val="top"/>
          </w:tcPr>
          <w:p>
            <w:pPr>
              <w:snapToGrid/>
              <w:spacing w:before="40" w:after="0" w:line="360" w:lineRule="auto"/>
              <w:jc w:val="both"/>
              <w:rPr>
                <w:rFonts w:ascii="Times New Roman" w:hAnsi="Times New Roman" w:eastAsia="宋体" w:cs="Times New Roman"/>
                <w:color w:val="000000"/>
                <w:szCs w:val="22"/>
              </w:rPr>
            </w:pPr>
            <w:r>
              <w:rPr>
                <w:rFonts w:ascii="Times New Roman" w:hAnsi="Times New Roman" w:eastAsia="宋体" w:cs="Times New Roman"/>
                <w:color w:val="000000"/>
                <w:szCs w:val="22"/>
              </w:rPr>
              <w:t>PE1</w:t>
            </w:r>
            <w:r>
              <w:rPr>
                <w:rFonts w:hint="eastAsia" w:ascii="Times New Roman" w:hAnsi="Times New Roman" w:eastAsia="宋体" w:cs="Times New Roman"/>
                <w:color w:val="000000"/>
                <w:szCs w:val="22"/>
              </w:rPr>
              <w:t>（对医疗健康信息的看重程度）</w:t>
            </w:r>
          </w:p>
        </w:tc>
        <w:tc>
          <w:tcPr>
            <w:tcW w:w="2874" w:type="pct"/>
            <w:tcBorders>
              <w:top w:val="nil"/>
            </w:tcBorders>
            <w:vAlign w:val="center"/>
          </w:tcPr>
          <w:p>
            <w:pPr>
              <w:snapToGrid/>
              <w:spacing w:before="40" w:after="0" w:line="360" w:lineRule="auto"/>
              <w:jc w:val="center"/>
              <w:rPr>
                <w:rFonts w:ascii="Times New Roman" w:hAnsi="Cambria Math" w:eastAsia="宋体" w:cs="宋体"/>
                <w:b/>
                <w:bCs/>
                <w:color w:val="000000"/>
                <w:sz w:val="22"/>
                <w:szCs w:val="22"/>
              </w:rPr>
            </w:pPr>
            <m:oMathPara>
              <m:oMath>
                <m:sSup>
                  <m:sSupPr>
                    <m:ctrlPr>
                      <w:rPr>
                        <w:rFonts w:ascii="Cambria Math" w:hAnsi="Cambria Math" w:eastAsia="宋体" w:cs="宋体"/>
                        <w:b/>
                        <w:bCs/>
                        <w:color w:val="000000"/>
                        <w:sz w:val="22"/>
                      </w:rPr>
                    </m:ctrlPr>
                  </m:sSupPr>
                  <m:e>
                    <m:r>
                      <m:rPr>
                        <m:sty m:val="b"/>
                      </m:rPr>
                      <w:rPr>
                        <w:rFonts w:hint="eastAsia" w:ascii="Cambria Math" w:hAnsi="Cambria Math" w:eastAsia="宋体" w:cs="宋体"/>
                        <w:color w:val="000000"/>
                      </w:rPr>
                      <m:t>0</m:t>
                    </m:r>
                    <m:r>
                      <m:rPr>
                        <m:sty m:val="b"/>
                      </m:rPr>
                      <w:rPr>
                        <w:rFonts w:ascii="Cambria Math" w:hAnsi="Cambria Math" w:eastAsia="宋体" w:cs="宋体"/>
                        <w:color w:val="000000"/>
                      </w:rPr>
                      <m:t>.</m:t>
                    </m:r>
                    <m:r>
                      <m:rPr>
                        <m:sty m:val="b"/>
                      </m:rPr>
                      <w:rPr>
                        <w:rFonts w:hint="default" w:ascii="Cambria Math" w:hAnsi="Cambria Math" w:eastAsia="宋体" w:cs="宋体"/>
                        <w:color w:val="000000"/>
                        <w:lang w:val="en-US" w:eastAsia="zh-CN"/>
                      </w:rPr>
                      <m:t>126</m:t>
                    </m:r>
                    <m:ctrlPr>
                      <w:rPr>
                        <w:rFonts w:ascii="Cambria Math" w:hAnsi="Cambria Math" w:eastAsia="宋体" w:cs="宋体"/>
                        <w:b/>
                        <w:bCs/>
                        <w:color w:val="000000"/>
                        <w:sz w:val="22"/>
                      </w:rPr>
                    </m:ctrlPr>
                  </m:e>
                  <m:sup>
                    <m:r>
                      <m:rPr>
                        <m:sty m:val="bi"/>
                      </m:rPr>
                      <w:rPr>
                        <w:rFonts w:ascii="Cambria Math" w:hAnsi="Cambria Math" w:eastAsia="宋体" w:cs="宋体"/>
                        <w:color w:val="000000"/>
                        <w:sz w:val="22"/>
                      </w:rPr>
                      <m:t>∗∗</m:t>
                    </m:r>
                    <m:ctrlPr>
                      <w:rPr>
                        <w:rFonts w:ascii="Cambria Math" w:hAnsi="Cambria Math" w:eastAsia="宋体" w:cs="宋体"/>
                        <w:b/>
                        <w:bCs/>
                        <w:color w:val="000000"/>
                        <w:sz w:val="22"/>
                      </w:rPr>
                    </m:ctrlPr>
                  </m:sup>
                </m:sSup>
              </m:oMath>
            </m:oMathPara>
          </w:p>
          <w:p>
            <w:pPr>
              <w:snapToGrid/>
              <w:spacing w:before="40" w:after="0" w:line="360" w:lineRule="auto"/>
              <w:jc w:val="center"/>
              <w:rPr>
                <w:rFonts w:ascii="宋体" w:hAnsi="宋体" w:eastAsia="宋体" w:cs="宋体"/>
                <w:b/>
                <w:bCs/>
                <w:color w:val="000000"/>
                <w:szCs w:val="22"/>
              </w:rPr>
            </w:pPr>
            <m:oMathPara>
              <m:oMath>
                <m:r>
                  <m:rPr>
                    <m:sty m:val="b"/>
                  </m:rPr>
                  <w:rPr>
                    <w:rFonts w:hint="eastAsia" w:ascii="Cambria Math" w:hAnsi="Cambria Math" w:eastAsia="宋体" w:cs="宋体"/>
                    <w:color w:val="000000"/>
                  </w:rPr>
                  <m:t>（0.0</m:t>
                </m:r>
                <m:r>
                  <m:rPr>
                    <m:sty m:val="b"/>
                  </m:rPr>
                  <w:rPr>
                    <w:rFonts w:hint="default" w:ascii="Cambria Math" w:hAnsi="Cambria Math" w:eastAsia="宋体" w:cs="宋体"/>
                    <w:color w:val="000000"/>
                    <w:lang w:val="en-US" w:eastAsia="zh-CN"/>
                  </w:rPr>
                  <m:t>43</m:t>
                </m:r>
                <m:r>
                  <m:rPr>
                    <m:sty m:val="b"/>
                  </m:rPr>
                  <w:rPr>
                    <w:rFonts w:hint="eastAsia" w:ascii="Cambria Math" w:hAnsi="Cambria Math" w:eastAsia="宋体" w:cs="宋体"/>
                    <w:color w:val="000000"/>
                  </w:rPr>
                  <m:t>）</m:t>
                </m:r>
              </m:oMath>
            </m:oMathPara>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vAlign w:val="top"/>
          </w:tcPr>
          <w:p>
            <w:pPr>
              <w:snapToGrid/>
              <w:spacing w:before="40" w:after="0" w:line="360" w:lineRule="auto"/>
              <w:ind w:left="420" w:hanging="420" w:hangingChars="200"/>
              <w:jc w:val="both"/>
              <w:rPr>
                <w:rFonts w:ascii="Times New Roman" w:hAnsi="Times New Roman" w:eastAsia="宋体" w:cs="Times New Roman"/>
                <w:color w:val="000000"/>
                <w:szCs w:val="22"/>
              </w:rPr>
            </w:pPr>
            <w:r>
              <w:rPr>
                <w:rFonts w:ascii="Times New Roman" w:hAnsi="Times New Roman" w:eastAsia="宋体" w:cs="Times New Roman"/>
                <w:color w:val="000000"/>
                <w:szCs w:val="22"/>
              </w:rPr>
              <w:t>PE2</w:t>
            </w:r>
            <w:r>
              <w:rPr>
                <w:rFonts w:hint="eastAsia" w:ascii="Times New Roman" w:hAnsi="Times New Roman" w:eastAsia="宋体" w:cs="Times New Roman"/>
                <w:color w:val="000000"/>
                <w:szCs w:val="22"/>
              </w:rPr>
              <w:t>（对在线诊疗能够提升自己身体健康的看重程度）</w:t>
            </w:r>
          </w:p>
        </w:tc>
        <w:tc>
          <w:tcPr>
            <w:tcW w:w="2874" w:type="pct"/>
            <w:vAlign w:val="center"/>
          </w:tcPr>
          <w:p>
            <w:pPr>
              <w:snapToGrid/>
              <w:spacing w:before="40" w:after="0" w:line="360" w:lineRule="auto"/>
              <w:jc w:val="center"/>
              <w:rPr>
                <w:rFonts w:ascii="Times New Roman" w:hAnsi="Cambria Math" w:eastAsia="宋体" w:cs="宋体"/>
                <w:b/>
                <w:color w:val="000000"/>
                <w:szCs w:val="22"/>
              </w:rPr>
            </w:pPr>
            <m:oMathPara>
              <m:oMath>
                <m:r>
                  <m:rPr>
                    <m:sty m:val="b"/>
                  </m:rPr>
                  <w:rPr>
                    <w:rFonts w:hint="eastAsia" w:ascii="Cambria Math" w:hAnsi="Cambria Math" w:eastAsia="宋体" w:cs="宋体"/>
                    <w:color w:val="000000"/>
                  </w:rPr>
                  <m:t>0.</m:t>
                </m:r>
                <m:r>
                  <m:rPr>
                    <m:sty m:val="b"/>
                  </m:rPr>
                  <w:rPr>
                    <w:rFonts w:hint="default" w:ascii="Cambria Math" w:hAnsi="Cambria Math" w:eastAsia="宋体" w:cs="宋体"/>
                    <w:color w:val="000000"/>
                    <w:lang w:val="en-US" w:eastAsia="zh-CN"/>
                  </w:rPr>
                  <m:t>2</m:t>
                </m:r>
                <m:r>
                  <m:rPr>
                    <m:sty m:val="b"/>
                  </m:rPr>
                  <w:rPr>
                    <w:rFonts w:hint="eastAsia" w:ascii="Cambria Math" w:hAnsi="Cambria Math" w:eastAsia="宋体" w:cs="宋体"/>
                    <w:color w:val="000000"/>
                  </w:rPr>
                  <m:t>0</m:t>
                </m:r>
                <m:sSup>
                  <m:sSupPr>
                    <m:ctrlPr>
                      <w:rPr>
                        <w:rFonts w:ascii="Cambria Math" w:hAnsi="Cambria Math" w:eastAsia="宋体" w:cs="宋体"/>
                        <w:b/>
                        <w:color w:val="000000"/>
                      </w:rPr>
                    </m:ctrlPr>
                  </m:sSupPr>
                  <m:e>
                    <m:r>
                      <m:rPr>
                        <m:sty m:val="b"/>
                      </m:rPr>
                      <w:rPr>
                        <w:rFonts w:hint="default" w:ascii="Cambria Math" w:hAnsi="Cambria Math" w:eastAsia="宋体" w:cs="宋体"/>
                        <w:color w:val="000000"/>
                        <w:lang w:val="en-US" w:eastAsia="zh-CN"/>
                      </w:rPr>
                      <m:t>5</m:t>
                    </m:r>
                    <m:ctrlPr>
                      <w:rPr>
                        <w:rFonts w:hint="eastAsia" w:ascii="Cambria Math" w:hAnsi="Cambria Math" w:eastAsia="宋体" w:cs="宋体"/>
                        <w:b/>
                        <w:color w:val="000000"/>
                      </w:rPr>
                    </m:ctrlPr>
                  </m:e>
                  <m:sup>
                    <m:r>
                      <m:rPr>
                        <m:sty m:val="b"/>
                      </m:rPr>
                      <w:rPr>
                        <w:rFonts w:ascii="Cambria Math" w:hAnsi="Cambria Math" w:eastAsia="宋体" w:cs="宋体"/>
                        <w:color w:val="000000"/>
                      </w:rPr>
                      <m:t>∗</m:t>
                    </m:r>
                    <m:r>
                      <m:rPr>
                        <m:sty m:val="b"/>
                      </m:rPr>
                      <w:rPr>
                        <w:rFonts w:ascii="Cambria Math" w:hAnsi="Cambria Math" w:cs="宋体"/>
                        <w:color w:val="000000"/>
                      </w:rPr>
                      <m:t>∗∗</m:t>
                    </m:r>
                    <m:ctrlPr>
                      <w:rPr>
                        <w:rFonts w:ascii="Cambria Math" w:hAnsi="Cambria Math" w:eastAsia="宋体" w:cs="宋体"/>
                        <w:b/>
                        <w:color w:val="000000"/>
                      </w:rPr>
                    </m:ctrlPr>
                  </m:sup>
                </m:sSup>
              </m:oMath>
            </m:oMathPara>
          </w:p>
          <w:p>
            <w:pPr>
              <w:snapToGrid/>
              <w:spacing w:before="40" w:after="0" w:line="360" w:lineRule="auto"/>
              <w:jc w:val="center"/>
              <w:rPr>
                <w:rFonts w:ascii="Cambria Math" w:hAnsi="Cambria Math" w:eastAsia="宋体" w:cs="宋体"/>
                <w:color w:val="000000"/>
                <w:szCs w:val="22"/>
                <w:oMath/>
              </w:rPr>
            </w:pPr>
            <m:oMathPara>
              <m:oMath>
                <m:r>
                  <m:rPr>
                    <m:sty m:val="b"/>
                  </m:rPr>
                  <w:rPr>
                    <w:rFonts w:hint="eastAsia" w:ascii="Cambria Math" w:hAnsi="Cambria Math" w:eastAsia="宋体" w:cs="宋体"/>
                    <w:color w:val="000000"/>
                  </w:rPr>
                  <m:t>（0.0</m:t>
                </m:r>
                <m:r>
                  <m:rPr>
                    <m:sty m:val="b"/>
                  </m:rPr>
                  <w:rPr>
                    <w:rFonts w:hint="default" w:ascii="Cambria Math" w:hAnsi="Cambria Math" w:eastAsia="宋体" w:cs="宋体"/>
                    <w:color w:val="000000"/>
                    <w:lang w:val="en-US" w:eastAsia="zh-CN"/>
                  </w:rPr>
                  <m:t>38</m:t>
                </m:r>
                <m:r>
                  <m:rPr>
                    <m:sty m:val="b"/>
                  </m:rPr>
                  <w:rPr>
                    <w:rFonts w:hint="eastAsia" w:ascii="Cambria Math" w:hAnsi="Cambria Math" w:eastAsia="宋体" w:cs="宋体"/>
                    <w:color w:val="000000"/>
                  </w:rPr>
                  <m:t>）</m:t>
                </m:r>
              </m:oMath>
            </m:oMathPara>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vAlign w:val="top"/>
          </w:tcPr>
          <w:p>
            <w:pPr>
              <w:snapToGrid/>
              <w:spacing w:before="40" w:after="0" w:line="360" w:lineRule="auto"/>
              <w:jc w:val="both"/>
              <w:rPr>
                <w:rFonts w:ascii="Times New Roman" w:hAnsi="Times New Roman" w:eastAsia="宋体" w:cs="Times New Roman"/>
                <w:color w:val="000000"/>
                <w:szCs w:val="22"/>
              </w:rPr>
            </w:pPr>
            <w:r>
              <w:rPr>
                <w:rFonts w:ascii="Times New Roman" w:hAnsi="Times New Roman" w:eastAsia="宋体" w:cs="Times New Roman"/>
                <w:color w:val="000000"/>
                <w:szCs w:val="22"/>
              </w:rPr>
              <w:t>PE3</w:t>
            </w:r>
            <w:r>
              <w:rPr>
                <w:rFonts w:hint="eastAsia" w:ascii="Times New Roman" w:hAnsi="Times New Roman" w:eastAsia="宋体" w:cs="Times New Roman"/>
                <w:color w:val="000000"/>
                <w:szCs w:val="22"/>
              </w:rPr>
              <w:t>（对在线诊疗快捷性的看重程度）</w:t>
            </w:r>
          </w:p>
        </w:tc>
        <w:tc>
          <w:tcPr>
            <w:tcW w:w="2874" w:type="pct"/>
            <w:vAlign w:val="center"/>
          </w:tcPr>
          <w:p>
            <w:pPr>
              <w:snapToGrid/>
              <w:spacing w:before="40" w:after="0" w:line="360" w:lineRule="auto"/>
              <w:jc w:val="center"/>
              <w:rPr>
                <w:rFonts w:ascii="Times New Roman" w:hAnsi="Cambria Math" w:eastAsia="宋体" w:cs="宋体"/>
                <w:b/>
                <w:bCs/>
                <w:color w:val="000000"/>
                <w:szCs w:val="22"/>
              </w:rPr>
            </w:pPr>
            <m:oMathPara>
              <m:oMath>
                <m:sSup>
                  <m:sSupPr>
                    <m:ctrlPr>
                      <w:rPr>
                        <w:rFonts w:ascii="Cambria Math" w:hAnsi="Cambria Math" w:eastAsia="宋体" w:cs="宋体"/>
                        <w:b/>
                        <w:bCs/>
                        <w:color w:val="000000"/>
                      </w:rPr>
                    </m:ctrlPr>
                  </m:sSupPr>
                  <m:e>
                    <m:r>
                      <m:rPr>
                        <m:sty m:val="b"/>
                      </m:rPr>
                      <w:rPr>
                        <w:rFonts w:hint="eastAsia" w:ascii="Cambria Math" w:hAnsi="Cambria Math" w:eastAsia="宋体" w:cs="宋体"/>
                        <w:color w:val="000000"/>
                      </w:rPr>
                      <m:t>0.</m:t>
                    </m:r>
                    <m:r>
                      <m:rPr>
                        <m:sty m:val="b"/>
                      </m:rPr>
                      <w:rPr>
                        <w:rFonts w:hint="default" w:ascii="Cambria Math" w:hAnsi="Cambria Math" w:eastAsia="宋体" w:cs="宋体"/>
                        <w:color w:val="000000"/>
                        <w:lang w:val="en-US" w:eastAsia="zh-CN"/>
                      </w:rPr>
                      <m:t>219</m:t>
                    </m:r>
                    <m:ctrlPr>
                      <w:rPr>
                        <w:rFonts w:hint="eastAsia" w:ascii="Cambria Math" w:hAnsi="Cambria Math" w:eastAsia="宋体" w:cs="宋体"/>
                        <w:b/>
                        <w:bCs/>
                        <w:color w:val="000000"/>
                      </w:rPr>
                    </m:ctrlPr>
                  </m:e>
                  <m:sup>
                    <m:r>
                      <m:rPr>
                        <m:sty m:val="bi"/>
                      </m:rPr>
                      <w:rPr>
                        <w:rFonts w:ascii="Cambria Math" w:hAnsi="Cambria Math" w:eastAsia="宋体" w:cs="宋体"/>
                        <w:color w:val="000000"/>
                      </w:rPr>
                      <m:t>∗</m:t>
                    </m:r>
                    <m:r>
                      <m:rPr>
                        <m:sty m:val="bi"/>
                      </m:rPr>
                      <w:rPr>
                        <w:rFonts w:ascii="Cambria Math" w:hAnsi="Cambria Math" w:cs="宋体"/>
                        <w:color w:val="000000"/>
                      </w:rPr>
                      <m:t>∗</m:t>
                    </m:r>
                    <m:r>
                      <m:rPr>
                        <m:sty m:val="bi"/>
                      </m:rPr>
                      <w:rPr>
                        <w:rFonts w:ascii="Cambria Math" w:hAnsi="Cambria Math" w:eastAsia="宋体" w:cs="宋体"/>
                        <w:color w:val="000000"/>
                      </w:rPr>
                      <m:t>∗</m:t>
                    </m:r>
                    <m:ctrlPr>
                      <w:rPr>
                        <w:rFonts w:ascii="Cambria Math" w:hAnsi="Cambria Math" w:eastAsia="宋体" w:cs="宋体"/>
                        <w:b/>
                        <w:bCs/>
                        <w:color w:val="000000"/>
                      </w:rPr>
                    </m:ctrlPr>
                  </m:sup>
                </m:sSup>
              </m:oMath>
            </m:oMathPara>
          </w:p>
          <w:p>
            <w:pPr>
              <w:snapToGrid/>
              <w:spacing w:before="40" w:after="0" w:line="360" w:lineRule="auto"/>
              <w:jc w:val="center"/>
              <w:rPr>
                <w:rFonts w:ascii="宋体" w:hAnsi="宋体" w:eastAsia="宋体" w:cs="宋体"/>
                <w:b/>
                <w:bCs/>
                <w:color w:val="000000"/>
                <w:szCs w:val="22"/>
              </w:rPr>
            </w:pPr>
            <m:oMathPara>
              <m:oMath>
                <m:r>
                  <m:rPr>
                    <m:sty m:val="b"/>
                  </m:rPr>
                  <w:rPr>
                    <w:rFonts w:hint="eastAsia" w:ascii="Cambria Math" w:hAnsi="Cambria Math" w:eastAsia="宋体" w:cs="宋体"/>
                    <w:color w:val="000000"/>
                  </w:rPr>
                  <m:t>（0.0</m:t>
                </m:r>
                <m:r>
                  <m:rPr>
                    <m:sty m:val="b"/>
                  </m:rPr>
                  <w:rPr>
                    <w:rFonts w:hint="default" w:ascii="Cambria Math" w:hAnsi="Cambria Math" w:eastAsia="宋体" w:cs="宋体"/>
                    <w:color w:val="000000"/>
                    <w:lang w:val="en-US" w:eastAsia="zh-CN"/>
                  </w:rPr>
                  <m:t>41</m:t>
                </m:r>
                <m:r>
                  <m:rPr>
                    <m:sty m:val="b"/>
                  </m:rPr>
                  <w:rPr>
                    <w:rFonts w:hint="eastAsia" w:ascii="Cambria Math" w:hAnsi="Cambria Math" w:eastAsia="宋体" w:cs="宋体"/>
                    <w:color w:val="000000"/>
                  </w:rPr>
                  <m:t>）</m:t>
                </m:r>
              </m:oMath>
            </m:oMathPara>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vAlign w:val="top"/>
          </w:tcPr>
          <w:p>
            <w:pPr>
              <w:snapToGrid/>
              <w:spacing w:before="40" w:after="0" w:line="360" w:lineRule="auto"/>
              <w:jc w:val="both"/>
              <w:rPr>
                <w:rFonts w:ascii="宋体" w:hAnsi="宋体" w:eastAsia="宋体" w:cs="宋体"/>
                <w:b/>
                <w:bCs/>
                <w:color w:val="000000"/>
                <w:szCs w:val="22"/>
              </w:rPr>
            </w:pPr>
            <w:r>
              <w:rPr>
                <w:rFonts w:hint="eastAsia" w:ascii="宋体" w:hAnsi="宋体" w:eastAsia="宋体" w:cs="宋体"/>
                <w:b/>
                <w:bCs/>
                <w:color w:val="000000"/>
                <w:szCs w:val="22"/>
              </w:rPr>
              <w:t>FC（能动条件）</w:t>
            </w:r>
          </w:p>
        </w:tc>
        <w:tc>
          <w:tcPr>
            <w:tcW w:w="2874" w:type="pct"/>
            <w:vAlign w:val="center"/>
          </w:tcPr>
          <w:p>
            <w:pPr>
              <w:snapToGrid/>
              <w:spacing w:before="40" w:after="0" w:line="360" w:lineRule="auto"/>
              <w:jc w:val="center"/>
              <w:rPr>
                <w:rFonts w:ascii="Cambria Math" w:hAnsi="Cambria Math" w:eastAsia="宋体" w:cs="宋体"/>
                <w:color w:val="000000"/>
                <w:szCs w:val="22"/>
                <w:oMath/>
              </w:rPr>
            </w:pP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vAlign w:val="top"/>
          </w:tcPr>
          <w:p>
            <w:pPr>
              <w:snapToGrid/>
              <w:spacing w:before="40" w:after="0" w:line="360" w:lineRule="auto"/>
              <w:ind w:left="420" w:hanging="420" w:hangingChars="200"/>
              <w:jc w:val="both"/>
              <w:rPr>
                <w:rFonts w:ascii="Times New Roman" w:hAnsi="Times New Roman" w:eastAsia="宋体" w:cs="Times New Roman"/>
                <w:color w:val="000000"/>
                <w:szCs w:val="22"/>
              </w:rPr>
            </w:pPr>
            <w:r>
              <w:rPr>
                <w:rFonts w:ascii="Times New Roman" w:hAnsi="Times New Roman" w:eastAsia="宋体" w:cs="Times New Roman"/>
                <w:color w:val="000000"/>
                <w:szCs w:val="22"/>
              </w:rPr>
              <w:t>FC1</w:t>
            </w:r>
            <w:r>
              <w:rPr>
                <w:rFonts w:hint="eastAsia" w:ascii="Times New Roman" w:hAnsi="Times New Roman" w:eastAsia="宋体" w:cs="Times New Roman"/>
                <w:color w:val="000000"/>
                <w:szCs w:val="22"/>
              </w:rPr>
              <w:t>（具备使用在线诊疗能力的重要性）</w:t>
            </w:r>
          </w:p>
        </w:tc>
        <w:tc>
          <w:tcPr>
            <w:tcW w:w="2874" w:type="pct"/>
            <w:vAlign w:val="center"/>
          </w:tcPr>
          <w:p>
            <w:pPr>
              <w:snapToGrid/>
              <w:spacing w:before="40" w:after="0" w:line="360" w:lineRule="auto"/>
              <w:jc w:val="center"/>
              <w:rPr>
                <w:rFonts w:ascii="Times New Roman" w:hAnsi="Cambria Math" w:eastAsia="宋体" w:cs="宋体"/>
                <w:b/>
                <w:bCs/>
                <w:color w:val="000000"/>
                <w:szCs w:val="22"/>
              </w:rPr>
            </w:pPr>
            <m:oMathPara>
              <m:oMath>
                <m:sSup>
                  <m:sSupPr>
                    <m:ctrlPr>
                      <w:rPr>
                        <w:rFonts w:ascii="Cambria Math" w:hAnsi="Cambria Math" w:eastAsia="宋体" w:cs="宋体"/>
                        <w:b/>
                        <w:bCs/>
                        <w:color w:val="000000"/>
                      </w:rPr>
                    </m:ctrlPr>
                  </m:sSupPr>
                  <m:e>
                    <m:r>
                      <m:rPr>
                        <m:sty m:val="b"/>
                      </m:rPr>
                      <w:rPr>
                        <w:rFonts w:hint="eastAsia" w:ascii="Cambria Math" w:hAnsi="Cambria Math" w:eastAsia="宋体" w:cs="宋体"/>
                        <w:color w:val="000000"/>
                      </w:rPr>
                      <m:t>0.1</m:t>
                    </m:r>
                    <m:r>
                      <m:rPr>
                        <m:sty m:val="b"/>
                      </m:rPr>
                      <w:rPr>
                        <w:rFonts w:hint="default" w:ascii="Cambria Math" w:hAnsi="Cambria Math" w:eastAsia="宋体" w:cs="宋体"/>
                        <w:color w:val="000000"/>
                        <w:lang w:val="en-US" w:eastAsia="zh-CN"/>
                      </w:rPr>
                      <m:t>09</m:t>
                    </m:r>
                    <m:ctrlPr>
                      <w:rPr>
                        <w:rFonts w:hint="eastAsia" w:ascii="Cambria Math" w:hAnsi="Cambria Math" w:eastAsia="宋体" w:cs="宋体"/>
                        <w:b/>
                        <w:bCs/>
                        <w:color w:val="000000"/>
                      </w:rPr>
                    </m:ctrlPr>
                  </m:e>
                  <m:sup>
                    <m:r>
                      <m:rPr>
                        <m:sty m:val="bi"/>
                      </m:rPr>
                      <w:rPr>
                        <w:rFonts w:ascii="Cambria Math" w:hAnsi="Cambria Math" w:eastAsia="宋体" w:cs="宋体"/>
                        <w:color w:val="000000"/>
                      </w:rPr>
                      <m:t>∗∗</m:t>
                    </m:r>
                    <m:ctrlPr>
                      <w:rPr>
                        <w:rFonts w:ascii="Cambria Math" w:hAnsi="Cambria Math" w:eastAsia="宋体" w:cs="宋体"/>
                        <w:b/>
                        <w:bCs/>
                        <w:color w:val="000000"/>
                      </w:rPr>
                    </m:ctrlPr>
                  </m:sup>
                </m:sSup>
              </m:oMath>
            </m:oMathPara>
          </w:p>
          <w:p>
            <w:pPr>
              <w:snapToGrid/>
              <w:spacing w:before="40" w:after="0" w:line="360" w:lineRule="auto"/>
              <w:jc w:val="center"/>
              <w:rPr>
                <w:rFonts w:ascii="宋体" w:hAnsi="宋体" w:eastAsia="宋体" w:cs="宋体"/>
                <w:b/>
                <w:bCs/>
                <w:color w:val="000000"/>
                <w:szCs w:val="22"/>
              </w:rPr>
            </w:pPr>
            <m:oMathPara>
              <m:oMath>
                <m:r>
                  <m:rPr>
                    <m:sty m:val="b"/>
                  </m:rPr>
                  <w:rPr>
                    <w:rFonts w:hint="eastAsia" w:ascii="Cambria Math" w:hAnsi="Cambria Math" w:eastAsia="宋体" w:cs="宋体"/>
                    <w:color w:val="000000"/>
                  </w:rPr>
                  <m:t>（0.0</m:t>
                </m:r>
                <m:r>
                  <m:rPr>
                    <m:sty m:val="b"/>
                  </m:rPr>
                  <w:rPr>
                    <w:rFonts w:hint="default" w:ascii="Cambria Math" w:hAnsi="Cambria Math" w:eastAsia="宋体" w:cs="宋体"/>
                    <w:color w:val="000000"/>
                    <w:lang w:val="en-US" w:eastAsia="zh-CN"/>
                  </w:rPr>
                  <m:t>41</m:t>
                </m:r>
                <m:r>
                  <m:rPr>
                    <m:sty m:val="b"/>
                  </m:rPr>
                  <w:rPr>
                    <w:rFonts w:hint="eastAsia" w:ascii="Cambria Math" w:hAnsi="Cambria Math" w:eastAsia="宋体" w:cs="宋体"/>
                    <w:color w:val="000000"/>
                  </w:rPr>
                  <m:t>）</m:t>
                </m:r>
              </m:oMath>
            </m:oMathPara>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vAlign w:val="top"/>
          </w:tcPr>
          <w:p>
            <w:pPr>
              <w:snapToGrid/>
              <w:spacing w:before="40" w:after="0" w:line="360" w:lineRule="auto"/>
              <w:jc w:val="both"/>
              <w:rPr>
                <w:rFonts w:ascii="Times New Roman" w:hAnsi="Times New Roman" w:eastAsia="宋体" w:cs="Times New Roman"/>
                <w:color w:val="000000"/>
                <w:szCs w:val="22"/>
              </w:rPr>
            </w:pPr>
            <w:r>
              <w:rPr>
                <w:rFonts w:ascii="Times New Roman" w:hAnsi="Times New Roman" w:eastAsia="宋体" w:cs="Times New Roman"/>
                <w:color w:val="000000"/>
                <w:szCs w:val="22"/>
              </w:rPr>
              <w:t>FC2</w:t>
            </w:r>
            <w:r>
              <w:rPr>
                <w:rFonts w:hint="eastAsia" w:ascii="Times New Roman" w:hAnsi="Times New Roman" w:eastAsia="宋体" w:cs="Times New Roman"/>
                <w:color w:val="000000"/>
                <w:szCs w:val="22"/>
              </w:rPr>
              <w:t>（具备使用硬件的重要性）</w:t>
            </w:r>
          </w:p>
        </w:tc>
        <w:tc>
          <w:tcPr>
            <w:tcW w:w="2874" w:type="pct"/>
            <w:vAlign w:val="center"/>
          </w:tcPr>
          <w:p>
            <w:pPr>
              <w:snapToGrid/>
              <w:spacing w:before="40" w:after="0" w:line="360" w:lineRule="auto"/>
              <w:jc w:val="center"/>
              <w:rPr>
                <w:rFonts w:hint="eastAsia" w:ascii="Times New Roman" w:hAnsi="Cambria Math" w:eastAsia="宋体" w:cs="宋体"/>
                <w:b/>
                <w:color w:val="000000"/>
                <w:szCs w:val="22"/>
                <w:lang w:eastAsia="zh-CN"/>
              </w:rPr>
            </w:pPr>
            <m:oMathPara>
              <m:oMath>
                <m:r>
                  <m:rPr>
                    <m:sty m:val="b"/>
                  </m:rPr>
                  <w:rPr>
                    <w:rFonts w:hint="eastAsia" w:ascii="Cambria Math" w:hAnsi="Cambria Math" w:eastAsia="宋体" w:cs="宋体"/>
                    <w:color w:val="000000"/>
                  </w:rPr>
                  <m:t>0.</m:t>
                </m:r>
                <m:sSup>
                  <m:sSupPr>
                    <m:ctrlPr>
                      <w:rPr>
                        <w:rFonts w:hint="eastAsia" w:ascii="Cambria Math" w:hAnsi="Cambria Math" w:eastAsia="宋体" w:cs="宋体"/>
                        <w:b/>
                        <w:color w:val="000000"/>
                      </w:rPr>
                    </m:ctrlPr>
                  </m:sSupPr>
                  <m:e>
                    <m:r>
                      <m:rPr>
                        <m:sty m:val="b"/>
                      </m:rPr>
                      <w:rPr>
                        <w:rFonts w:hint="default" w:ascii="Cambria Math" w:hAnsi="Cambria Math" w:eastAsia="宋体" w:cs="宋体"/>
                        <w:color w:val="000000"/>
                        <w:lang w:val="en-US" w:eastAsia="zh-CN"/>
                      </w:rPr>
                      <m:t>142</m:t>
                    </m:r>
                    <m:ctrlPr>
                      <w:rPr>
                        <w:rFonts w:hint="eastAsia" w:ascii="Cambria Math" w:hAnsi="Cambria Math" w:eastAsia="宋体" w:cs="宋体"/>
                        <w:b/>
                        <w:color w:val="000000"/>
                      </w:rPr>
                    </m:ctrlPr>
                  </m:e>
                  <m:sup>
                    <m:r>
                      <m:rPr>
                        <m:sty m:val="b"/>
                      </m:rPr>
                      <w:rPr>
                        <w:rFonts w:ascii="Cambria Math" w:hAnsi="Cambria Math" w:cs="宋体"/>
                        <w:color w:val="000000"/>
                      </w:rPr>
                      <m:t>∗∗∗</m:t>
                    </m:r>
                    <m:ctrlPr>
                      <w:rPr>
                        <w:rFonts w:hint="eastAsia" w:ascii="Cambria Math" w:hAnsi="Cambria Math" w:eastAsia="宋体" w:cs="宋体"/>
                        <w:b/>
                        <w:color w:val="000000"/>
                      </w:rPr>
                    </m:ctrlPr>
                  </m:sup>
                </m:sSup>
              </m:oMath>
            </m:oMathPara>
          </w:p>
          <w:p>
            <w:pPr>
              <w:snapToGrid/>
              <w:spacing w:before="40" w:after="0" w:line="360" w:lineRule="auto"/>
              <w:jc w:val="center"/>
              <w:rPr>
                <w:rFonts w:ascii="Cambria Math" w:hAnsi="Cambria Math" w:eastAsia="宋体" w:cs="宋体"/>
                <w:color w:val="000000"/>
                <w:szCs w:val="22"/>
                <w:oMath/>
              </w:rPr>
            </w:pPr>
            <m:oMathPara>
              <m:oMath>
                <m:r>
                  <m:rPr>
                    <m:sty m:val="b"/>
                  </m:rPr>
                  <w:rPr>
                    <w:rFonts w:hint="eastAsia" w:ascii="Cambria Math" w:hAnsi="Cambria Math" w:eastAsia="宋体" w:cs="宋体"/>
                    <w:color w:val="000000"/>
                  </w:rPr>
                  <m:t>（0.0</m:t>
                </m:r>
                <m:r>
                  <m:rPr>
                    <m:sty m:val="b"/>
                  </m:rPr>
                  <w:rPr>
                    <w:rFonts w:hint="default" w:ascii="Cambria Math" w:hAnsi="Cambria Math" w:eastAsia="宋体" w:cs="宋体"/>
                    <w:color w:val="000000"/>
                    <w:lang w:val="en-US" w:eastAsia="zh-CN"/>
                  </w:rPr>
                  <m:t>38</m:t>
                </m:r>
                <m:r>
                  <m:rPr>
                    <m:sty m:val="b"/>
                  </m:rPr>
                  <w:rPr>
                    <w:rFonts w:hint="eastAsia" w:ascii="Cambria Math" w:hAnsi="Cambria Math" w:eastAsia="宋体" w:cs="宋体"/>
                    <w:color w:val="000000"/>
                  </w:rPr>
                  <m:t>）</m:t>
                </m:r>
              </m:oMath>
            </m:oMathPara>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vAlign w:val="top"/>
          </w:tcPr>
          <w:p>
            <w:pPr>
              <w:snapToGrid/>
              <w:spacing w:before="40" w:after="0" w:line="360" w:lineRule="auto"/>
              <w:jc w:val="both"/>
              <w:rPr>
                <w:rFonts w:ascii="宋体" w:hAnsi="宋体" w:eastAsia="宋体" w:cs="宋体"/>
                <w:b/>
                <w:bCs/>
                <w:color w:val="000000"/>
                <w:szCs w:val="22"/>
              </w:rPr>
            </w:pPr>
            <w:r>
              <w:rPr>
                <w:rFonts w:hint="eastAsia" w:ascii="宋体" w:hAnsi="宋体" w:eastAsia="宋体" w:cs="宋体"/>
                <w:b/>
                <w:bCs/>
                <w:color w:val="000000"/>
                <w:szCs w:val="22"/>
                <w:lang w:val="en-US" w:eastAsia="zh-CN"/>
              </w:rPr>
              <w:t>IQ</w:t>
            </w:r>
            <w:r>
              <w:rPr>
                <w:rFonts w:hint="eastAsia" w:ascii="宋体" w:hAnsi="宋体" w:eastAsia="宋体" w:cs="宋体"/>
                <w:b/>
                <w:bCs/>
                <w:color w:val="000000"/>
                <w:szCs w:val="22"/>
              </w:rPr>
              <w:t>（</w:t>
            </w:r>
            <w:r>
              <w:rPr>
                <w:rFonts w:hint="eastAsia" w:ascii="宋体" w:hAnsi="宋体" w:eastAsia="宋体" w:cs="宋体"/>
                <w:b/>
                <w:bCs/>
                <w:color w:val="000000"/>
                <w:szCs w:val="22"/>
                <w:lang w:val="en-US" w:eastAsia="zh-CN"/>
              </w:rPr>
              <w:t>信息质量</w:t>
            </w:r>
            <w:r>
              <w:rPr>
                <w:rFonts w:hint="eastAsia" w:ascii="宋体" w:hAnsi="宋体" w:eastAsia="宋体" w:cs="宋体"/>
                <w:b/>
                <w:bCs/>
                <w:color w:val="000000"/>
                <w:szCs w:val="22"/>
              </w:rPr>
              <w:t>）</w:t>
            </w:r>
          </w:p>
        </w:tc>
        <w:tc>
          <w:tcPr>
            <w:tcW w:w="2874" w:type="pct"/>
            <w:vAlign w:val="center"/>
          </w:tcPr>
          <w:p>
            <w:pPr>
              <w:snapToGrid/>
              <w:spacing w:before="40" w:after="0" w:line="360" w:lineRule="auto"/>
              <w:jc w:val="center"/>
              <w:rPr>
                <w:rFonts w:ascii="Cambria Math" w:hAnsi="Cambria Math" w:eastAsia="宋体" w:cs="宋体"/>
                <w:color w:val="000000"/>
                <w:szCs w:val="22"/>
                <w:oMath/>
              </w:rPr>
            </w:pP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5" w:type="pct"/>
            <w:vAlign w:val="top"/>
          </w:tcPr>
          <w:p>
            <w:pPr>
              <w:snapToGrid/>
              <w:spacing w:before="40" w:after="0" w:line="360" w:lineRule="auto"/>
              <w:ind w:left="420" w:hanging="420" w:hangingChars="200"/>
              <w:jc w:val="both"/>
              <w:rPr>
                <w:rFonts w:ascii="Times New Roman" w:hAnsi="Times New Roman" w:eastAsia="宋体" w:cs="Times New Roman"/>
                <w:color w:val="000000"/>
                <w:szCs w:val="22"/>
              </w:rPr>
            </w:pPr>
            <w:r>
              <w:rPr>
                <w:rFonts w:hint="eastAsia" w:ascii="Times New Roman" w:hAnsi="Times New Roman" w:eastAsia="宋体" w:cs="Times New Roman"/>
                <w:color w:val="000000"/>
                <w:szCs w:val="22"/>
                <w:lang w:val="en-US" w:eastAsia="zh-CN"/>
              </w:rPr>
              <w:t>IQ1</w:t>
            </w:r>
            <w:r>
              <w:rPr>
                <w:rFonts w:hint="eastAsia" w:ascii="Times New Roman" w:hAnsi="Times New Roman" w:eastAsia="宋体" w:cs="Times New Roman"/>
                <w:color w:val="000000"/>
                <w:szCs w:val="22"/>
              </w:rPr>
              <w:t>（</w:t>
            </w:r>
            <w:r>
              <w:rPr>
                <w:rFonts w:hint="eastAsia" w:ascii="Times New Roman" w:hAnsi="Times New Roman" w:eastAsia="宋体" w:cs="Times New Roman"/>
                <w:color w:val="000000"/>
                <w:szCs w:val="22"/>
                <w:lang w:val="en-US" w:eastAsia="zh-CN"/>
              </w:rPr>
              <w:t>平台提供信息的准确性、真实性</w:t>
            </w:r>
            <w:r>
              <w:rPr>
                <w:rFonts w:hint="eastAsia" w:ascii="Times New Roman" w:hAnsi="Times New Roman" w:eastAsia="宋体" w:cs="Times New Roman"/>
                <w:color w:val="000000"/>
                <w:szCs w:val="22"/>
              </w:rPr>
              <w:t>）</w:t>
            </w:r>
          </w:p>
        </w:tc>
        <w:tc>
          <w:tcPr>
            <w:tcW w:w="2874" w:type="pct"/>
            <w:vAlign w:val="center"/>
          </w:tcPr>
          <w:p>
            <w:pPr>
              <w:snapToGrid/>
              <w:spacing w:before="40" w:after="0" w:line="360" w:lineRule="auto"/>
              <w:jc w:val="center"/>
              <w:rPr>
                <w:rFonts w:hint="eastAsia" w:ascii="Times New Roman" w:hAnsi="Cambria Math" w:eastAsia="宋体" w:cs="宋体"/>
                <w:b/>
                <w:color w:val="000000"/>
                <w:szCs w:val="22"/>
                <w:lang w:eastAsia="zh-CN"/>
              </w:rPr>
            </w:pPr>
            <m:oMathPara>
              <m:oMath>
                <m:r>
                  <m:rPr>
                    <m:sty m:val="b"/>
                  </m:rPr>
                  <w:rPr>
                    <w:rFonts w:hint="eastAsia" w:ascii="Cambria Math" w:hAnsi="Cambria Math" w:eastAsia="宋体" w:cs="宋体"/>
                    <w:color w:val="000000"/>
                  </w:rPr>
                  <m:t>0.</m:t>
                </m:r>
                <m:sSup>
                  <m:sSupPr>
                    <m:ctrlPr>
                      <w:rPr>
                        <w:rFonts w:hint="eastAsia" w:ascii="Cambria Math" w:hAnsi="Cambria Math" w:eastAsia="宋体" w:cs="宋体"/>
                        <w:b/>
                        <w:color w:val="000000"/>
                      </w:rPr>
                    </m:ctrlPr>
                  </m:sSupPr>
                  <m:e>
                    <m:r>
                      <m:rPr>
                        <m:sty m:val="b"/>
                      </m:rPr>
                      <w:rPr>
                        <w:rFonts w:hint="default" w:ascii="Cambria Math" w:hAnsi="Cambria Math" w:eastAsia="宋体" w:cs="宋体"/>
                        <w:color w:val="000000"/>
                        <w:lang w:val="en-US" w:eastAsia="zh-CN"/>
                      </w:rPr>
                      <m:t>184</m:t>
                    </m:r>
                    <m:ctrlPr>
                      <w:rPr>
                        <w:rFonts w:hint="eastAsia" w:ascii="Cambria Math" w:hAnsi="Cambria Math" w:eastAsia="宋体" w:cs="宋体"/>
                        <w:b/>
                        <w:color w:val="000000"/>
                      </w:rPr>
                    </m:ctrlPr>
                  </m:e>
                  <m:sup>
                    <m:r>
                      <m:rPr>
                        <m:sty m:val="b"/>
                      </m:rPr>
                      <w:rPr>
                        <w:rFonts w:ascii="Cambria Math" w:hAnsi="Cambria Math" w:cs="宋体"/>
                        <w:color w:val="000000"/>
                      </w:rPr>
                      <m:t>∗∗∗</m:t>
                    </m:r>
                    <m:ctrlPr>
                      <w:rPr>
                        <w:rFonts w:hint="eastAsia" w:ascii="Cambria Math" w:hAnsi="Cambria Math" w:eastAsia="宋体" w:cs="宋体"/>
                        <w:b/>
                        <w:color w:val="000000"/>
                      </w:rPr>
                    </m:ctrlPr>
                  </m:sup>
                </m:sSup>
              </m:oMath>
            </m:oMathPara>
          </w:p>
          <w:p>
            <w:pPr>
              <w:snapToGrid/>
              <w:spacing w:before="40" w:after="0" w:line="360" w:lineRule="auto"/>
              <w:jc w:val="center"/>
              <w:rPr>
                <w:rFonts w:ascii="Cambria Math" w:hAnsi="Cambria Math" w:eastAsia="宋体" w:cs="宋体"/>
                <w:color w:val="000000"/>
                <w:szCs w:val="22"/>
                <w:oMath/>
              </w:rPr>
            </w:pPr>
            <m:oMathPara>
              <m:oMath>
                <m:r>
                  <m:rPr>
                    <m:sty m:val="b"/>
                  </m:rPr>
                  <w:rPr>
                    <w:rFonts w:hint="eastAsia" w:ascii="Cambria Math" w:hAnsi="Cambria Math" w:eastAsia="宋体" w:cs="宋体"/>
                    <w:color w:val="000000"/>
                  </w:rPr>
                  <m:t>（0.0</m:t>
                </m:r>
                <m:r>
                  <m:rPr>
                    <m:sty m:val="b"/>
                  </m:rPr>
                  <w:rPr>
                    <w:rFonts w:hint="default" w:ascii="Cambria Math" w:hAnsi="Cambria Math" w:eastAsia="宋体" w:cs="宋体"/>
                    <w:color w:val="000000"/>
                    <w:lang w:val="en-US" w:eastAsia="zh-CN"/>
                  </w:rPr>
                  <m:t>45</m:t>
                </m:r>
                <m:r>
                  <m:rPr>
                    <m:sty m:val="b"/>
                  </m:rPr>
                  <w:rPr>
                    <w:rFonts w:hint="eastAsia" w:ascii="Cambria Math" w:hAnsi="Cambria Math" w:eastAsia="宋体" w:cs="宋体"/>
                    <w:color w:val="000000"/>
                  </w:rPr>
                  <m:t>）</m:t>
                </m:r>
              </m:oMath>
            </m:oMathPara>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gridSpan w:val="2"/>
            <w:tcBorders>
              <w:top w:val="single" w:color="auto" w:sz="18" w:space="0"/>
              <w:bottom w:val="nil"/>
            </w:tcBorders>
            <w:vAlign w:val="center"/>
          </w:tcPr>
          <w:p>
            <w:pPr>
              <w:widowControl w:val="0"/>
              <w:snapToGrid/>
              <w:spacing w:before="0" w:after="0" w:line="360" w:lineRule="auto"/>
              <w:ind w:firstLine="0" w:firstLineChars="0"/>
              <w:jc w:val="left"/>
              <w:rPr>
                <w:rFonts w:ascii="仿宋" w:hAnsi="仿宋" w:eastAsia="仿宋" w:cs="楷体"/>
                <w:color w:val="000000"/>
                <w:kern w:val="2"/>
                <w:sz w:val="21"/>
                <w:szCs w:val="20"/>
                <w:lang w:val="en-US" w:eastAsia="zh-CN" w:bidi="ar-SA"/>
              </w:rPr>
            </w:pPr>
            <w:r>
              <w:rPr>
                <w:rFonts w:hint="eastAsia" w:ascii="仿宋" w:hAnsi="仿宋" w:eastAsia="仿宋" w:cs="楷体"/>
                <w:color w:val="000000"/>
                <w:kern w:val="2"/>
                <w:sz w:val="21"/>
                <w:szCs w:val="20"/>
                <w:lang w:val="en-US" w:eastAsia="zh-CN" w:bidi="ar-SA"/>
              </w:rPr>
              <w:t>注：(</w:t>
            </w:r>
            <w:r>
              <w:rPr>
                <w:rFonts w:ascii="仿宋" w:hAnsi="仿宋" w:eastAsia="仿宋" w:cs="楷体"/>
                <w:color w:val="000000"/>
                <w:kern w:val="2"/>
                <w:sz w:val="21"/>
                <w:szCs w:val="20"/>
                <w:lang w:val="en-US" w:eastAsia="zh-CN" w:bidi="ar-SA"/>
              </w:rPr>
              <w:t xml:space="preserve">1) </w:t>
            </w:r>
            <w:r>
              <w:rPr>
                <w:rFonts w:hint="eastAsia" w:ascii="仿宋" w:hAnsi="仿宋" w:eastAsia="仿宋" w:cs="楷体"/>
                <w:color w:val="000000"/>
                <w:kern w:val="2"/>
                <w:sz w:val="21"/>
                <w:szCs w:val="20"/>
                <w:lang w:val="en-US" w:eastAsia="zh-CN" w:bidi="ar-SA"/>
              </w:rPr>
              <w:t>Income_4表示月收入较高的群体，月收入在5000——10000之间，P</w:t>
            </w:r>
            <w:r>
              <w:rPr>
                <w:rFonts w:ascii="仿宋" w:hAnsi="仿宋" w:eastAsia="仿宋" w:cs="楷体"/>
                <w:color w:val="000000"/>
                <w:kern w:val="2"/>
                <w:sz w:val="21"/>
                <w:szCs w:val="20"/>
                <w:lang w:val="en-US" w:eastAsia="zh-CN" w:bidi="ar-SA"/>
              </w:rPr>
              <w:t>E1</w:t>
            </w:r>
            <w:r>
              <w:rPr>
                <w:rFonts w:hint="eastAsia" w:ascii="仿宋" w:hAnsi="仿宋" w:eastAsia="仿宋" w:cs="楷体"/>
                <w:color w:val="000000"/>
                <w:kern w:val="2"/>
                <w:sz w:val="21"/>
                <w:szCs w:val="20"/>
                <w:lang w:val="en-US" w:eastAsia="zh-CN" w:bidi="ar-SA"/>
              </w:rPr>
              <w:t>表示患者对医疗健康信息的看重程度；P</w:t>
            </w:r>
            <w:r>
              <w:rPr>
                <w:rFonts w:ascii="仿宋" w:hAnsi="仿宋" w:eastAsia="仿宋" w:cs="楷体"/>
                <w:color w:val="000000"/>
                <w:kern w:val="2"/>
                <w:sz w:val="21"/>
                <w:szCs w:val="20"/>
                <w:lang w:val="en-US" w:eastAsia="zh-CN" w:bidi="ar-SA"/>
              </w:rPr>
              <w:t>E2</w:t>
            </w:r>
            <w:r>
              <w:rPr>
                <w:rFonts w:hint="eastAsia" w:ascii="仿宋" w:hAnsi="仿宋" w:eastAsia="仿宋" w:cs="楷体"/>
                <w:color w:val="000000"/>
                <w:kern w:val="2"/>
                <w:sz w:val="21"/>
                <w:szCs w:val="20"/>
                <w:lang w:val="en-US" w:eastAsia="zh-CN" w:bidi="ar-SA"/>
              </w:rPr>
              <w:t>表示患者对在线诊疗能够提升自己身体健康的看重程度；PE3表示患者对在线诊疗的快捷性的看重程度；FC1表示患者具备使用在线诊疗的能力的重要性；FC2表示患者具备使用硬件的重要性；IQ1表示平台提供信息的准确、真实性(</w:t>
            </w:r>
            <w:r>
              <w:rPr>
                <w:rFonts w:ascii="仿宋" w:hAnsi="仿宋" w:eastAsia="仿宋" w:cs="楷体"/>
                <w:color w:val="000000"/>
                <w:kern w:val="2"/>
                <w:sz w:val="21"/>
                <w:szCs w:val="20"/>
                <w:lang w:val="en-US" w:eastAsia="zh-CN" w:bidi="ar-SA"/>
              </w:rPr>
              <w:t xml:space="preserve">2) </w:t>
            </w:r>
            <m:oMath>
              <m:r>
                <m:rPr>
                  <m:sty m:val="p"/>
                </m:rPr>
                <w:rPr>
                  <w:rFonts w:ascii="Cambria Math" w:hAnsi="Cambria Math" w:eastAsia="仿宋"/>
                  <w:sz w:val="21"/>
                  <w:szCs w:val="20"/>
                </w:rPr>
                <m:t>∗, ∗∗, ∗∗∗</m:t>
              </m:r>
            </m:oMath>
            <w:r>
              <w:rPr>
                <w:rFonts w:hint="eastAsia" w:ascii="仿宋" w:hAnsi="仿宋" w:eastAsia="仿宋" w:cs="楷体"/>
                <w:color w:val="000000"/>
                <w:kern w:val="2"/>
                <w:sz w:val="21"/>
                <w:szCs w:val="20"/>
                <w:lang w:val="en-US" w:eastAsia="zh-CN" w:bidi="ar-SA"/>
              </w:rPr>
              <w:t xml:space="preserve"> 分别表示5%，1%，0.1%的显著性水平。</w:t>
            </w:r>
          </w:p>
        </w:tc>
      </w:tr>
    </w:tbl>
    <w:p>
      <w:pPr>
        <w:snapToGrid/>
        <w:spacing w:before="0" w:after="0" w:line="240" w:lineRule="auto"/>
        <w:jc w:val="left"/>
        <w:rPr>
          <w:rFonts w:ascii="Times New Roman" w:hAnsi="Times New Roman" w:eastAsia="仿宋" w:cs="Times New Roman"/>
          <w:color w:val="333333"/>
          <w:szCs w:val="22"/>
        </w:rPr>
      </w:pPr>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2"/>
          <w:lang w:val="en-US" w:eastAsia="zh-CN" w:bidi="ar-SA"/>
        </w:rPr>
      </w:pPr>
      <w:bookmarkStart w:id="12" w:name="_Toc130161128"/>
      <w:r>
        <w:rPr>
          <w:rFonts w:hint="eastAsia" w:ascii="楷体" w:hAnsi="楷体" w:eastAsia="楷体" w:cs="Times New Roman"/>
          <w:b/>
          <w:bCs/>
          <w:color w:val="1A1A1A"/>
          <w:kern w:val="2"/>
          <w:sz w:val="28"/>
          <w:szCs w:val="22"/>
          <w:lang w:val="en-US" w:eastAsia="zh-CN" w:bidi="ar-SA"/>
        </w:rPr>
        <w:t>3</w:t>
      </w:r>
      <w:r>
        <w:rPr>
          <w:rFonts w:ascii="楷体" w:hAnsi="楷体" w:eastAsia="楷体" w:cs="Times New Roman"/>
          <w:b/>
          <w:bCs/>
          <w:color w:val="1A1A1A"/>
          <w:kern w:val="2"/>
          <w:sz w:val="28"/>
          <w:szCs w:val="22"/>
          <w:lang w:val="en-US" w:eastAsia="zh-CN" w:bidi="ar-SA"/>
        </w:rPr>
        <w:t>) 模型结果解读</w:t>
      </w:r>
      <w:bookmarkEnd w:id="12"/>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通过t检验p值筛去了Gender</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Age</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Education</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Work</w:t>
      </w:r>
      <w:r>
        <w:rPr>
          <w:rFonts w:hint="eastAsia" w:ascii="Times New Roman" w:hAnsi="Times New Roman" w:eastAsia="楷体" w:cs="楷体"/>
          <w:color w:val="000000"/>
          <w:kern w:val="2"/>
          <w:sz w:val="28"/>
          <w:szCs w:val="22"/>
          <w:lang w:val="en-US" w:eastAsia="zh-CN" w:bidi="ar-SA"/>
        </w:rPr>
        <w:t>四</w:t>
      </w:r>
      <w:r>
        <w:rPr>
          <w:rFonts w:ascii="Times New Roman" w:hAnsi="Times New Roman" w:eastAsia="楷体" w:cs="楷体"/>
          <w:color w:val="000000"/>
          <w:kern w:val="2"/>
          <w:sz w:val="28"/>
          <w:szCs w:val="22"/>
          <w:lang w:val="en-US" w:eastAsia="zh-CN" w:bidi="ar-SA"/>
        </w:rPr>
        <w:t>个分类变量，说明不同性别、不同年龄段、受教育程度、职业</w:t>
      </w:r>
      <w:r>
        <w:rPr>
          <w:rFonts w:hint="eastAsia" w:ascii="Times New Roman" w:hAnsi="Times New Roman" w:eastAsia="楷体" w:cs="楷体"/>
          <w:color w:val="000000"/>
          <w:kern w:val="2"/>
          <w:sz w:val="28"/>
          <w:szCs w:val="22"/>
          <w:lang w:val="en-US" w:eastAsia="zh-CN" w:bidi="ar-SA"/>
        </w:rPr>
        <w:t>并不</w:t>
      </w:r>
      <w:r>
        <w:rPr>
          <w:rFonts w:ascii="Times New Roman" w:hAnsi="Times New Roman" w:eastAsia="楷体" w:cs="楷体"/>
          <w:color w:val="000000"/>
          <w:kern w:val="2"/>
          <w:sz w:val="28"/>
          <w:szCs w:val="22"/>
          <w:lang w:val="en-US" w:eastAsia="zh-CN" w:bidi="ar-SA"/>
        </w:rPr>
        <w:t>能显著影响在线诊疗服务的使用意愿，这是由于在线诊疗的使用者众多，且分布较为均匀，故普遍表现出使用线上诊疗服务的意愿。</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在初始选择的11个有序多分类变量中，IQ2，IQ3，FC3，被剔除，其对在线诊疗使用意愿解释程度不高。其中服务信息</w:t>
      </w:r>
      <w:r>
        <w:rPr>
          <w:rFonts w:hint="eastAsia" w:ascii="Times New Roman" w:hAnsi="Times New Roman" w:eastAsia="楷体" w:cs="楷体"/>
          <w:color w:val="000000"/>
          <w:kern w:val="2"/>
          <w:sz w:val="28"/>
          <w:szCs w:val="22"/>
          <w:lang w:val="en-US" w:eastAsia="zh-CN" w:bidi="ar-SA"/>
        </w:rPr>
        <w:t>的专业性和时效性指标被剔除</w:t>
      </w:r>
      <w:r>
        <w:rPr>
          <w:rFonts w:ascii="Times New Roman" w:hAnsi="Times New Roman" w:eastAsia="楷体" w:cs="楷体"/>
          <w:color w:val="000000"/>
          <w:kern w:val="2"/>
          <w:sz w:val="28"/>
          <w:szCs w:val="22"/>
          <w:lang w:val="en-US" w:eastAsia="zh-CN" w:bidi="ar-SA"/>
        </w:rPr>
        <w:t>，这可能是由于当下在线医疗仍处于发展阶段，在线问诊平台的信息质量的权威性缺少政策支持和保障，</w:t>
      </w:r>
      <w:r>
        <w:rPr>
          <w:rFonts w:hint="eastAsia" w:ascii="Times New Roman" w:hAnsi="Times New Roman" w:eastAsia="楷体" w:cs="楷体"/>
          <w:color w:val="000000"/>
          <w:kern w:val="2"/>
          <w:sz w:val="28"/>
          <w:szCs w:val="22"/>
          <w:lang w:val="en-US" w:eastAsia="zh-CN" w:bidi="ar-SA"/>
        </w:rPr>
        <w:t>同时平台使用普及性不强，所提供信息无法即时提供给潜在用户，</w:t>
      </w:r>
      <w:r>
        <w:rPr>
          <w:rFonts w:ascii="Times New Roman" w:hAnsi="Times New Roman" w:eastAsia="楷体" w:cs="楷体"/>
          <w:color w:val="000000"/>
          <w:kern w:val="2"/>
          <w:sz w:val="28"/>
          <w:szCs w:val="22"/>
          <w:lang w:val="en-US" w:eastAsia="zh-CN" w:bidi="ar-SA"/>
        </w:rPr>
        <w:t>用户</w:t>
      </w:r>
      <w:r>
        <w:rPr>
          <w:rFonts w:hint="eastAsia" w:ascii="Times New Roman" w:hAnsi="Times New Roman" w:eastAsia="楷体" w:cs="楷体"/>
          <w:color w:val="000000"/>
          <w:kern w:val="2"/>
          <w:sz w:val="28"/>
          <w:szCs w:val="22"/>
          <w:lang w:val="en-US" w:eastAsia="zh-CN" w:bidi="ar-SA"/>
        </w:rPr>
        <w:t>整体</w:t>
      </w:r>
      <w:r>
        <w:rPr>
          <w:rFonts w:ascii="Times New Roman" w:hAnsi="Times New Roman" w:eastAsia="楷体" w:cs="楷体"/>
          <w:color w:val="000000"/>
          <w:kern w:val="2"/>
          <w:sz w:val="28"/>
          <w:szCs w:val="22"/>
          <w:lang w:val="en-US" w:eastAsia="zh-CN" w:bidi="ar-SA"/>
        </w:rPr>
        <w:t>处于不信任的阶段</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故该指标无法显著解释其使用意愿。</w:t>
      </w:r>
    </w:p>
    <w:p>
      <w:pPr>
        <w:widowControl w:val="0"/>
        <w:snapToGrid/>
        <w:spacing w:before="0" w:after="0" w:line="360" w:lineRule="auto"/>
        <w:ind w:firstLine="560" w:firstLineChars="200"/>
        <w:jc w:val="both"/>
        <w:rPr>
          <w:rFonts w:hint="default"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同时，模型整体解释程度较高，可解释在线诊疗使用意愿</w:t>
      </w:r>
      <w:r>
        <w:rPr>
          <w:rFonts w:hint="eastAsia" w:ascii="Times New Roman" w:hAnsi="Times New Roman" w:eastAsia="楷体" w:cs="楷体"/>
          <w:color w:val="000000"/>
          <w:kern w:val="2"/>
          <w:sz w:val="28"/>
          <w:szCs w:val="22"/>
          <w:lang w:val="en-US" w:eastAsia="zh-CN" w:bidi="ar-SA"/>
        </w:rPr>
        <w:t>40</w:t>
      </w:r>
      <w:r>
        <w:rPr>
          <w:rFonts w:ascii="Times New Roman" w:hAnsi="Times New Roman" w:eastAsia="楷体" w:cs="楷体"/>
          <w:color w:val="000000"/>
          <w:kern w:val="2"/>
          <w:sz w:val="28"/>
          <w:szCs w:val="22"/>
          <w:lang w:val="en-US" w:eastAsia="zh-CN" w:bidi="ar-SA"/>
        </w:rPr>
        <w:t>%的信息，其中</w:t>
      </w:r>
      <w:r>
        <w:rPr>
          <w:rFonts w:hint="eastAsia" w:ascii="Times New Roman" w:hAnsi="Times New Roman" w:eastAsia="楷体" w:cs="楷体"/>
          <w:color w:val="000000"/>
          <w:kern w:val="2"/>
          <w:sz w:val="28"/>
          <w:szCs w:val="22"/>
          <w:lang w:val="en-US" w:eastAsia="zh-CN" w:bidi="ar-SA"/>
        </w:rPr>
        <w:t>Income_4对使用意愿影响程度最大</w:t>
      </w:r>
      <w:r>
        <w:rPr>
          <w:rFonts w:ascii="Times New Roman" w:hAnsi="Times New Roman" w:eastAsia="楷体" w:cs="楷体"/>
          <w:color w:val="000000"/>
          <w:kern w:val="2"/>
          <w:sz w:val="28"/>
          <w:szCs w:val="22"/>
          <w:lang w:val="en-US" w:eastAsia="zh-CN" w:bidi="ar-SA"/>
        </w:rPr>
        <w:t>，其次是</w:t>
      </w:r>
      <w:r>
        <w:rPr>
          <w:rFonts w:hint="eastAsia" w:ascii="Times New Roman" w:hAnsi="Times New Roman" w:eastAsia="楷体" w:cs="楷体"/>
          <w:color w:val="000000"/>
          <w:kern w:val="2"/>
          <w:sz w:val="28"/>
          <w:szCs w:val="22"/>
          <w:lang w:val="en-US" w:eastAsia="zh-CN" w:bidi="ar-SA"/>
        </w:rPr>
        <w:t>PE</w:t>
      </w:r>
      <w:r>
        <w:rPr>
          <w:rFonts w:ascii="Times New Roman" w:hAnsi="Times New Roman" w:eastAsia="楷体" w:cs="楷体"/>
          <w:color w:val="000000"/>
          <w:kern w:val="2"/>
          <w:sz w:val="28"/>
          <w:szCs w:val="22"/>
          <w:lang w:val="en-US" w:eastAsia="zh-CN" w:bidi="ar-SA"/>
        </w:rPr>
        <w:t>3、P</w:t>
      </w:r>
      <w:r>
        <w:rPr>
          <w:rFonts w:hint="eastAsia" w:ascii="Times New Roman" w:hAnsi="Times New Roman" w:eastAsia="楷体" w:cs="楷体"/>
          <w:color w:val="000000"/>
          <w:kern w:val="2"/>
          <w:sz w:val="28"/>
          <w:szCs w:val="22"/>
          <w:lang w:val="en-US" w:eastAsia="zh-CN" w:bidi="ar-SA"/>
        </w:rPr>
        <w:t>E2</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IQ</w:t>
      </w:r>
      <w:r>
        <w:rPr>
          <w:rFonts w:ascii="Times New Roman" w:hAnsi="Times New Roman" w:eastAsia="楷体" w:cs="楷体"/>
          <w:color w:val="000000"/>
          <w:kern w:val="2"/>
          <w:sz w:val="28"/>
          <w:szCs w:val="22"/>
          <w:lang w:val="en-US" w:eastAsia="zh-CN" w:bidi="ar-SA"/>
        </w:rPr>
        <w:t>1、</w:t>
      </w:r>
      <w:r>
        <w:rPr>
          <w:rFonts w:hint="eastAsia" w:ascii="Times New Roman" w:hAnsi="Times New Roman" w:eastAsia="楷体" w:cs="楷体"/>
          <w:color w:val="000000"/>
          <w:kern w:val="2"/>
          <w:sz w:val="28"/>
          <w:szCs w:val="22"/>
          <w:lang w:val="en-US" w:eastAsia="zh-CN" w:bidi="ar-SA"/>
        </w:rPr>
        <w:t>FC</w:t>
      </w:r>
      <w:r>
        <w:rPr>
          <w:rFonts w:ascii="Times New Roman" w:hAnsi="Times New Roman" w:eastAsia="楷体" w:cs="楷体"/>
          <w:color w:val="000000"/>
          <w:kern w:val="2"/>
          <w:sz w:val="28"/>
          <w:szCs w:val="22"/>
          <w:lang w:val="en-US" w:eastAsia="zh-CN" w:bidi="ar-SA"/>
        </w:rPr>
        <w:t>2、</w:t>
      </w:r>
      <w:r>
        <w:rPr>
          <w:rFonts w:hint="eastAsia" w:ascii="Times New Roman" w:hAnsi="Times New Roman" w:eastAsia="楷体" w:cs="楷体"/>
          <w:color w:val="000000"/>
          <w:kern w:val="2"/>
          <w:sz w:val="28"/>
          <w:szCs w:val="22"/>
          <w:lang w:val="en-US" w:eastAsia="zh-CN" w:bidi="ar-SA"/>
        </w:rPr>
        <w:t>PE1</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FC1</w:t>
      </w:r>
      <w:r>
        <w:rPr>
          <w:rFonts w:ascii="Times New Roman" w:hAnsi="Times New Roman" w:eastAsia="楷体" w:cs="楷体"/>
          <w:color w:val="000000"/>
          <w:kern w:val="2"/>
          <w:sz w:val="28"/>
          <w:szCs w:val="22"/>
          <w:lang w:val="en-US" w:eastAsia="zh-CN" w:bidi="ar-SA"/>
        </w:rPr>
        <w:t>。这说明了平台可以拓展提供健康信息的途径，增加所提供信息的种类，从而提升用户的使用意愿。并且提升使用的便捷性，使得用户获得信息更加快捷。</w:t>
      </w:r>
    </w:p>
    <w:p>
      <w:pPr>
        <w:widowControl/>
        <w:snapToGrid w:val="0"/>
        <w:spacing w:before="60" w:after="60" w:line="312" w:lineRule="auto"/>
        <w:jc w:val="left"/>
        <w:rPr>
          <w:rFonts w:ascii="Times New Roman" w:hAnsi="Times New Roman" w:eastAsia="楷体" w:cs="楷体"/>
          <w:color w:val="000000"/>
          <w:sz w:val="28"/>
          <w:szCs w:val="22"/>
        </w:rPr>
      </w:pPr>
      <w:r>
        <w:rPr>
          <w:rFonts w:ascii="Times New Roman" w:hAnsi="Times New Roman" w:eastAsia="仿宋" w:cs="Times New Roman"/>
          <w:color w:val="333333"/>
          <w:szCs w:val="22"/>
        </w:rPr>
        <w:br w:type="page"/>
      </w:r>
    </w:p>
    <w:p>
      <w:pPr>
        <w:keepNext/>
        <w:keepLines/>
        <w:widowControl w:val="0"/>
        <w:numPr>
          <w:ilvl w:val="0"/>
          <w:numId w:val="0"/>
        </w:numPr>
        <w:snapToGrid w:val="0"/>
        <w:spacing w:before="0" w:after="0" w:line="408" w:lineRule="auto"/>
        <w:ind w:right="210" w:rightChars="100"/>
        <w:outlineLvl w:val="3"/>
        <w:rPr>
          <w:rFonts w:ascii="Times New Roman" w:hAnsi="Times New Roman" w:eastAsia="楷体" w:cs="Times New Roman"/>
          <w:b/>
          <w:bCs/>
          <w:color w:val="1A1A1A"/>
          <w:kern w:val="2"/>
          <w:sz w:val="28"/>
          <w:szCs w:val="24"/>
          <w:lang w:val="en-US" w:eastAsia="zh-CN" w:bidi="ar-SA"/>
        </w:rPr>
      </w:pPr>
      <w:bookmarkStart w:id="13" w:name="_Toc130161129"/>
      <w:r>
        <w:rPr>
          <w:rFonts w:hint="eastAsia" w:ascii="Times New Roman" w:hAnsi="Times New Roman" w:eastAsia="楷体" w:cs="Times New Roman"/>
          <w:b/>
          <w:bCs/>
          <w:color w:val="1A1A1A"/>
          <w:kern w:val="2"/>
          <w:sz w:val="28"/>
          <w:szCs w:val="24"/>
          <w:lang w:val="en-US" w:eastAsia="zh-CN" w:bidi="ar-SA"/>
        </w:rPr>
        <w:t>2</w:t>
      </w:r>
      <w:r>
        <w:rPr>
          <w:rFonts w:ascii="Times New Roman" w:hAnsi="Times New Roman" w:eastAsia="楷体" w:cs="Times New Roman"/>
          <w:b/>
          <w:bCs/>
          <w:color w:val="1A1A1A"/>
          <w:kern w:val="2"/>
          <w:sz w:val="28"/>
          <w:szCs w:val="24"/>
          <w:lang w:val="en-US" w:eastAsia="zh-CN" w:bidi="ar-SA"/>
        </w:rPr>
        <w:t>.2结构方程模型</w:t>
      </w:r>
      <w:bookmarkEnd w:id="13"/>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2"/>
          <w:lang w:val="en-US" w:eastAsia="zh-CN" w:bidi="ar-SA"/>
        </w:rPr>
      </w:pPr>
      <w:bookmarkStart w:id="14" w:name="_Toc130161130"/>
      <w:r>
        <w:rPr>
          <w:rFonts w:hint="eastAsia" w:ascii="楷体" w:hAnsi="楷体" w:eastAsia="楷体" w:cs="Times New Roman"/>
          <w:b/>
          <w:bCs/>
          <w:color w:val="1A1A1A"/>
          <w:kern w:val="2"/>
          <w:sz w:val="28"/>
          <w:szCs w:val="22"/>
          <w:lang w:val="en-US" w:eastAsia="zh-CN" w:bidi="ar-SA"/>
        </w:rPr>
        <w:t>1</w:t>
      </w:r>
      <w:r>
        <w:rPr>
          <w:rFonts w:ascii="楷体" w:hAnsi="楷体" w:eastAsia="楷体" w:cs="Times New Roman"/>
          <w:b/>
          <w:bCs/>
          <w:color w:val="1A1A1A"/>
          <w:kern w:val="2"/>
          <w:sz w:val="28"/>
          <w:szCs w:val="22"/>
          <w:lang w:val="en-US" w:eastAsia="zh-CN" w:bidi="ar-SA"/>
        </w:rPr>
        <w:t>) 理论模型介绍</w:t>
      </w:r>
      <w:bookmarkEnd w:id="14"/>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结构方程模型（Structural Equation Model）</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&lt;EndNote&gt;&lt;Cite&gt;&lt;Author&gt;Jöreskog&lt;/Author&gt;&lt;Year&gt;1979&lt;/Year&gt;&lt;RecNum&gt;47&lt;/RecNum&gt;&lt;DisplayText&gt;&lt;style face="superscript"&gt;[14]&lt;/style&gt;&lt;/DisplayText&gt;&lt;record&gt;&lt;rec-number&gt;47&lt;/rec-number&gt;&lt;foreign-keys&gt;&lt;key app="EN" db-id="z5t2xapxrvs5aeezvekvwzrk9rvz0rp9d9f0" timestamp="1676953301"&gt;47&lt;/key&gt;&lt;/foreign-keys&gt;&lt;ref-type name="Book"&gt;6&lt;/ref-type&gt;&lt;contributors&gt;&lt;authors&gt;&lt;author&gt;Jöreskog, K. G.&lt;/author&gt;&lt;author&gt;Sörbom, Dag&lt;/author&gt;&lt;author&gt;Magidson, Jay&lt;/author&gt;&lt;author&gt;Sörbom, Dag&lt;/author&gt;&lt;/authors&gt;&lt;/contributors&gt;&lt;titles&gt;&lt;title&gt;Advances in factor analysis and structural equation models&lt;/title&gt;&lt;/titles&gt;&lt;pages&gt;xxviii, 242 pages : illustrations&lt;/pages&gt;&lt;keywords&gt;&lt;keyword&gt;Social sciences -- Statistical methods.&lt;/keyword&gt;&lt;keyword&gt;Factor analysis.&lt;/keyword&gt;&lt;keyword&gt;Factor Analysis, Statistical&lt;/keyword&gt;&lt;keyword&gt;Social Sciences -- methods&lt;/keyword&gt;&lt;keyword&gt;mathematical models.&lt;/keyword&gt;&lt;keyword&gt;sociology.&lt;/keyword&gt;&lt;keyword&gt;analytical methods.&lt;/keyword&gt;&lt;keyword&gt;prediction.&lt;/keyword&gt;&lt;keyword&gt;models.&lt;/keyword&gt;&lt;keyword&gt;social sciences.&lt;/keyword&gt;&lt;keyword&gt;Sciences sociales -- Méthodes statistiques.&lt;/keyword&gt;&lt;keyword&gt;Analyse factorielle.&lt;/keyword&gt;&lt;keyword&gt;Faktorenanalyse&lt;/keyword&gt;&lt;keyword&gt;Sozialwissenschaften&lt;/keyword&gt;&lt;keyword&gt;Statistik&lt;/keyword&gt;&lt;keyword&gt;Factoranalyse.&lt;/keyword&gt;&lt;keyword&gt;Structurele vergelijkingen.&lt;/keyword&gt;&lt;/keywords&gt;&lt;dates&gt;&lt;year&gt;1979&lt;/year&gt;&lt;/dates&gt;&lt;pub-location&gt;Cambridge, Mass&lt;/pub-location&gt;&lt;publisher&gt;Abt Books&lt;/publisher&gt;&lt;isbn&gt;0890115354&amp;#xD;9780890115350&amp;#xD;0819140953&amp;#xD;9780819140951&amp;#xD;0819141372&amp;#xD;9780819141378&lt;/isbn&gt;&lt;call-num&gt;British Library ; Keele University ; LSE Library ; Lancaster University ; Queen&amp;apos;s University Belfast ; University of Birmingham Libraries ; University of Bristol Libraries ; University of Cambridge Libraries ; University of Edinburgh Libraries ; University of Liverpool Library&lt;/call-num&gt;&lt;urls&gt;&lt;/urls&gt;&lt;remote-database-name&gt;Library Hub Discover&lt;/remote-database-name&gt;&lt;remote-database-provider&gt;Jisc&lt;/remote-database-provider&gt;&lt;language&gt;English&lt;/language&gt;&lt;/record&gt;&lt;/Cite&gt;&lt;/EndNote&gt;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[14]</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是一种多元数据分析方法，可以认为是融合了多种技术手段广义的统计回归模型，用以建模分析多个变量之间的复杂关系。结构方程模型在1975年由Otis Dudley Duncan首次引入社会科学研究中</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&lt;EndNote&gt;&lt;Cite&gt;&lt;Author&gt;Duncan&lt;/Author&gt;&lt;Year&gt;1975&lt;/Year&gt;&lt;RecNum&gt;48&lt;/RecNum&gt;&lt;DisplayText&gt;&lt;style face="superscript"&gt;[15]&lt;/style&gt;&lt;/DisplayText&gt;&lt;record&gt;&lt;rec-number&gt;48&lt;/rec-number&gt;&lt;foreign-keys&gt;&lt;key app="EN" db-id="z5t2xapxrvs5aeezvekvwzrk9rvz0rp9d9f0" timestamp="1676953400"&gt;48&lt;/key&gt;&lt;/foreign-keys&gt;&lt;ref-type name="Book"&gt;6&lt;/ref-type&gt;&lt;contributors&gt;&lt;authors&gt;&lt;author&gt;Duncan, Otis Dudley&lt;/author&gt;&lt;/authors&gt;&lt;/contributors&gt;&lt;titles&gt;&lt;title&gt;Introduction to structural equation models&lt;/title&gt;&lt;/titles&gt;&lt;dates&gt;&lt;year&gt;1975&lt;/year&gt;&lt;/dates&gt;&lt;call-num&gt;Open University Library ; University of Reading Library&lt;/call-num&gt;&lt;urls&gt;&lt;/urls&gt;&lt;remote-database-name&gt;Library Hub Discover&lt;/remote-database-name&gt;&lt;remote-database-provider&gt;Jisc&lt;/remote-database-provider&gt;&lt;/record&gt;&lt;/Cite&gt;&lt;/EndNote&gt;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[15]</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后得到社会科学、心理学、教育学等学界的好评与广泛使用。结构方程模型主要整合了测量模型、路径模型和潜在变量模型等，以分析多个潜变量之间的影响关系。具体而言，测量模型主要可以定量地评估许多社会科学中无法直接测定的范畴，如人们的情绪、意愿、满意程度等抽象概念。因此便期望能够通过问卷调查等能够观测到的变量来一定程度地对这些抽象程度进行解释。而这种通过测量变量对潜在变量解释的模型即为测量模型</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&lt;EndNote&gt;&lt;Cite&gt;&lt;Author&gt;Lord&lt;/Author&gt;&lt;Year&gt;1952&lt;/Year&gt;&lt;RecNum&gt;49&lt;/RecNum&gt;&lt;DisplayText&gt;&lt;style face="superscript"&gt;[16]&lt;/style&gt;&lt;/DisplayText&gt;&lt;record&gt;&lt;rec-number&gt;49&lt;/rec-number&gt;&lt;foreign-keys&gt;&lt;key app="EN" db-id="z5t2xapxrvs5aeezvekvwzrk9rvz0rp9d9f0" timestamp="1676959589"&gt;49&lt;/key&gt;&lt;/foreign-keys&gt;&lt;ref-type name="Book"&gt;6&lt;/ref-type&gt;&lt;contributors&gt;&lt;authors&gt;&lt;author&gt;Lord, Frederic M.&lt;/author&gt;&lt;/authors&gt;&lt;/contributors&gt;&lt;titles&gt;&lt;title&gt;A theory of test scores&lt;/title&gt;&lt;secondary-title&gt;Psychometric monograph&lt;/secondary-title&gt;&lt;/titles&gt;&lt;pages&gt;x, 84 p.&lt;/pages&gt;&lt;number&gt;no 7&lt;/number&gt;&lt;keywords&gt;&lt;keyword&gt;Ability Testing.&lt;/keyword&gt;&lt;/keywords&gt;&lt;dates&gt;&lt;year&gt;1952&lt;/year&gt;&lt;/dates&gt;&lt;pub-location&gt;New York,&lt;/pub-location&gt;&lt;publisher&gt;Psychometric Society&lt;/publisher&gt;&lt;accession-num&gt;7912214&lt;/accession-num&gt;&lt;call-num&gt;BF431 .L58&lt;/call-num&gt;&lt;urls&gt;&lt;/urls&gt;&lt;/record&gt;&lt;/Cite&gt;&lt;/EndNote&gt;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[16]</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。路径模型则是一种将一个或多个回归方程进行有效结合的分析框架。该模型由学者Sewell Wright</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&lt;EndNote&gt;&lt;Cite&gt;&lt;Author&gt;Wright&lt;/Author&gt;&lt;Year&gt;1921&lt;/Year&gt;&lt;RecNum&gt;52&lt;/RecNum&gt;&lt;DisplayText&gt;&lt;style face="superscript"&gt;[17]&lt;/style&gt;&lt;/DisplayText&gt;&lt;record&gt;&lt;rec-number&gt;52&lt;/rec-number&gt;&lt;foreign-keys&gt;&lt;key app="EN" db-id="z5t2xapxrvs5aeezvekvwzrk9rvz0rp9d9f0" timestamp="1676959748"&gt;52&lt;/key&gt;&lt;/foreign-keys&gt;&lt;ref-type name="Book"&gt;6&lt;/ref-type&gt;&lt;contributors&gt;&lt;authors&gt;&lt;author&gt;Wright, Sewall&lt;/author&gt;&lt;/authors&gt;&lt;/contributors&gt;&lt;titles&gt;&lt;title&gt;Correlation and causation&lt;/title&gt;&lt;/titles&gt;&lt;pages&gt;p.&lt;/pages&gt;&lt;dates&gt;&lt;year&gt;1921&lt;/year&gt;&lt;/dates&gt;&lt;pub-location&gt;Washington&lt;/pub-location&gt;&lt;call-num&gt;Royal Society of Medicine&lt;/call-num&gt;&lt;urls&gt;&lt;/urls&gt;&lt;remote-database-name&gt;Library Hub Discover&lt;/remote-database-name&gt;&lt;remote-database-provider&gt;Jisc&lt;/remote-database-provider&gt;&lt;language&gt;English&lt;/language&gt;&lt;/record&gt;&lt;/Cite&gt;&lt;/EndNote&gt;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[17]</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提出并发展，被经常用于因果推断等方面</w:t>
      </w:r>
      <w:r>
        <w:rPr>
          <w:rFonts w:ascii="Times New Roman" w:hAnsi="Times New Roman" w:eastAsia="楷体" w:cs="楷体"/>
          <w:color w:val="000000"/>
          <w:kern w:val="2"/>
          <w:sz w:val="28"/>
          <w:szCs w:val="22"/>
          <w:lang w:val="en-US" w:eastAsia="zh-CN" w:bidi="ar-SA"/>
        </w:rPr>
        <w:fldChar w:fldCharType="begin"/>
      </w:r>
      <w:r>
        <w:rPr>
          <w:rFonts w:ascii="Times New Roman" w:hAnsi="Times New Roman" w:eastAsia="楷体" w:cs="楷体"/>
          <w:color w:val="000000"/>
          <w:kern w:val="2"/>
          <w:sz w:val="28"/>
          <w:szCs w:val="22"/>
          <w:lang w:val="en-US" w:eastAsia="zh-CN" w:bidi="ar-SA"/>
        </w:rPr>
        <w:instrText xml:space="preserve"> ADDIN EN.CITE &lt;EndNote&gt;&lt;Cite&gt;&lt;Author&gt;Pearl&lt;/Author&gt;&lt;Year&gt;2018&lt;/Year&gt;&lt;RecNum&gt;53&lt;/RecNum&gt;&lt;DisplayText&gt;&lt;style face="superscript"&gt;[18]&lt;/style&gt;&lt;/DisplayText&gt;&lt;record&gt;&lt;rec-number&gt;53&lt;/rec-number&gt;&lt;foreign-keys&gt;&lt;key app="EN" db-id="z5t2xapxrvs5aeezvekvwzrk9rvz0rp9d9f0" timestamp="1676959803"&gt;53&lt;/key&gt;&lt;/foreign-keys&gt;&lt;ref-type name="Book"&gt;6&lt;/ref-type&gt;&lt;contributors&gt;&lt;authors&gt;&lt;author&gt;Pearl, Judea&lt;/author&gt;&lt;author&gt;Mackenzie, Dana&lt;/author&gt;&lt;/authors&gt;&lt;/contributors&gt;&lt;titles&gt;&lt;title&gt;The book of why : the new science of cause and effect&lt;/title&gt;&lt;/titles&gt;&lt;pages&gt;x, 418 pages : illustrations&lt;/pages&gt;&lt;edition&gt;First edition.&lt;/edition&gt;&lt;keywords&gt;&lt;keyword&gt;Causation.&lt;/keyword&gt;&lt;keyword&gt;Inference.&lt;/keyword&gt;&lt;keyword&gt;Statistics.&lt;/keyword&gt;&lt;keyword&gt;Causality&lt;/keyword&gt;&lt;keyword&gt;Statistics as Topic&lt;/keyword&gt;&lt;keyword&gt;Inférence (Logique)&lt;/keyword&gt;&lt;keyword&gt;Causalité.&lt;/keyword&gt;&lt;keyword&gt;Statistiques.&lt;/keyword&gt;&lt;keyword&gt;SCIENCE -- General.&lt;/keyword&gt;&lt;keyword&gt;Kausalität&lt;/keyword&gt;&lt;keyword&gt;Induktion&lt;/keyword&gt;&lt;keyword&gt;Korrelation&lt;/keyword&gt;&lt;keyword&gt;Schlussfolgern&lt;/keyword&gt;&lt;keyword&gt;Philosophy.&lt;/keyword&gt;&lt;/keywords&gt;&lt;dates&gt;&lt;year&gt;2018&lt;/year&gt;&lt;/dates&gt;&lt;pub-location&gt;New York&lt;/pub-location&gt;&lt;publisher&gt;Basic Books&lt;/publisher&gt;&lt;isbn&gt;046509760X&amp;#xD;9780465097609&amp;#xD;0465097618&amp;#xD;9780465097616&lt;/isbn&gt;&lt;call-num&gt;City, University of London ; Royal Holloway, University of London ; University of East Anglia Library ; University of Exeter Library ; University of Portsmouth ; University of Reading Library&lt;/call-num&gt;&lt;urls&gt;&lt;/urls&gt;&lt;remote-database-name&gt;Library Hub Discover&lt;/remote-database-name&gt;&lt;remote-database-provider&gt;Jisc&lt;/remote-database-provider&gt;&lt;language&gt;English&lt;/language&gt;&lt;/record&gt;&lt;/Cite&gt;&lt;/EndNote&gt;</w:instrText>
      </w:r>
      <w:r>
        <w:rPr>
          <w:rFonts w:ascii="Times New Roman" w:hAnsi="Times New Roman" w:eastAsia="楷体" w:cs="楷体"/>
          <w:color w:val="000000"/>
          <w:kern w:val="2"/>
          <w:sz w:val="28"/>
          <w:szCs w:val="22"/>
          <w:lang w:val="en-US" w:eastAsia="zh-CN" w:bidi="ar-SA"/>
        </w:rPr>
        <w:fldChar w:fldCharType="separate"/>
      </w:r>
      <w:r>
        <w:rPr>
          <w:rFonts w:ascii="Times New Roman" w:hAnsi="Times New Roman" w:eastAsia="楷体" w:cs="楷体"/>
          <w:color w:val="000000"/>
          <w:kern w:val="2"/>
          <w:sz w:val="28"/>
          <w:szCs w:val="22"/>
          <w:vertAlign w:val="superscript"/>
          <w:lang w:val="en-US" w:eastAsia="zh-CN" w:bidi="ar-SA"/>
        </w:rPr>
        <w:t>[18]</w:t>
      </w:r>
      <w:r>
        <w:rPr>
          <w:rFonts w:ascii="Times New Roman" w:hAnsi="Times New Roman" w:eastAsia="楷体" w:cs="楷体"/>
          <w:color w:val="000000"/>
          <w:kern w:val="2"/>
          <w:sz w:val="28"/>
          <w:szCs w:val="22"/>
          <w:lang w:val="en-US" w:eastAsia="zh-CN" w:bidi="ar-SA"/>
        </w:rPr>
        <w:fldChar w:fldCharType="end"/>
      </w:r>
      <w:r>
        <w:rPr>
          <w:rFonts w:ascii="Times New Roman" w:hAnsi="Times New Roman" w:eastAsia="楷体" w:cs="楷体"/>
          <w:color w:val="000000"/>
          <w:kern w:val="2"/>
          <w:sz w:val="28"/>
          <w:szCs w:val="22"/>
          <w:lang w:val="en-US" w:eastAsia="zh-CN" w:bidi="ar-SA"/>
        </w:rPr>
        <w:t>，也被认为是结构方程模型的发展前身。</w:t>
      </w:r>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2"/>
          <w:lang w:val="en-US" w:eastAsia="zh-CN" w:bidi="ar-SA"/>
        </w:rPr>
      </w:pPr>
      <w:bookmarkStart w:id="15" w:name="_Toc130161131"/>
      <w:r>
        <w:rPr>
          <w:rFonts w:hint="eastAsia" w:ascii="楷体" w:hAnsi="楷体" w:eastAsia="楷体" w:cs="Times New Roman"/>
          <w:b/>
          <w:bCs/>
          <w:color w:val="1A1A1A"/>
          <w:kern w:val="2"/>
          <w:sz w:val="28"/>
          <w:szCs w:val="22"/>
          <w:lang w:val="en-US" w:eastAsia="zh-CN" w:bidi="ar-SA"/>
        </w:rPr>
        <w:t>2</w:t>
      </w:r>
      <w:r>
        <w:rPr>
          <w:rFonts w:ascii="楷体" w:hAnsi="楷体" w:eastAsia="楷体" w:cs="Times New Roman"/>
          <w:b/>
          <w:bCs/>
          <w:color w:val="1A1A1A"/>
          <w:kern w:val="2"/>
          <w:sz w:val="28"/>
          <w:szCs w:val="22"/>
          <w:lang w:val="en-US" w:eastAsia="zh-CN" w:bidi="ar-SA"/>
        </w:rPr>
        <w:t>) 结构方程模型假设</w:t>
      </w:r>
      <w:bookmarkEnd w:id="15"/>
    </w:p>
    <w:p>
      <w:pPr>
        <w:snapToGrid/>
        <w:spacing w:before="40" w:after="0" w:line="360" w:lineRule="auto"/>
        <w:jc w:val="center"/>
        <w:rPr>
          <w:rFonts w:hint="eastAsia" w:ascii="楷体" w:hAnsi="楷体" w:eastAsia="楷体" w:cs="楷体"/>
          <w:color w:val="000000"/>
          <w:sz w:val="28"/>
          <w:szCs w:val="22"/>
          <w:lang w:eastAsia="zh-CN"/>
        </w:rPr>
      </w:pPr>
      <w:r>
        <w:rPr>
          <w:rFonts w:hint="eastAsia" w:ascii="楷体" w:hAnsi="楷体" w:eastAsia="楷体" w:cs="楷体"/>
          <w:color w:val="000000"/>
          <w:sz w:val="28"/>
          <w:szCs w:val="22"/>
          <w:lang w:eastAsia="zh-CN"/>
        </w:rPr>
        <w:drawing>
          <wp:inline distT="0" distB="0" distL="114300" distR="114300">
            <wp:extent cx="5267960" cy="4975860"/>
            <wp:effectExtent l="0" t="0" r="2540" b="2540"/>
            <wp:docPr id="2" name="图片 2" descr="假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假设1.1"/>
                    <pic:cNvPicPr>
                      <a:picLocks noChangeAspect="1"/>
                    </pic:cNvPicPr>
                  </pic:nvPicPr>
                  <pic:blipFill>
                    <a:blip r:embed="rId19"/>
                    <a:stretch>
                      <a:fillRect/>
                    </a:stretch>
                  </pic:blipFill>
                  <pic:spPr>
                    <a:xfrm>
                      <a:off x="0" y="0"/>
                      <a:ext cx="5267960" cy="4975860"/>
                    </a:xfrm>
                    <a:prstGeom prst="rect">
                      <a:avLst/>
                    </a:prstGeom>
                  </pic:spPr>
                </pic:pic>
              </a:graphicData>
            </a:graphic>
          </wp:inline>
        </w:drawing>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 xml:space="preserve">图3-6 </w:t>
      </w:r>
      <w:r>
        <w:rPr>
          <w:rFonts w:hint="eastAsia" w:ascii="楷体" w:hAnsi="楷体" w:eastAsia="楷体" w:cs="楷体"/>
          <w:color w:val="000000"/>
          <w:kern w:val="2"/>
          <w:sz w:val="24"/>
          <w:szCs w:val="22"/>
          <w:lang w:val="en-US" w:eastAsia="zh-CN" w:bidi="ar-SA"/>
        </w:rPr>
        <w:t>结构方程模型</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具体而言，本报告提出如下假设：</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假设1（H1）：</w:t>
      </w:r>
      <w:r>
        <w:rPr>
          <w:rFonts w:hint="eastAsia" w:ascii="Times New Roman" w:hAnsi="Times New Roman" w:eastAsia="楷体" w:cs="楷体"/>
          <w:color w:val="000000"/>
          <w:kern w:val="2"/>
          <w:sz w:val="28"/>
          <w:szCs w:val="22"/>
          <w:lang w:val="en-US" w:eastAsia="zh-CN" w:bidi="ar-SA"/>
        </w:rPr>
        <w:t>能动条件</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FC</w:t>
      </w:r>
      <w:r>
        <w:rPr>
          <w:rFonts w:ascii="Times New Roman" w:hAnsi="Times New Roman" w:eastAsia="楷体" w:cs="楷体"/>
          <w:color w:val="000000"/>
          <w:kern w:val="2"/>
          <w:sz w:val="28"/>
          <w:szCs w:val="22"/>
          <w:lang w:val="en-US" w:eastAsia="zh-CN" w:bidi="ar-SA"/>
        </w:rPr>
        <w:t>）对使用意愿（BI）有直接的正向作用；</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假设2（H2）：</w:t>
      </w:r>
      <w:r>
        <w:rPr>
          <w:rFonts w:hint="eastAsia" w:ascii="Times New Roman" w:hAnsi="Times New Roman" w:eastAsia="楷体" w:cs="楷体"/>
          <w:color w:val="000000"/>
          <w:kern w:val="2"/>
          <w:sz w:val="28"/>
          <w:szCs w:val="22"/>
          <w:lang w:val="en-US" w:eastAsia="zh-CN" w:bidi="ar-SA"/>
        </w:rPr>
        <w:t>信息质量</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IQ</w:t>
      </w:r>
      <w:r>
        <w:rPr>
          <w:rFonts w:ascii="Times New Roman" w:hAnsi="Times New Roman" w:eastAsia="楷体" w:cs="楷体"/>
          <w:color w:val="000000"/>
          <w:kern w:val="2"/>
          <w:sz w:val="28"/>
          <w:szCs w:val="22"/>
          <w:lang w:val="en-US" w:eastAsia="zh-CN" w:bidi="ar-SA"/>
        </w:rPr>
        <w:t>）对使用意愿（BI）有直接的正向作用；</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假设3（H3）：表现期望（PE）对使用意愿（BI）有直接的正向作用；</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假设4（H4）：</w:t>
      </w:r>
      <w:r>
        <w:rPr>
          <w:rFonts w:hint="eastAsia" w:ascii="Times New Roman" w:hAnsi="Times New Roman" w:eastAsia="楷体" w:cs="楷体"/>
          <w:color w:val="000000"/>
          <w:kern w:val="2"/>
          <w:sz w:val="28"/>
          <w:szCs w:val="22"/>
          <w:lang w:val="en-US" w:eastAsia="zh-CN" w:bidi="ar-SA"/>
        </w:rPr>
        <w:t>能动条件</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FC</w:t>
      </w:r>
      <w:r>
        <w:rPr>
          <w:rFonts w:ascii="Times New Roman" w:hAnsi="Times New Roman" w:eastAsia="楷体" w:cs="楷体"/>
          <w:color w:val="000000"/>
          <w:kern w:val="2"/>
          <w:sz w:val="28"/>
          <w:szCs w:val="22"/>
          <w:lang w:val="en-US" w:eastAsia="zh-CN" w:bidi="ar-SA"/>
        </w:rPr>
        <w:t>）对表现期望（PE）有直接的正向作用；</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假设5（H5）：</w:t>
      </w:r>
      <w:r>
        <w:rPr>
          <w:rFonts w:hint="eastAsia" w:ascii="Times New Roman" w:hAnsi="Times New Roman" w:eastAsia="楷体" w:cs="楷体"/>
          <w:color w:val="000000"/>
          <w:kern w:val="2"/>
          <w:sz w:val="28"/>
          <w:szCs w:val="22"/>
          <w:lang w:val="en-US" w:eastAsia="zh-CN" w:bidi="ar-SA"/>
        </w:rPr>
        <w:t>能动条件</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FC</w:t>
      </w:r>
      <w:r>
        <w:rPr>
          <w:rFonts w:ascii="Times New Roman" w:hAnsi="Times New Roman" w:eastAsia="楷体" w:cs="楷体"/>
          <w:color w:val="000000"/>
          <w:kern w:val="2"/>
          <w:sz w:val="28"/>
          <w:szCs w:val="22"/>
          <w:lang w:val="en-US" w:eastAsia="zh-CN" w:bidi="ar-SA"/>
        </w:rPr>
        <w:t>）对</w:t>
      </w:r>
      <w:r>
        <w:rPr>
          <w:rFonts w:hint="eastAsia" w:ascii="Times New Roman" w:hAnsi="Times New Roman" w:eastAsia="楷体" w:cs="楷体"/>
          <w:color w:val="000000"/>
          <w:kern w:val="2"/>
          <w:sz w:val="28"/>
          <w:szCs w:val="22"/>
          <w:lang w:val="en-US" w:eastAsia="zh-CN" w:bidi="ar-SA"/>
        </w:rPr>
        <w:t>信息质量</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IQ</w:t>
      </w:r>
      <w:r>
        <w:rPr>
          <w:rFonts w:hint="eastAsia" w:ascii="Times New Roman" w:hAnsi="Times New Roman" w:eastAsia="楷体" w:cs="楷体"/>
          <w:color w:val="000000"/>
          <w:kern w:val="2"/>
          <w:sz w:val="28"/>
          <w:szCs w:val="22"/>
          <w:lang w:val="en-US" w:eastAsia="zh-CN" w:bidi="ar-SA"/>
        </w:rPr>
        <w:tab/>
      </w:r>
      <w:r>
        <w:rPr>
          <w:rFonts w:ascii="Times New Roman" w:hAnsi="Times New Roman" w:eastAsia="楷体" w:cs="楷体"/>
          <w:color w:val="000000"/>
          <w:kern w:val="2"/>
          <w:sz w:val="28"/>
          <w:szCs w:val="22"/>
          <w:lang w:val="en-US" w:eastAsia="zh-CN" w:bidi="ar-SA"/>
        </w:rPr>
        <w:t>）有直接的正向作用；</w:t>
      </w:r>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2"/>
          <w:lang w:val="en-US" w:eastAsia="zh-CN" w:bidi="ar-SA"/>
        </w:rPr>
      </w:pPr>
      <w:bookmarkStart w:id="16" w:name="_Toc130161132"/>
      <w:r>
        <w:rPr>
          <w:rFonts w:hint="eastAsia" w:ascii="楷体" w:hAnsi="楷体" w:eastAsia="楷体" w:cs="Times New Roman"/>
          <w:b/>
          <w:bCs/>
          <w:color w:val="1A1A1A"/>
          <w:kern w:val="2"/>
          <w:sz w:val="28"/>
          <w:szCs w:val="22"/>
          <w:lang w:val="en-US" w:eastAsia="zh-CN" w:bidi="ar-SA"/>
        </w:rPr>
        <w:t>3</w:t>
      </w:r>
      <w:r>
        <w:rPr>
          <w:rFonts w:ascii="楷体" w:hAnsi="楷体" w:eastAsia="楷体" w:cs="Times New Roman"/>
          <w:b/>
          <w:bCs/>
          <w:color w:val="1A1A1A"/>
          <w:kern w:val="2"/>
          <w:sz w:val="28"/>
          <w:szCs w:val="22"/>
          <w:lang w:val="en-US" w:eastAsia="zh-CN" w:bidi="ar-SA"/>
        </w:rPr>
        <w:t>) 模型构建</w:t>
      </w:r>
      <w:bookmarkEnd w:id="16"/>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在上述假设的基础上，通过对模型的路径参数估计对假设进行了因果关系的检验。</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下表列出了本文模型各个路径的总体解释能力、路径系数和相关的p值。可以看出，PE</w:t>
      </w:r>
      <m:oMath>
        <m:r>
          <m:rPr/>
          <w:rPr>
            <w:rFonts w:ascii="Cambria Math" w:hAnsi="Cambria Math"/>
          </w:rPr>
          <m:t>→</m:t>
        </m:r>
      </m:oMath>
      <w:r>
        <w:rPr>
          <w:rFonts w:ascii="Times New Roman" w:hAnsi="Times New Roman" w:eastAsia="楷体" w:cs="楷体"/>
          <w:color w:val="000000"/>
          <w:kern w:val="2"/>
          <w:sz w:val="28"/>
          <w:szCs w:val="22"/>
          <w:lang w:val="en-US" w:eastAsia="zh-CN" w:bidi="ar-SA"/>
        </w:rPr>
        <w:t>BI</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FC</w:t>
      </w:r>
      <m:oMath>
        <m:r>
          <m:rPr/>
          <w:rPr>
            <w:rFonts w:ascii="Cambria Math" w:hAnsi="Cambria Math"/>
          </w:rPr>
          <m:t>→</m:t>
        </m:r>
      </m:oMath>
      <w:r>
        <w:rPr>
          <w:rFonts w:ascii="Times New Roman" w:hAnsi="Times New Roman" w:eastAsia="楷体" w:cs="楷体"/>
          <w:color w:val="000000"/>
          <w:kern w:val="2"/>
          <w:sz w:val="28"/>
          <w:szCs w:val="22"/>
          <w:lang w:val="en-US" w:eastAsia="zh-CN" w:bidi="ar-SA"/>
        </w:rPr>
        <w:t>BI</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IQ</w:t>
      </w:r>
      <m:oMath>
        <m:r>
          <m:rPr/>
          <w:rPr>
            <w:rFonts w:ascii="Cambria Math" w:hAnsi="Cambria Math"/>
          </w:rPr>
          <m:t>→</m:t>
        </m:r>
      </m:oMath>
      <w:r>
        <w:rPr>
          <w:rFonts w:ascii="Times New Roman" w:hAnsi="Times New Roman" w:eastAsia="楷体" w:cs="楷体"/>
          <w:color w:val="000000"/>
          <w:kern w:val="2"/>
          <w:sz w:val="28"/>
          <w:szCs w:val="22"/>
          <w:lang w:val="en-US" w:eastAsia="zh-CN" w:bidi="ar-SA"/>
        </w:rPr>
        <w:t>PE</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SI</w:t>
      </w:r>
      <m:oMath>
        <m:r>
          <m:rPr/>
          <w:rPr>
            <w:rFonts w:ascii="Cambria Math" w:hAnsi="Cambria Math"/>
          </w:rPr>
          <m:t>→</m:t>
        </m:r>
      </m:oMath>
      <w:r>
        <w:rPr>
          <w:rFonts w:ascii="Times New Roman" w:hAnsi="Times New Roman" w:eastAsia="楷体" w:cs="楷体"/>
          <w:color w:val="000000"/>
          <w:kern w:val="2"/>
          <w:sz w:val="28"/>
          <w:szCs w:val="22"/>
          <w:lang w:val="en-US" w:eastAsia="zh-CN" w:bidi="ar-SA"/>
        </w:rPr>
        <w:t>PE</w:t>
      </w:r>
      <w:r>
        <w:rPr>
          <w:rFonts w:hint="eastAsia" w:ascii="Times New Roman" w:hAnsi="Times New Roman" w:eastAsia="楷体" w:cs="楷体"/>
          <w:color w:val="000000"/>
          <w:kern w:val="2"/>
          <w:sz w:val="28"/>
          <w:szCs w:val="22"/>
          <w:lang w:val="en-US" w:eastAsia="zh-CN" w:bidi="ar-SA"/>
        </w:rPr>
        <w:t>，</w:t>
      </w:r>
      <w:r>
        <w:rPr>
          <w:rFonts w:ascii="Times New Roman" w:hAnsi="Times New Roman" w:eastAsia="楷体" w:cs="楷体"/>
          <w:color w:val="000000"/>
          <w:kern w:val="2"/>
          <w:sz w:val="28"/>
          <w:szCs w:val="22"/>
          <w:lang w:val="en-US" w:eastAsia="zh-CN" w:bidi="ar-SA"/>
        </w:rPr>
        <w:t>FC</w:t>
      </w:r>
      <m:oMath>
        <m:r>
          <m:rPr/>
          <w:rPr>
            <w:rFonts w:ascii="Cambria Math" w:hAnsi="Cambria Math"/>
          </w:rPr>
          <m:t>→</m:t>
        </m:r>
      </m:oMath>
      <w:r>
        <w:rPr>
          <w:rFonts w:ascii="Times New Roman" w:hAnsi="Times New Roman" w:eastAsia="楷体" w:cs="楷体"/>
          <w:color w:val="000000"/>
          <w:kern w:val="2"/>
          <w:sz w:val="28"/>
          <w:szCs w:val="22"/>
          <w:lang w:val="en-US" w:eastAsia="zh-CN" w:bidi="ar-SA"/>
        </w:rPr>
        <w:t>IQ的因果关系得到了验证。</w:t>
      </w:r>
    </w:p>
    <w:p>
      <w:pPr>
        <w:snapToGrid/>
        <w:spacing w:before="40" w:after="0" w:line="360" w:lineRule="auto"/>
        <w:ind w:firstLine="560" w:firstLineChars="200"/>
        <w:jc w:val="both"/>
        <w:rPr>
          <w:rFonts w:hint="eastAsia" w:ascii="楷体" w:hAnsi="楷体" w:eastAsia="楷体" w:cs="楷体"/>
          <w:color w:val="000000"/>
          <w:sz w:val="28"/>
          <w:szCs w:val="22"/>
          <w:lang w:eastAsia="zh-CN"/>
        </w:rPr>
      </w:pPr>
      <w:r>
        <w:rPr>
          <w:rFonts w:hint="eastAsia" w:ascii="楷体" w:hAnsi="楷体" w:eastAsia="楷体" w:cs="楷体"/>
          <w:color w:val="000000"/>
          <w:sz w:val="28"/>
          <w:szCs w:val="22"/>
          <w:lang w:eastAsia="zh-CN"/>
        </w:rPr>
        <w:drawing>
          <wp:inline distT="0" distB="0" distL="114300" distR="114300">
            <wp:extent cx="4591050" cy="4514850"/>
            <wp:effectExtent l="0" t="0" r="6350" b="6350"/>
            <wp:docPr id="4" name="图片 4" descr="结论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结论1.2"/>
                    <pic:cNvPicPr>
                      <a:picLocks noChangeAspect="1"/>
                    </pic:cNvPicPr>
                  </pic:nvPicPr>
                  <pic:blipFill>
                    <a:blip r:embed="rId20"/>
                    <a:stretch>
                      <a:fillRect/>
                    </a:stretch>
                  </pic:blipFill>
                  <pic:spPr>
                    <a:xfrm>
                      <a:off x="0" y="0"/>
                      <a:ext cx="4591050" cy="4514850"/>
                    </a:xfrm>
                    <a:prstGeom prst="rect">
                      <a:avLst/>
                    </a:prstGeom>
                  </pic:spPr>
                </pic:pic>
              </a:graphicData>
            </a:graphic>
          </wp:inline>
        </w:drawing>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 xml:space="preserve">图3-7 </w:t>
      </w:r>
      <w:r>
        <w:rPr>
          <w:rFonts w:hint="eastAsia" w:ascii="Times New Roman" w:hAnsi="Times New Roman" w:eastAsia="楷体" w:cs="楷体"/>
          <w:color w:val="000000"/>
          <w:kern w:val="2"/>
          <w:sz w:val="24"/>
          <w:szCs w:val="22"/>
          <w:lang w:val="en-US" w:eastAsia="zh-CN" w:bidi="ar-SA"/>
        </w:rPr>
        <w:t>结构方程模型计算结果</w:t>
      </w:r>
    </w:p>
    <w:p>
      <w:pPr>
        <w:widowControl/>
        <w:snapToGrid w:val="0"/>
        <w:spacing w:before="60" w:after="60" w:line="312" w:lineRule="auto"/>
        <w:jc w:val="left"/>
        <w:rPr>
          <w:rFonts w:ascii="Times New Roman" w:hAnsi="Times New Roman" w:eastAsia="楷体" w:cs="楷体"/>
          <w:color w:val="000000"/>
          <w:sz w:val="24"/>
          <w:szCs w:val="22"/>
        </w:rPr>
      </w:pPr>
      <w:r>
        <w:rPr>
          <w:rFonts w:ascii="Times New Roman" w:hAnsi="Times New Roman" w:eastAsia="仿宋" w:cs="Times New Roman"/>
          <w:color w:val="333333"/>
          <w:szCs w:val="22"/>
        </w:rPr>
        <w:br w:type="page"/>
      </w:r>
    </w:p>
    <w:p>
      <w:pPr>
        <w:keepNext/>
        <w:keepLines/>
        <w:widowControl w:val="0"/>
        <w:snapToGrid w:val="0"/>
        <w:spacing w:before="0" w:after="0" w:line="408" w:lineRule="auto"/>
        <w:ind w:left="140" w:firstLine="420"/>
        <w:outlineLvl w:val="4"/>
        <w:rPr>
          <w:rFonts w:ascii="楷体" w:hAnsi="楷体" w:eastAsia="楷体" w:cs="Times New Roman"/>
          <w:b/>
          <w:bCs/>
          <w:color w:val="1A1A1A"/>
          <w:kern w:val="2"/>
          <w:sz w:val="28"/>
          <w:szCs w:val="22"/>
          <w:lang w:val="en-US" w:eastAsia="zh-CN" w:bidi="ar-SA"/>
        </w:rPr>
      </w:pPr>
      <w:bookmarkStart w:id="17" w:name="_Toc130161133"/>
      <w:r>
        <w:rPr>
          <w:rFonts w:hint="eastAsia" w:ascii="楷体" w:hAnsi="楷体" w:eastAsia="楷体" w:cs="Times New Roman"/>
          <w:b/>
          <w:bCs/>
          <w:color w:val="1A1A1A"/>
          <w:kern w:val="2"/>
          <w:sz w:val="28"/>
          <w:szCs w:val="22"/>
          <w:lang w:val="en-US" w:eastAsia="zh-CN" w:bidi="ar-SA"/>
        </w:rPr>
        <w:t>4</w:t>
      </w:r>
      <w:r>
        <w:rPr>
          <w:rFonts w:ascii="楷体" w:hAnsi="楷体" w:eastAsia="楷体" w:cs="Times New Roman"/>
          <w:b/>
          <w:bCs/>
          <w:color w:val="1A1A1A"/>
          <w:kern w:val="2"/>
          <w:sz w:val="28"/>
          <w:szCs w:val="22"/>
          <w:lang w:val="en-US" w:eastAsia="zh-CN" w:bidi="ar-SA"/>
        </w:rPr>
        <w:t>) 模型结果解读</w:t>
      </w:r>
      <w:bookmarkEnd w:id="17"/>
      <w:r>
        <w:rPr>
          <w:rFonts w:ascii="Calibri" w:hAnsi="Calibri" w:eastAsia="楷体" w:cs="Calibri"/>
          <w:b/>
          <w:bCs/>
          <w:color w:val="1A1A1A"/>
          <w:kern w:val="2"/>
          <w:sz w:val="28"/>
          <w:szCs w:val="22"/>
          <w:lang w:val="en-US" w:eastAsia="zh-CN" w:bidi="ar-SA"/>
        </w:rPr>
        <w:t> </w:t>
      </w:r>
    </w:p>
    <w:p>
      <w:pPr>
        <w:widowControl w:val="0"/>
        <w:snapToGrid/>
        <w:spacing w:before="0" w:after="0" w:line="360" w:lineRule="auto"/>
        <w:ind w:firstLine="480" w:firstLineChars="200"/>
        <w:jc w:val="center"/>
        <w:rPr>
          <w:rFonts w:ascii="Times New Roman" w:hAnsi="Times New Roman" w:eastAsia="楷体" w:cs="楷体"/>
          <w:color w:val="000000"/>
          <w:kern w:val="2"/>
          <w:sz w:val="24"/>
          <w:szCs w:val="22"/>
          <w:lang w:val="en-US" w:eastAsia="zh-CN" w:bidi="ar-SA"/>
        </w:rPr>
      </w:pPr>
      <w:r>
        <w:rPr>
          <w:rFonts w:ascii="Times New Roman" w:hAnsi="Times New Roman" w:eastAsia="楷体" w:cs="楷体"/>
          <w:color w:val="000000"/>
          <w:kern w:val="2"/>
          <w:sz w:val="24"/>
          <w:szCs w:val="22"/>
          <w:lang w:val="en-US" w:eastAsia="zh-CN" w:bidi="ar-SA"/>
        </w:rPr>
        <w:t>表3-4 因果关系检验结果</w:t>
      </w:r>
    </w:p>
    <w:tbl>
      <w:tblPr>
        <w:tblStyle w:val="2"/>
        <w:tblW w:w="5392"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507"/>
        <w:gridCol w:w="326"/>
        <w:gridCol w:w="1569"/>
        <w:gridCol w:w="1443"/>
        <w:gridCol w:w="1212"/>
        <w:gridCol w:w="775"/>
        <w:gridCol w:w="924"/>
        <w:gridCol w:w="122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wAfter w:w="2843" w:type="dxa"/>
          <w:jc w:val="center"/>
        </w:trPr>
        <w:tc>
          <w:tcPr>
            <w:tcW w:w="1109"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rFonts w:ascii="Times New Roman" w:hAnsi="Times New Roman" w:eastAsia="宋体" w:cs="Times New Roman"/>
                <w:b/>
                <w:bCs/>
                <w:color w:val="000000"/>
                <w:sz w:val="22"/>
                <w:szCs w:val="22"/>
              </w:rPr>
              <w:t>Factor(潜变量)</w:t>
            </w:r>
          </w:p>
        </w:tc>
        <w:tc>
          <w:tcPr>
            <w:tcW w:w="183"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w:t>
            </w:r>
          </w:p>
        </w:tc>
        <w:tc>
          <w:tcPr>
            <w:tcW w:w="1155"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ascii="Times New Roman" w:hAnsi="Times New Roman" w:eastAsia="宋体" w:cs="Times New Roman"/>
                <w:b/>
                <w:bCs/>
                <w:color w:val="000000"/>
                <w:sz w:val="22"/>
                <w:szCs w:val="22"/>
              </w:rPr>
            </w:pPr>
            <w:r>
              <w:rPr>
                <w:rFonts w:ascii="Times New Roman" w:hAnsi="Times New Roman" w:eastAsia="宋体" w:cs="Times New Roman"/>
                <w:b/>
                <w:bCs/>
                <w:color w:val="000000"/>
                <w:sz w:val="22"/>
                <w:szCs w:val="22"/>
              </w:rPr>
              <w:t>分析项(显变量)</w:t>
            </w:r>
          </w:p>
        </w:tc>
        <w:tc>
          <w:tcPr>
            <w:tcW w:w="1062"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ascii="Times New Roman" w:hAnsi="Times New Roman" w:eastAsia="宋体" w:cs="Times New Roman"/>
                <w:b/>
                <w:bCs/>
                <w:color w:val="000000"/>
                <w:sz w:val="22"/>
                <w:szCs w:val="22"/>
              </w:rPr>
            </w:pPr>
            <w:r>
              <w:rPr>
                <w:rFonts w:ascii="Times New Roman" w:hAnsi="Times New Roman" w:eastAsia="宋体" w:cs="Times New Roman"/>
                <w:b/>
                <w:bCs/>
                <w:color w:val="000000"/>
                <w:sz w:val="22"/>
                <w:szCs w:val="22"/>
              </w:rPr>
              <w:t>非标准化系数</w:t>
            </w:r>
          </w:p>
        </w:tc>
        <w:tc>
          <w:tcPr>
            <w:tcW w:w="892"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ascii="Times New Roman" w:hAnsi="Times New Roman" w:eastAsia="宋体" w:cs="Times New Roman"/>
                <w:b/>
                <w:bCs/>
                <w:color w:val="000000"/>
                <w:sz w:val="22"/>
                <w:szCs w:val="22"/>
              </w:rPr>
            </w:pPr>
            <w:r>
              <w:rPr>
                <w:rFonts w:ascii="Times New Roman" w:hAnsi="Times New Roman" w:eastAsia="宋体" w:cs="Times New Roman"/>
                <w:b/>
                <w:bCs/>
                <w:color w:val="000000"/>
                <w:sz w:val="22"/>
                <w:szCs w:val="22"/>
              </w:rPr>
              <w:t>标准化系数</w:t>
            </w:r>
          </w:p>
        </w:tc>
        <w:tc>
          <w:tcPr>
            <w:tcW w:w="553"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ascii="Times New Roman" w:hAnsi="Times New Roman" w:eastAsia="宋体" w:cs="Times New Roman"/>
                <w:b/>
                <w:bCs/>
                <w:color w:val="000000"/>
                <w:sz w:val="22"/>
                <w:szCs w:val="22"/>
              </w:rPr>
            </w:pPr>
            <w:r>
              <w:rPr>
                <w:rFonts w:ascii="Times New Roman" w:hAnsi="Times New Roman" w:eastAsia="宋体" w:cs="Times New Roman"/>
                <w:b/>
                <w:bCs/>
                <w:color w:val="000000"/>
                <w:sz w:val="22"/>
                <w:szCs w:val="22"/>
              </w:rPr>
              <w:t>标准误</w:t>
            </w:r>
          </w:p>
        </w:tc>
        <w:tc>
          <w:tcPr>
            <w:tcW w:w="483"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ascii="Times New Roman" w:hAnsi="Times New Roman" w:eastAsia="宋体" w:cs="Times New Roman"/>
                <w:b/>
                <w:bCs/>
                <w:color w:val="000000"/>
                <w:sz w:val="22"/>
                <w:szCs w:val="22"/>
              </w:rPr>
            </w:pPr>
            <w:r>
              <w:rPr>
                <w:rFonts w:ascii="Times New Roman" w:hAnsi="Times New Roman" w:eastAsia="宋体" w:cs="Times New Roman"/>
                <w:b/>
                <w:bCs/>
                <w:color w:val="000000"/>
                <w:sz w:val="22"/>
                <w:szCs w:val="22"/>
              </w:rPr>
              <w:t>Z</w:t>
            </w:r>
          </w:p>
        </w:tc>
        <w:tc>
          <w:tcPr>
            <w:tcW w:w="700"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ascii="Times New Roman" w:hAnsi="Times New Roman" w:eastAsia="宋体" w:cs="Times New Roman"/>
                <w:b/>
                <w:bCs/>
                <w:color w:val="000000"/>
                <w:sz w:val="22"/>
                <w:szCs w:val="22"/>
              </w:rPr>
            </w:pPr>
            <w:r>
              <w:rPr>
                <w:rFonts w:ascii="Times New Roman" w:hAnsi="Times New Roman" w:eastAsia="宋体" w:cs="Times New Roman"/>
                <w:b/>
                <w:bCs/>
                <w:color w:val="000000"/>
                <w:sz w:val="22"/>
                <w:szCs w:val="22"/>
              </w:rPr>
              <w:t>P</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wAfter w:w="2843" w:type="dxa"/>
          <w:jc w:val="center"/>
        </w:trPr>
        <w:tc>
          <w:tcPr>
            <w:tcW w:w="1109"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PE</w:t>
            </w:r>
            <w:r>
              <w:rPr>
                <w:rFonts w:hint="eastAsia" w:ascii="宋体" w:hAnsi="宋体" w:eastAsia="宋体" w:cs="宋体"/>
                <w:color w:val="000000"/>
                <w:sz w:val="22"/>
                <w:szCs w:val="22"/>
                <w:lang w:val="en-US" w:eastAsia="zh-CN"/>
              </w:rPr>
              <w:t xml:space="preserve"> 表现期望</w:t>
            </w:r>
          </w:p>
        </w:tc>
        <w:tc>
          <w:tcPr>
            <w:tcW w:w="1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w:t>
            </w:r>
          </w:p>
        </w:tc>
        <w:tc>
          <w:tcPr>
            <w:tcW w:w="1155"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BI</w:t>
            </w:r>
            <w:r>
              <w:rPr>
                <w:rFonts w:hint="eastAsia" w:ascii="宋体" w:hAnsi="宋体" w:eastAsia="宋体" w:cs="宋体"/>
                <w:color w:val="000000"/>
                <w:sz w:val="22"/>
                <w:szCs w:val="22"/>
                <w:lang w:val="en-US" w:eastAsia="zh-CN"/>
              </w:rPr>
              <w:t xml:space="preserve"> 使用意愿</w:t>
            </w:r>
          </w:p>
        </w:tc>
        <w:tc>
          <w:tcPr>
            <w:tcW w:w="106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1.439</w:t>
            </w:r>
          </w:p>
        </w:tc>
        <w:tc>
          <w:tcPr>
            <w:tcW w:w="89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1.008</w:t>
            </w:r>
          </w:p>
        </w:tc>
        <w:tc>
          <w:tcPr>
            <w:tcW w:w="55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0.473</w:t>
            </w:r>
          </w:p>
        </w:tc>
        <w:tc>
          <w:tcPr>
            <w:tcW w:w="4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3.042</w:t>
            </w:r>
          </w:p>
        </w:tc>
        <w:tc>
          <w:tcPr>
            <w:tcW w:w="700"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0.002***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wAfter w:w="2843" w:type="dxa"/>
          <w:jc w:val="center"/>
        </w:trPr>
        <w:tc>
          <w:tcPr>
            <w:tcW w:w="1109"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IQ</w:t>
            </w:r>
            <w:r>
              <w:rPr>
                <w:rFonts w:hint="eastAsia" w:ascii="宋体" w:hAnsi="宋体" w:eastAsia="宋体" w:cs="宋体"/>
                <w:color w:val="000000"/>
                <w:sz w:val="22"/>
                <w:szCs w:val="22"/>
                <w:lang w:val="en-US" w:eastAsia="zh-CN"/>
              </w:rPr>
              <w:t xml:space="preserve"> 信息质量</w:t>
            </w:r>
          </w:p>
        </w:tc>
        <w:tc>
          <w:tcPr>
            <w:tcW w:w="1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w:t>
            </w:r>
          </w:p>
        </w:tc>
        <w:tc>
          <w:tcPr>
            <w:tcW w:w="1155"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BI</w:t>
            </w:r>
            <w:r>
              <w:rPr>
                <w:rFonts w:hint="eastAsia" w:ascii="宋体" w:hAnsi="宋体" w:eastAsia="宋体" w:cs="宋体"/>
                <w:color w:val="000000"/>
                <w:sz w:val="22"/>
                <w:szCs w:val="22"/>
                <w:lang w:val="en-US" w:eastAsia="zh-CN"/>
              </w:rPr>
              <w:t xml:space="preserve"> 使用意愿</w:t>
            </w:r>
          </w:p>
        </w:tc>
        <w:tc>
          <w:tcPr>
            <w:tcW w:w="106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0.251</w:t>
            </w:r>
          </w:p>
        </w:tc>
        <w:tc>
          <w:tcPr>
            <w:tcW w:w="89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0.203</w:t>
            </w:r>
          </w:p>
        </w:tc>
        <w:tc>
          <w:tcPr>
            <w:tcW w:w="55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0.122</w:t>
            </w:r>
          </w:p>
        </w:tc>
        <w:tc>
          <w:tcPr>
            <w:tcW w:w="4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2.054</w:t>
            </w:r>
          </w:p>
        </w:tc>
        <w:tc>
          <w:tcPr>
            <w:tcW w:w="700"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0.040**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wAfter w:w="2843" w:type="dxa"/>
          <w:jc w:val="center"/>
        </w:trPr>
        <w:tc>
          <w:tcPr>
            <w:tcW w:w="1109"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FC</w:t>
            </w:r>
            <w:r>
              <w:rPr>
                <w:rFonts w:hint="eastAsia" w:ascii="宋体" w:hAnsi="宋体" w:eastAsia="宋体" w:cs="宋体"/>
                <w:color w:val="000000"/>
                <w:sz w:val="22"/>
                <w:szCs w:val="22"/>
                <w:lang w:val="en-US" w:eastAsia="zh-CN"/>
              </w:rPr>
              <w:t xml:space="preserve"> 能动条件</w:t>
            </w:r>
          </w:p>
        </w:tc>
        <w:tc>
          <w:tcPr>
            <w:tcW w:w="1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w:t>
            </w:r>
          </w:p>
        </w:tc>
        <w:tc>
          <w:tcPr>
            <w:tcW w:w="1155"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BI</w:t>
            </w:r>
            <w:r>
              <w:rPr>
                <w:rFonts w:hint="eastAsia" w:ascii="宋体" w:hAnsi="宋体" w:eastAsia="宋体" w:cs="宋体"/>
                <w:color w:val="000000"/>
                <w:sz w:val="22"/>
                <w:szCs w:val="22"/>
                <w:lang w:val="en-US" w:eastAsia="zh-CN"/>
              </w:rPr>
              <w:t xml:space="preserve"> 使用意愿</w:t>
            </w:r>
          </w:p>
        </w:tc>
        <w:tc>
          <w:tcPr>
            <w:tcW w:w="106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-0.268</w:t>
            </w:r>
          </w:p>
        </w:tc>
        <w:tc>
          <w:tcPr>
            <w:tcW w:w="89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-0.206</w:t>
            </w:r>
          </w:p>
        </w:tc>
        <w:tc>
          <w:tcPr>
            <w:tcW w:w="55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0.442</w:t>
            </w:r>
          </w:p>
        </w:tc>
        <w:tc>
          <w:tcPr>
            <w:tcW w:w="4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-0.607</w:t>
            </w:r>
          </w:p>
        </w:tc>
        <w:tc>
          <w:tcPr>
            <w:tcW w:w="700"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0.544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wAfter w:w="2843" w:type="dxa"/>
          <w:jc w:val="center"/>
        </w:trPr>
        <w:tc>
          <w:tcPr>
            <w:tcW w:w="1109"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FC</w:t>
            </w:r>
            <w:r>
              <w:rPr>
                <w:rFonts w:hint="eastAsia" w:ascii="宋体" w:hAnsi="宋体" w:eastAsia="宋体" w:cs="宋体"/>
                <w:color w:val="000000"/>
                <w:sz w:val="22"/>
                <w:szCs w:val="22"/>
                <w:lang w:val="en-US" w:eastAsia="zh-CN"/>
              </w:rPr>
              <w:t xml:space="preserve"> 能动条件</w:t>
            </w:r>
          </w:p>
        </w:tc>
        <w:tc>
          <w:tcPr>
            <w:tcW w:w="1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w:t>
            </w:r>
          </w:p>
        </w:tc>
        <w:tc>
          <w:tcPr>
            <w:tcW w:w="1155"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PE</w:t>
            </w:r>
            <w:r>
              <w:rPr>
                <w:rFonts w:hint="eastAsia" w:ascii="宋体" w:hAnsi="宋体" w:eastAsia="宋体" w:cs="宋体"/>
                <w:color w:val="000000"/>
                <w:sz w:val="22"/>
                <w:szCs w:val="22"/>
                <w:lang w:val="en-US" w:eastAsia="zh-CN"/>
              </w:rPr>
              <w:t xml:space="preserve"> 表现期望</w:t>
            </w:r>
          </w:p>
        </w:tc>
        <w:tc>
          <w:tcPr>
            <w:tcW w:w="106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0.819</w:t>
            </w:r>
          </w:p>
        </w:tc>
        <w:tc>
          <w:tcPr>
            <w:tcW w:w="89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0.896</w:t>
            </w:r>
          </w:p>
        </w:tc>
        <w:tc>
          <w:tcPr>
            <w:tcW w:w="55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0.094</w:t>
            </w:r>
          </w:p>
        </w:tc>
        <w:tc>
          <w:tcPr>
            <w:tcW w:w="4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8.670</w:t>
            </w:r>
          </w:p>
        </w:tc>
        <w:tc>
          <w:tcPr>
            <w:tcW w:w="700"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wAfter w:w="2843" w:type="dxa"/>
          <w:jc w:val="center"/>
        </w:trPr>
        <w:tc>
          <w:tcPr>
            <w:tcW w:w="1109"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FC</w:t>
            </w:r>
            <w:r>
              <w:rPr>
                <w:rFonts w:hint="eastAsia" w:ascii="宋体" w:hAnsi="宋体" w:eastAsia="宋体" w:cs="宋体"/>
                <w:color w:val="000000"/>
                <w:sz w:val="22"/>
                <w:szCs w:val="22"/>
                <w:lang w:val="en-US" w:eastAsia="zh-CN"/>
              </w:rPr>
              <w:t xml:space="preserve"> 能动条件</w:t>
            </w:r>
          </w:p>
        </w:tc>
        <w:tc>
          <w:tcPr>
            <w:tcW w:w="1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w:t>
            </w:r>
          </w:p>
        </w:tc>
        <w:tc>
          <w:tcPr>
            <w:tcW w:w="1155" w:type="dxa"/>
            <w:tcBorders>
              <w:top w:val="nil"/>
              <w:left w:val="nil"/>
              <w:bottom w:val="nil"/>
              <w:right w:val="nil"/>
            </w:tcBorders>
            <w:vAlign w:val="center"/>
          </w:tcPr>
          <w:p>
            <w:pPr>
              <w:snapToGrid/>
              <w:spacing w:before="0" w:after="0" w:line="240" w:lineRule="auto"/>
              <w:jc w:val="center"/>
              <w:rPr>
                <w:rFonts w:hint="default" w:ascii="宋体" w:hAnsi="宋体" w:eastAsia="宋体" w:cs="宋体"/>
                <w:color w:val="000000"/>
                <w:sz w:val="22"/>
                <w:szCs w:val="22"/>
                <w:lang w:val="en-US" w:eastAsia="zh-CN"/>
              </w:rPr>
            </w:pPr>
            <w:r>
              <w:rPr>
                <w:rFonts w:ascii="宋体" w:hAnsi="宋体" w:eastAsia="宋体" w:cs="宋体"/>
                <w:color w:val="000000"/>
                <w:sz w:val="22"/>
                <w:szCs w:val="22"/>
              </w:rPr>
              <w:t>IQ</w:t>
            </w:r>
            <w:r>
              <w:rPr>
                <w:rFonts w:hint="eastAsia" w:ascii="宋体" w:hAnsi="宋体" w:eastAsia="宋体" w:cs="宋体"/>
                <w:color w:val="000000"/>
                <w:sz w:val="22"/>
                <w:szCs w:val="22"/>
                <w:lang w:val="en-US" w:eastAsia="zh-CN"/>
              </w:rPr>
              <w:t xml:space="preserve"> 信息质量</w:t>
            </w:r>
          </w:p>
        </w:tc>
        <w:tc>
          <w:tcPr>
            <w:tcW w:w="106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0.774</w:t>
            </w:r>
          </w:p>
        </w:tc>
        <w:tc>
          <w:tcPr>
            <w:tcW w:w="892"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0.734</w:t>
            </w:r>
          </w:p>
        </w:tc>
        <w:tc>
          <w:tcPr>
            <w:tcW w:w="55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0.088</w:t>
            </w:r>
          </w:p>
        </w:tc>
        <w:tc>
          <w:tcPr>
            <w:tcW w:w="483"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8.836</w:t>
            </w:r>
          </w:p>
        </w:tc>
        <w:tc>
          <w:tcPr>
            <w:tcW w:w="700" w:type="dxa"/>
            <w:tcBorders>
              <w:top w:val="nil"/>
              <w:left w:val="nil"/>
              <w:bottom w:val="nil"/>
              <w:right w:val="nil"/>
            </w:tcBorders>
            <w:vAlign w:val="center"/>
          </w:tcPr>
          <w:p>
            <w:pPr>
              <w:snapToGrid/>
              <w:spacing w:before="0" w:after="0" w:line="240" w:lineRule="auto"/>
              <w:jc w:val="center"/>
              <w:rPr>
                <w:rFonts w:ascii="宋体" w:hAnsi="宋体" w:eastAsia="宋体" w:cs="宋体"/>
                <w:color w:val="000000"/>
                <w:sz w:val="22"/>
                <w:szCs w:val="22"/>
              </w:rPr>
            </w:pPr>
            <w:r>
              <w:rPr>
                <w:rFonts w:ascii="宋体" w:hAnsi="宋体" w:eastAsia="宋体" w:cs="宋体"/>
                <w:color w:val="000000"/>
                <w:sz w:val="22"/>
                <w:szCs w:val="22"/>
              </w:rPr>
              <w:t>0.000***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wAfter w:w="2843" w:type="dxa"/>
          <w:jc w:val="center"/>
        </w:trPr>
        <w:tc>
          <w:tcPr>
            <w:tcW w:w="6137" w:type="dxa"/>
            <w:gridSpan w:val="8"/>
            <w:tcBorders>
              <w:top w:val="single" w:color="000000" w:sz="10" w:space="0"/>
              <w:left w:val="nil"/>
              <w:bottom w:val="nil"/>
              <w:right w:val="nil"/>
            </w:tcBorders>
            <w:vAlign w:val="center"/>
          </w:tcPr>
          <w:p>
            <w:pPr>
              <w:pBdr>
                <w:left w:val="none" w:color="auto" w:sz="0" w:space="0"/>
                <w:right w:val="none" w:color="auto" w:sz="0" w:space="0"/>
              </w:pBdr>
              <w:jc w:val="left"/>
            </w:pPr>
            <w:r>
              <w:rPr>
                <w:sz w:val="18"/>
                <w:szCs w:val="18"/>
              </w:rPr>
              <w:t>注：***、**、*分别代表1%、5%、10%的显著性水平</w:t>
            </w:r>
          </w:p>
        </w:tc>
      </w:tr>
    </w:tbl>
    <w:p>
      <w:pPr>
        <w:widowControl w:val="0"/>
        <w:snapToGrid/>
        <w:spacing w:before="0" w:after="0" w:line="360" w:lineRule="auto"/>
        <w:ind w:firstLine="560" w:firstLineChars="200"/>
        <w:jc w:val="both"/>
        <w:rPr>
          <w:rFonts w:hint="default"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由模型结果（上表3-4）可知表现期望、</w:t>
      </w:r>
      <w:r>
        <w:rPr>
          <w:rFonts w:hint="eastAsia" w:ascii="Times New Roman" w:hAnsi="Times New Roman" w:eastAsia="楷体" w:cs="楷体"/>
          <w:color w:val="000000"/>
          <w:kern w:val="2"/>
          <w:sz w:val="28"/>
          <w:szCs w:val="22"/>
          <w:lang w:val="en-US" w:eastAsia="zh-CN" w:bidi="ar-SA"/>
        </w:rPr>
        <w:t>信息质量</w:t>
      </w:r>
      <w:r>
        <w:rPr>
          <w:rFonts w:ascii="Times New Roman" w:hAnsi="Times New Roman" w:eastAsia="楷体" w:cs="楷体"/>
          <w:color w:val="000000"/>
          <w:kern w:val="2"/>
          <w:sz w:val="28"/>
          <w:szCs w:val="22"/>
          <w:lang w:val="en-US" w:eastAsia="zh-CN" w:bidi="ar-SA"/>
        </w:rPr>
        <w:t>对线上诊疗使用意愿的直接影响为正向且显著的。从标准化系数中可看出表现期望对使用意愿的影响最大，为</w:t>
      </w:r>
      <w:r>
        <w:rPr>
          <w:rFonts w:hint="eastAsia" w:ascii="Times New Roman" w:hAnsi="Times New Roman" w:eastAsia="楷体" w:cs="楷体"/>
          <w:color w:val="000000"/>
          <w:kern w:val="2"/>
          <w:sz w:val="28"/>
          <w:szCs w:val="22"/>
          <w:lang w:val="en-US" w:eastAsia="zh-CN" w:bidi="ar-SA"/>
        </w:rPr>
        <w:t>1.008</w:t>
      </w:r>
      <w:r>
        <w:rPr>
          <w:rFonts w:ascii="Times New Roman" w:hAnsi="Times New Roman" w:eastAsia="楷体" w:cs="楷体"/>
          <w:color w:val="000000"/>
          <w:kern w:val="2"/>
          <w:sz w:val="28"/>
          <w:szCs w:val="22"/>
          <w:lang w:val="en-US" w:eastAsia="zh-CN" w:bidi="ar-SA"/>
        </w:rPr>
        <w:t>。</w:t>
      </w:r>
      <w:r>
        <w:rPr>
          <w:rFonts w:hint="eastAsia" w:ascii="Times New Roman" w:hAnsi="Times New Roman" w:eastAsia="楷体" w:cs="楷体"/>
          <w:color w:val="000000"/>
          <w:kern w:val="2"/>
          <w:sz w:val="28"/>
          <w:szCs w:val="22"/>
          <w:lang w:val="en-US" w:eastAsia="zh-CN" w:bidi="ar-SA"/>
        </w:rPr>
        <w:t>并且能动条件间接影响使用意愿</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表现期望正向影响使用意愿，且为最强的影响因子，这说明用户对于线上诊疗平台所提供的医疗健康信息有较大的需求和关注。并且线上诊疗平台所带来的咨询的快捷性与提升身体健康的有效性可以有效提升用户的使用意愿。</w:t>
      </w:r>
    </w:p>
    <w:p>
      <w:pPr>
        <w:widowControl w:val="0"/>
        <w:snapToGrid/>
        <w:spacing w:before="0" w:after="0" w:line="360" w:lineRule="auto"/>
        <w:ind w:firstLine="560" w:firstLineChars="200"/>
        <w:jc w:val="both"/>
        <w:rPr>
          <w:rFonts w:hint="default"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由于信息质量对于</w:t>
      </w:r>
      <w:r>
        <w:rPr>
          <w:rFonts w:hint="eastAsia" w:ascii="Times New Roman" w:hAnsi="Times New Roman" w:eastAsia="楷体" w:cs="楷体"/>
          <w:color w:val="000000"/>
          <w:kern w:val="2"/>
          <w:sz w:val="28"/>
          <w:szCs w:val="22"/>
          <w:lang w:val="en-US" w:eastAsia="zh-CN" w:bidi="ar-SA"/>
        </w:rPr>
        <w:t>使用意愿</w:t>
      </w:r>
      <w:r>
        <w:rPr>
          <w:rFonts w:ascii="Times New Roman" w:hAnsi="Times New Roman" w:eastAsia="楷体" w:cs="楷体"/>
          <w:color w:val="000000"/>
          <w:kern w:val="2"/>
          <w:sz w:val="28"/>
          <w:szCs w:val="22"/>
          <w:lang w:val="en-US" w:eastAsia="zh-CN" w:bidi="ar-SA"/>
        </w:rPr>
        <w:t>有强正向的影响作用，</w:t>
      </w:r>
      <w:r>
        <w:rPr>
          <w:rFonts w:hint="eastAsia" w:ascii="Times New Roman" w:hAnsi="Times New Roman" w:eastAsia="楷体" w:cs="楷体"/>
          <w:color w:val="000000"/>
          <w:kern w:val="2"/>
          <w:sz w:val="28"/>
          <w:szCs w:val="22"/>
          <w:lang w:val="en-US" w:eastAsia="zh-CN" w:bidi="ar-SA"/>
        </w:rPr>
        <w:t>与逐步回归模型结果相照应，</w:t>
      </w:r>
      <w:r>
        <w:rPr>
          <w:rFonts w:ascii="Times New Roman" w:hAnsi="Times New Roman" w:eastAsia="楷体" w:cs="楷体"/>
          <w:color w:val="000000"/>
          <w:kern w:val="2"/>
          <w:sz w:val="28"/>
          <w:szCs w:val="22"/>
          <w:lang w:val="en-US" w:eastAsia="zh-CN" w:bidi="ar-SA"/>
        </w:rPr>
        <w:t>作为供给方，线上诊疗平台可以从其提供医疗健康信息的真实性、权威性、时效性的三个方面进行改进</w:t>
      </w:r>
      <w:r>
        <w:rPr>
          <w:rFonts w:hint="eastAsia" w:ascii="Times New Roman" w:hAnsi="Times New Roman" w:eastAsia="楷体" w:cs="楷体"/>
          <w:color w:val="000000"/>
          <w:kern w:val="2"/>
          <w:sz w:val="28"/>
          <w:szCs w:val="22"/>
          <w:lang w:val="en-US" w:eastAsia="zh-CN" w:bidi="ar-SA"/>
        </w:rPr>
        <w:t>，并且真实性是其首先需要关注的。</w:t>
      </w:r>
    </w:p>
    <w:p>
      <w:pPr>
        <w:widowControl w:val="0"/>
        <w:snapToGrid/>
        <w:spacing w:before="0" w:after="0" w:line="360" w:lineRule="auto"/>
        <w:ind w:firstLine="560" w:firstLineChars="200"/>
        <w:jc w:val="both"/>
        <w:rPr>
          <w:rFonts w:ascii="Times New Roman" w:hAnsi="Times New Roman" w:eastAsia="楷体" w:cs="楷体"/>
          <w:color w:val="000000"/>
          <w:kern w:val="2"/>
          <w:sz w:val="28"/>
          <w:szCs w:val="22"/>
          <w:lang w:val="en-US" w:eastAsia="zh-CN" w:bidi="ar-SA"/>
        </w:rPr>
      </w:pPr>
      <w:r>
        <w:rPr>
          <w:rFonts w:ascii="Times New Roman" w:hAnsi="Times New Roman" w:eastAsia="楷体" w:cs="楷体"/>
          <w:color w:val="000000"/>
          <w:kern w:val="2"/>
          <w:sz w:val="28"/>
          <w:szCs w:val="22"/>
          <w:lang w:val="en-US" w:eastAsia="zh-CN" w:bidi="ar-SA"/>
        </w:rPr>
        <w:t>能动条件对</w:t>
      </w:r>
      <w:r>
        <w:rPr>
          <w:rFonts w:hint="eastAsia" w:ascii="Times New Roman" w:hAnsi="Times New Roman" w:eastAsia="楷体" w:cs="楷体"/>
          <w:color w:val="000000"/>
          <w:kern w:val="2"/>
          <w:sz w:val="28"/>
          <w:szCs w:val="22"/>
          <w:lang w:val="en-US" w:eastAsia="zh-CN" w:bidi="ar-SA"/>
        </w:rPr>
        <w:t>表现期望和信息质量均有显著正向的影响作用</w:t>
      </w:r>
      <w:r>
        <w:rPr>
          <w:rFonts w:ascii="Times New Roman" w:hAnsi="Times New Roman" w:eastAsia="楷体" w:cs="楷体"/>
          <w:color w:val="000000"/>
          <w:kern w:val="2"/>
          <w:sz w:val="28"/>
          <w:szCs w:val="22"/>
          <w:lang w:val="en-US" w:eastAsia="zh-CN" w:bidi="ar-SA"/>
        </w:rPr>
        <w:t>，这说明用户是否能够使用平台，是否有使用线上诊疗的硬件设施以及能否获得使用线上诊疗的帮助对其使用线上诊疗平台的意愿均有</w:t>
      </w:r>
      <w:r>
        <w:rPr>
          <w:rFonts w:hint="eastAsia" w:ascii="Times New Roman" w:hAnsi="Times New Roman" w:eastAsia="楷体" w:cs="楷体"/>
          <w:color w:val="000000"/>
          <w:kern w:val="2"/>
          <w:sz w:val="28"/>
          <w:szCs w:val="22"/>
          <w:lang w:val="en-US" w:eastAsia="zh-CN" w:bidi="ar-SA"/>
        </w:rPr>
        <w:t>间接</w:t>
      </w:r>
      <w:r>
        <w:rPr>
          <w:rFonts w:ascii="Times New Roman" w:hAnsi="Times New Roman" w:eastAsia="楷体" w:cs="楷体"/>
          <w:color w:val="000000"/>
          <w:kern w:val="2"/>
          <w:sz w:val="28"/>
          <w:szCs w:val="22"/>
          <w:lang w:val="en-US" w:eastAsia="zh-CN" w:bidi="ar-SA"/>
        </w:rPr>
        <w:t>影响。平台可以提升其使用的便捷性，增强使用界面的简洁程度并提供使用指引，以此提高用户的使用意愿。并且，作为监管方与引导方，政府可以从完善行业环境入手，颁布相关政策为线上诊疗行业的健康发展做好引导，从而为线上诊疗平台提供安全的使用条件。</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D97D14"/>
    <w:multiLevelType w:val="multilevel"/>
    <w:tmpl w:val="1BD97D14"/>
    <w:lvl w:ilvl="0" w:tentative="0">
      <w:start w:val="1"/>
      <w:numFmt w:val="chineseCountingThousand"/>
      <w:lvlText w:val="%1、"/>
      <w:lvlJc w:val="left"/>
      <w:pPr>
        <w:ind w:left="462" w:hanging="462"/>
      </w:pPr>
      <w:rPr>
        <w:rFonts w:hint="eastAsia"/>
      </w:rPr>
    </w:lvl>
    <w:lvl w:ilvl="1" w:tentative="0">
      <w:start w:val="1"/>
      <w:numFmt w:val="chineseCountingThousand"/>
      <w:lvlText w:val="（%2）"/>
      <w:lvlJc w:val="left"/>
      <w:pPr>
        <w:ind w:left="336" w:hanging="336"/>
      </w:pPr>
      <w:rPr>
        <w:rFonts w:hint="eastAsia"/>
      </w:rPr>
    </w:lvl>
    <w:lvl w:ilvl="2" w:tentative="0">
      <w:start w:val="1"/>
      <w:numFmt w:val="decimal"/>
      <w:lvlText w:val="%3."/>
      <w:lvlJc w:val="left"/>
      <w:pPr>
        <w:ind w:left="336" w:hanging="336"/>
      </w:pPr>
      <w:rPr>
        <w:rFonts w:hint="eastAsia"/>
      </w:rPr>
    </w:lvl>
    <w:lvl w:ilvl="3" w:tentative="0">
      <w:start w:val="1"/>
      <w:numFmt w:val="decimal"/>
      <w:lvlText w:val="%4）"/>
      <w:lvlJc w:val="left"/>
      <w:pPr>
        <w:ind w:left="1313" w:hanging="462"/>
      </w:pPr>
      <w:rPr>
        <w:rFonts w:hint="eastAsia"/>
      </w:rPr>
    </w:lvl>
    <w:lvl w:ilvl="4" w:tentative="0">
      <w:start w:val="1"/>
      <w:numFmt w:val="decimal"/>
      <w:lvlText w:val="%5、"/>
      <w:lvlJc w:val="left"/>
      <w:pPr>
        <w:ind w:left="2096" w:hanging="336"/>
      </w:pPr>
      <w:rPr>
        <w:rFonts w:hint="eastAsia"/>
      </w:rPr>
    </w:lvl>
    <w:lvl w:ilvl="5" w:tentative="0">
      <w:start w:val="1"/>
      <w:numFmt w:val="lowerLetter"/>
      <w:lvlText w:val="%6)"/>
      <w:lvlJc w:val="left"/>
      <w:pPr>
        <w:ind w:left="2536" w:hanging="336"/>
      </w:pPr>
      <w:rPr>
        <w:rFonts w:hint="eastAsia"/>
      </w:rPr>
    </w:lvl>
    <w:lvl w:ilvl="6" w:tentative="0">
      <w:start w:val="1"/>
      <w:numFmt w:val="chineseCountingThousand"/>
      <w:lvlText w:val="%7、"/>
      <w:lvlJc w:val="left"/>
      <w:pPr>
        <w:ind w:left="3102" w:hanging="462"/>
      </w:pPr>
      <w:rPr>
        <w:rFonts w:hint="eastAsia"/>
      </w:rPr>
    </w:lvl>
    <w:lvl w:ilvl="7" w:tentative="0">
      <w:start w:val="1"/>
      <w:numFmt w:val="decimal"/>
      <w:lvlText w:val="%8、"/>
      <w:lvlJc w:val="left"/>
      <w:pPr>
        <w:ind w:left="3416" w:hanging="336"/>
      </w:pPr>
      <w:rPr>
        <w:rFonts w:hint="eastAsia"/>
      </w:rPr>
    </w:lvl>
    <w:lvl w:ilvl="8" w:tentative="0">
      <w:start w:val="0"/>
      <w:numFmt w:val="decimal"/>
      <w:lvlText w:val=""/>
      <w:lvlJc w:val="left"/>
      <w:pPr>
        <w:ind w:left="0" w:firstLine="0"/>
      </w:pPr>
      <w:rPr>
        <w:rFonts w:hint="eastAsia"/>
      </w:rPr>
    </w:lvl>
  </w:abstractNum>
  <w:abstractNum w:abstractNumId="1">
    <w:nsid w:val="28921217"/>
    <w:multiLevelType w:val="multilevel"/>
    <w:tmpl w:val="28921217"/>
    <w:lvl w:ilvl="0" w:tentative="0">
      <w:start w:val="1"/>
      <w:numFmt w:val="decimal"/>
      <w:lvlText w:val="%1)"/>
      <w:lvlJc w:val="left"/>
      <w:pPr>
        <w:ind w:left="920" w:hanging="36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2ZGZiNzZiNDVlOGViOWVmM2JhOTY0NGJkNjUyYzgifQ=="/>
  </w:docVars>
  <w:rsids>
    <w:rsidRoot w:val="6A380277"/>
    <w:rsid w:val="0FE9445C"/>
    <w:rsid w:val="2E311CB1"/>
    <w:rsid w:val="6A380277"/>
    <w:rsid w:val="752D5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qFormat/>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svg"/><Relationship Id="rId7" Type="http://schemas.openxmlformats.org/officeDocument/2006/relationships/image" Target="media/image4.png"/><Relationship Id="rId6" Type="http://schemas.openxmlformats.org/officeDocument/2006/relationships/image" Target="media/image3.sv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svg"/><Relationship Id="rId17" Type="http://schemas.openxmlformats.org/officeDocument/2006/relationships/image" Target="media/image14.png"/><Relationship Id="rId16" Type="http://schemas.openxmlformats.org/officeDocument/2006/relationships/image" Target="media/image13.svg"/><Relationship Id="rId15" Type="http://schemas.openxmlformats.org/officeDocument/2006/relationships/image" Target="media/image12.png"/><Relationship Id="rId14" Type="http://schemas.openxmlformats.org/officeDocument/2006/relationships/image" Target="media/image11.svg"/><Relationship Id="rId13" Type="http://schemas.openxmlformats.org/officeDocument/2006/relationships/image" Target="media/image10.png"/><Relationship Id="rId12" Type="http://schemas.openxmlformats.org/officeDocument/2006/relationships/image" Target="media/image9.svg"/><Relationship Id="rId11" Type="http://schemas.openxmlformats.org/officeDocument/2006/relationships/image" Target="media/image8.png"/><Relationship Id="rId10" Type="http://schemas.openxmlformats.org/officeDocument/2006/relationships/image" Target="media/image7.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2023-03-27T10:17:00Z</dcterms:created>
  <dc:creator>遥远的相似性</dc:creator>
  <cp:lastModifiedBy>遥远的相似性</cp:lastModifiedBy>
  <dcterms:modified xsi:type="dcterms:W3CDTF">2023-03-27T14:39:43Z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F540F7E036854D5FBA854804B9D026CF</vt:lpwstr>
  </property>
</Properties>
</file>