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rPr>
          <w:rFonts w:ascii="Arial" w:cs="Arial" w:eastAsia="Arial" w:hAnsi="Arial"/>
          <w:i/>
          <w:iCs/>
          <w:sz w:val="24"/>
          <w:szCs w:val="24"/>
        </w:rPr>
        <w:t xml:space="preserve">Una propuesta basada en la Torre Top-Hat multiescala</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en los espectros visible (VIS) e infrarrojo (IR) es una técnica clave para la percepción computacional en condiciones adversas, con aplicaciones en vigilancia, conducción autónoma e inspección industrial. Este trabajo propone y evalúa la Torre Top-Hat: una descomposición morfológica multiescala con elementos estructurantes (SE) configurables (disco, cuadrado, cruz), múltiples niveles y radios variables, en dos modos: White Top-Hat (WTH) y White+Black Top-Hat (WTH+BTH). Las capas de detalle se fusionan por máxima actividad local y la base de baja frecuencia se promedia. Se realizaron estudios experimentales sobre veinte (20) pares VIS/IR del TNO Image Fusion Dataset, comparando la Torre Top-Hat frente a tres baselines (promedio, pirámide de Laplace y curvelet). La calidad se midió con doce métricas sin referencia: seis clásicas de actividad e información (EN, SD, FE, MG, MI_vis, MI_ir) y seis estándar de calidad de fusión (SF, Qabf, Nabf, SSIM, SCD, VIF). El análisis no paramétrico (Friedman, Wilcoxon pareado con corrección de Holm y tamaño de efecto, ranking promedio) reveló diferencias significativas (p &lt; 0,001 en las doce métricas). La pirámide de Laplace encabeza el ranking global agregado (rango 4,42) por su ventaja en contraste y fidelidad perceptual, pero la mejor configuración Top-Hat WTH (disco, L = 5; rango 5,00) la supera de forma estadísticamente significativa en fidelidad estructural (SSIM, SCD) y la iguala en preservación de bordes (Qabf) y artefactos (Nabf): ningún método domina, sino que cada uno es óptimo en criterios complementarios. La variante con Black Top-Hat aumenta el contraste (EN, SD, SF, MG) pero degrada la calidad (Qabf, SSIM, VIF) y multiplica los artefactos (Nabf), por lo que no se recomienda por defecto. Se concluye que la Torre Top-Hat es un método clásico, interpretable, computacionalmente liviano y superior a la pirámide de Laplace en fidelidad estructural a las fuentes.</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Image fusion in the visible (VIS) and infrared (IR) spectra is a key technique for computer perception under adverse conditions, with applications in surveillance, autonomous driving and industrial inspection. This work proposes and evaluates the Top-Hat Tower: a multi-scale morphological decomposition with configurable structuring elements (disk, square, cross), variable number of levels and base radii, in two modes: White Top-Hat (WTH) and White+Black Top-Hat (WTH+BTH). Detail layers are fused via local-activity selection while the low-frequency base is averaged. Experiments were carried out over twenty (20) VIS/IR pairs from the TNO Image Fusion Dataset, comparing the Top-Hat Tower against three baselines (average, Laplacian pyramid and curvelet). Quality was measured with twelve no-reference metrics: six classical metrics of activity and information (EN, SD, FE, MG, MI_vis, MI_ir) and six standard fusion-quality metrics (SF, Qabf, Nabf, SSIM, SCD, VIF). Non-parametric analysis (Friedman, paired Wilcoxon with Holm correction and effect size, mean rank) revealed significant differences (p &lt; 0.001 in all twelve metrics). The Laplacian pyramid leads the aggregate ranking (4.42) thanks to its advantage in contrast and perceptual fidelity, but the best Top-Hat WTH configuration (disk, L = 5; rank 5.00) significantly outperforms it in structural fidelity (SSIM, SCD) and matches it in edge preservation (Qabf) and artifacts (Nabf): no single method dominates, each being optimal under complementary criteria. The Black Top-Hat variant increases contrast (EN, SD, SF, MG) but degrades quality (Qabf, SSIM, VIF) and multiplies artifacts (Nabf), and is therefore not recommended by default. The Top-Hat Tower is concluded to be a classical, interpretable, computationally light method, superior to the Laplacian pyramid in structural fidelity to the sources.</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r>
        <w:tc>
          <w:tcPr>
            <w:tcW w:type="dxa" w:w="2400"/>
          </w:tcPr>
          <w:p>
            <w:r>
              <w:rPr>
                <w:b w:val="0"/>
              </w:rPr>
              <w:t>YOLO</w:t>
            </w:r>
          </w:p>
        </w:tc>
        <w:tc>
          <w:tcPr>
            <w:tcW w:type="dxa" w:w="6960"/>
          </w:tcPr>
          <w:p>
            <w:r>
              <w:rPr>
                <w:b w:val="0"/>
              </w:rPr>
              <w:t>You Only Look Once (detector de objetos)</w:t>
            </w:r>
          </w:p>
        </w:tc>
      </w:tr>
      <w:tr>
        <w:tc>
          <w:tcPr>
            <w:tcW w:type="dxa" w:w="2400"/>
          </w:tcPr>
          <w:p>
            <w:r>
              <w:rPr>
                <w:b w:val="0"/>
              </w:rPr>
              <w:t>FPS</w:t>
            </w:r>
          </w:p>
        </w:tc>
        <w:tc>
          <w:tcPr>
            <w:tcW w:type="dxa" w:w="6960"/>
          </w:tcPr>
          <w:p>
            <w:r>
              <w:rPr>
                <w:b w:val="0"/>
              </w:rPr>
              <w:t>Cuadros por segundo (Frames Per Second)</w:t>
            </w:r>
          </w:p>
        </w:tc>
      </w:tr>
      <w:tr>
        <w:tc>
          <w:tcPr>
            <w:tcW w:type="dxa" w:w="2400"/>
          </w:tcPr>
          <w:p>
            <w:r>
              <w:rPr>
                <w:b w:val="0"/>
              </w:rPr>
              <w:t>mAP</w:t>
            </w:r>
          </w:p>
        </w:tc>
        <w:tc>
          <w:tcPr>
            <w:tcW w:type="dxa" w:w="6960"/>
          </w:tcPr>
          <w:p>
            <w:r>
              <w:rPr>
                <w:b w:val="0"/>
              </w:rPr>
              <w:t>Precisión media promedio (mean Average Precision)</w:t>
            </w:r>
          </w:p>
        </w:tc>
      </w:tr>
      <w:tr>
        <w:tc>
          <w:tcPr>
            <w:tcW w:type="dxa" w:w="2400"/>
          </w:tcPr>
          <w:p>
            <w:r>
              <w:rPr>
                <w:b w:val="0"/>
              </w:rPr>
              <w:t>PSO</w:t>
            </w:r>
          </w:p>
        </w:tc>
        <w:tc>
          <w:tcPr>
            <w:tcW w:type="dxa" w:w="6960"/>
          </w:tcPr>
          <w:p>
            <w:r>
              <w:rPr>
                <w:b w:val="0"/>
              </w:rPr>
              <w:t>Optimización por Enjambre de Partículas (Particle Swarm Optimization)</w:t>
            </w:r>
          </w:p>
        </w:tc>
      </w:tr>
      <w:tr>
        <w:tc>
          <w:tcPr>
            <w:tcW w:type="dxa" w:w="2400"/>
          </w:tcPr>
          <w:p>
            <w:r>
              <w:rPr>
                <w:b w:val="0"/>
              </w:rPr>
              <w:t>PSNR</w:t>
            </w:r>
          </w:p>
        </w:tc>
        <w:tc>
          <w:tcPr>
            <w:tcW w:type="dxa" w:w="6960"/>
          </w:tcPr>
          <w:p>
            <w:r>
              <w:rPr>
                <w:b w:val="0"/>
              </w:rPr>
              <w:t>Relación señal-ruido de pico (Peak Signal-to-Noise Ratio)</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rPr>
          <w:rFonts w:ascii="Arial" w:cs="Arial" w:eastAsia="Arial" w:hAnsi="Arial"/>
          <w:sz w:val="24"/>
          <w:szCs w:val="24"/>
        </w:rPr>
        <w:t xml:space="preserve">Proponer y evaluar un método de fusión de imágenes visibles e infrarrojas basado en una Torre Top-Hat morfológica multiescala, comparándolo cuantitativa y estadísticamente con métodos de referencia del estado del arte sobre el dataset TNO Image Fusion.</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rPr>
          <w:rFonts w:ascii="Arial" w:cs="Arial" w:eastAsia="Arial" w:hAnsi="Arial"/>
          <w:sz w:val="24"/>
          <w:szCs w:val="24"/>
        </w:rPr>
        <w:t xml:space="preserve">Implementar la Torre Top-Hat multiescala con tres geometrías de elemento estructurante (disco, cuadrado, cruz), múltiples niveles de descomposición y radios base configurables.</w:t>
      </w:r>
    </w:p>
    <w:p>
      <w:pPr>
        <w:pStyle w:val="ListParagraph"/>
        <w:numPr>
          <w:ilvl w:val="0"/>
          <w:numId w:val="2"/>
        </w:numPr>
        <w:spacing w:after="100" w:line="320"/>
        <w:jc w:val="both"/>
      </w:pPr>
      <w:r>
        <w:rPr>
          <w:rFonts w:ascii="Arial" w:cs="Arial" w:eastAsia="Arial" w:hAnsi="Arial"/>
          <w:sz w:val="24"/>
          <w:szCs w:val="24"/>
        </w:rPr>
        <w:t xml:space="preserve">Realizar un benchmark exhaustivo de las treinta y seis (36) configuraciones resultantes sobre los veinte (20) pares del dataset, identificando la configuración óptima por métrica.</w:t>
      </w:r>
    </w:p>
    <w:p>
      <w:pPr>
        <w:pStyle w:val="ListParagraph"/>
        <w:numPr>
          <w:ilvl w:val="0"/>
          <w:numId w:val="2"/>
        </w:numPr>
        <w:spacing w:after="100" w:line="320"/>
        <w:jc w:val="both"/>
      </w:pPr>
      <w:r>
        <w:rPr>
          <w:rFonts w:ascii="Arial" w:cs="Arial" w:eastAsia="Arial" w:hAnsi="Arial"/>
          <w:sz w:val="24"/>
          <w:szCs w:val="24"/>
        </w:rPr>
        <w:t xml:space="preserve">Comparar el método propuesto con tres baselines representativos del estado del arte: promedio, pirámide de Laplace y curvelet (vía wavelet 2D).</w:t>
      </w:r>
    </w:p>
    <w:p>
      <w:pPr>
        <w:pStyle w:val="ListParagraph"/>
        <w:numPr>
          <w:ilvl w:val="0"/>
          <w:numId w:val="2"/>
        </w:numPr>
        <w:spacing w:after="100" w:line="320"/>
        <w:jc w:val="both"/>
      </w:pPr>
      <w:r>
        <w:rPr>
          <w:rFonts w:ascii="Arial" w:cs="Arial" w:eastAsia="Arial" w:hAnsi="Arial"/>
          <w:sz w:val="24"/>
          <w:szCs w:val="24"/>
        </w:rPr>
        <w:t xml:space="preserve">Validar las diferencias observadas mediante pruebas estadísticas no paramétricas (Friedman global y Wilcoxon pareado), construyendo un ranking promedio de métodos.</w:t>
      </w:r>
    </w:p>
    <w:p>
      <w:pPr>
        <w:pStyle w:val="ListParagraph"/>
        <w:numPr>
          <w:ilvl w:val="0"/>
          <w:numId w:val="2"/>
        </w:numPr>
        <w:spacing w:after="100" w:line="320"/>
        <w:jc w:val="both"/>
      </w:pPr>
      <w:r>
        <w:rPr>
          <w:rFonts w:ascii="Arial" w:cs="Arial" w:eastAsia="Arial" w:hAnsi="Arial"/>
          <w:sz w:val="24"/>
          <w:szCs w:val="24"/>
        </w:rPr>
        <w:t xml:space="preserve">Discutir las implicancias prácticas de los hallazgos en términos de qué método es preferible bajo qué criterio de calidad.</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p>
      <w:pPr>
        <w:pStyle w:val="Heading3"/>
        <w:spacing w:after="100" w:before="180"/>
      </w:pPr>
      <w:r>
        <w:rPr>
          <w:rFonts w:ascii="Arial" w:cs="Arial" w:eastAsia="Arial" w:hAnsi="Arial"/>
          <w:b/>
          <w:bCs/>
          <w:i/>
          <w:iCs/>
          <w:sz w:val="24"/>
          <w:szCs w:val="24"/>
        </w:rPr>
        <w:t xml:space="preserve">Torre Top-Hat (método propuesto)</w:t>
      </w:r>
    </w:p>
    <w:p>
      <w:pPr>
        <w:spacing w:after="160" w:line="360"/>
        <w:jc w:val="both"/>
      </w:pPr>
      <w:r>
        <w:t>Sobre la transformada Top-Hat de una sola escala, esta tesis propone una descomposición multiescala iterativa, la Torre Top-Hat.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p>
      <w:pPr>
        <w:jc w:val="center"/>
      </w:pPr>
      <w:r>
        <w:rPr>
          <w:b/>
        </w:rPr>
        <w:t>F = base_fusionada + Σₖ WTHₖ^fus − Σₖ BTHₖ^fus</w:t>
      </w:r>
    </w:p>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Esquema conceptual de la Torre Top-Hat propuesta.</w:t>
      </w:r>
    </w:p>
    <w:p>
      <w:pPr>
        <w:pStyle w:val="Heading3"/>
      </w:pPr>
      <w:r>
        <w:t>Método óptimo basado en Top-Hat (disco y lineales) con PSO</w:t>
      </w:r>
    </w:p>
    <w:p>
      <w:r>
        <w:t>Como evolución de la Torre Top-Hat se propone el método óptimo, que enriquece el operador morfológico combinando elementos estructurantes de dos geometrías —un disco y cuatro líneas orientadas a 0°, 45°, 90° y 135°— inspirado en el realce multiescala de Román et al. para mamografías (transformadas top-hat con SE circulares y lineales, ecuaciones 9–14). Para cada fuente, la transformada White Top-Hat combinada se define como la suma de la respuesta del disco y el promedio de las cuatro respuestas lineales:</w:t>
      </w:r>
    </w:p>
    <w:p>
      <w:pPr>
        <w:jc w:val="center"/>
      </w:pPr>
      <w:r>
        <w:rPr>
          <w:b/>
        </w:rPr>
        <w:t>WTH = WTH_disco + (1/4) Σθ WTH_lineal(θ),     θ ∈ {0°, 45°, 90°, 135°}</w:t>
      </w:r>
    </w:p>
    <w:p>
      <w:r>
        <w:t>y análogamente la Black Top-Hat con el cierre. El disco responde de forma isótropa a regiones sin orientación dominante, mientras que las líneas resaltan estructuras direccionales; su combinación captura detalles complementarios. La fusión sigue el esquema de Ortega y Espinoza (FPUNA, 2025): sobre la imagen base I_base = (VIS+IR)/2 se suma el máximo por píxel de las WTH y se resta el máximo de las BTH de ambas fuentes, ponderado por un peso de contraste m: I_FUS = I_base + m·máx(WTH_VIS, WTH_IR) − m·máx(BTH_VIS, BTH_IR).</w:t>
      </w:r>
    </w:p>
    <w:p>
      <w:r>
        <w:t>Los dos hiperparámetros morfológicos —el radio r del elemento estructurante y el peso de contraste m— se ajustan automáticamente mediante Optimización por Enjambre de Partículas (PSO), eliminando el ajuste manual. El PSO maximiza una función de aptitud multicriterio F = SSIM_avg + E_n + PSNR_n (similitud estructural promedio respecto a las fuentes, entropía y PSNR normalizados), con 30 partículas y 30 iteraciones, inercia decreciente y coeficientes c1 = c2 = 1,5, sobre el rango r ∈ [1, 9], m ∈ [0,3, 2,0].</w:t>
      </w:r>
    </w:p>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pStyle w:val="ListParagraph"/>
        <w:numPr>
          <w:ilvl w:val="0"/>
          <w:numId w:val="3"/>
        </w:numPr>
        <w:spacing w:after="100" w:line="320"/>
        <w:jc w:val="both"/>
      </w:pPr>
      <w:r>
        <w:rPr>
          <w:rFonts w:ascii="Arial" w:cs="Arial" w:eastAsia="Arial" w:hAnsi="Arial"/>
          <w:sz w:val="24"/>
          <w:szCs w:val="24"/>
        </w:rPr>
        <w:t xml:space="preserve">Promedio simple. Combinación lineal F = 0,5 · I_VIS + 0,5 · I_IR. Constituye la cota inferior de complejidad y desempeño esperable.</w:t>
      </w:r>
    </w:p>
    <w:p>
      <w:pPr>
        <w:pStyle w:val="ListParagraph"/>
        <w:numPr>
          <w:ilvl w:val="0"/>
          <w:numId w:val="3"/>
        </w:numPr>
        <w:spacing w:after="100" w:line="320"/>
        <w:jc w:val="both"/>
      </w:pPr>
      <w:r>
        <w:rPr>
          <w:rFonts w:ascii="Arial" w:cs="Arial" w:eastAsia="Arial" w:hAnsi="Arial"/>
          <w:sz w:val="24"/>
          <w:szCs w:val="24"/>
        </w:rPr>
        <w:t xml:space="preserve">Pirámide de Laplace. Descomposición Gaussiana–Laplaciana de Burt y Adelson (1983) con cuatro niveles, regla de fusión por máxima actividad local en cada banda y reconstrucción por expansión inversa. Es el baseline canónico en la literatura clásica de fusión.</w:t>
      </w:r>
    </w:p>
    <w:p>
      <w:pPr>
        <w:pStyle w:val="ListParagraph"/>
        <w:numPr>
          <w:ilvl w:val="0"/>
          <w:numId w:val="3"/>
        </w:numPr>
        <w:spacing w:after="100" w:line="320"/>
        <w:jc w:val="both"/>
      </w:pPr>
      <w:r>
        <w:rPr>
          <w:rFonts w:ascii="Arial" w:cs="Arial" w:eastAsia="Arial" w:hAnsi="Arial"/>
          <w:sz w:val="24"/>
          <w:szCs w:val="24"/>
        </w:rPr>
        <w:t xml:space="preserve">Curvelet (vía wavelet 2D). Descomposición discreta en subbandas direccionales mediante PyWavelets con familia Daubechies (db4) y tres niveles. Aproxima el comportamiento multiorientado de las curvelets de Candès et al. (2006), regla de máxima magnitud en subbandas de detalle, promedio en aproximación.</w:t>
      </w:r>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rFonts w:ascii="Arial" w:cs="Arial" w:eastAsia="Arial" w:hAnsi="Arial"/>
          <w:sz w:val="24"/>
          <w:szCs w:val="24"/>
        </w:rPr>
        <w:t xml:space="preserve">La figura 2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rFonts w:ascii="Arial" w:cs="Arial" w:eastAsia="Arial" w:hAnsi="Arial"/>
          <w:sz w:val="24"/>
          <w:szCs w:val="24"/>
        </w:rPr>
        <w:t xml:space="preserve">Una distribución más completa de las métricas, no reducida al promedio, se aprecia en los diagramas de caja de la figura 3.</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t>Figura 3.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t>Figura 4.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rFonts w:ascii="Arial" w:cs="Arial" w:eastAsia="Arial" w:hAnsi="Arial"/>
          <w:sz w:val="24"/>
          <w:szCs w:val="24"/>
        </w:rPr>
        <w:t xml:space="preserve">Más allá de la comparación inter-método, se ejecutó un benchmark exhaustivo de las 36 configuraciones de la Torre Top-Hat. La figura 5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t>Figura 6. Impacto de añadir Black Top-Hat sobre las configuraciones disco L3 y L5: cambio relativo por métrica (verde = mejora, rojo = empeora).</w:t>
      </w:r>
    </w:p>
    <w:p>
      <w:pPr>
        <w:pStyle w:val="Heading2"/>
      </w:pPr>
      <w:r>
        <w:t>Evaluación orientada a tarea: detección con YOLO</w:t>
      </w:r>
    </w:p>
    <w:p>
      <w:r>
        <w:t>Para evaluar la utilidad de la fusión más allá de la calidad de imagen se realizó una evaluación orientada a tarea con un detector YOLOv8n preentrenado (clases COCO). Sin reentrenar ni anotar, se ejecutó inferencia sobre las 20 imágenes en cada versión (VIS, IR y las once fusiones) y se contabilizó la detectabilidad: número de detecciones, clase (persona/vehículo) y confianza. La Tabla 6 agrupa los resultados por tipo de fuente.</w:t>
      </w:r>
    </w:p>
    <w:p>
      <w:r>
        <w:t>Tabla 6. Detectabilidad de YOLOv8n por tipo de fuente (suma sobre 20 imágenes).</w:t>
      </w:r>
    </w:p>
    <w:p>
      <w:r>
        <w:t>El hallazgo principal respalda la utilidad de la fusión: sobre la VIS sola el detector apenas encuentra una (1) persona en todo el conjunto, mientras que con la información infrarroja las fusiones elevan la detección de personas a trece (familia Top-Hat) y dieciséis (variantes con BTH). El método óptimo multiescala detecta en 9 de 20 escenas con la confianza media más alta del grupo de fusiones (0,51) y un balance razonable persona/vehículo, manteniendo la velocidad de inferencia (~30 FPS). Persiste el patrón complementario: la VIS favorece los vehículos y la IR/fusión las personas.</w:t>
      </w:r>
    </w:p>
    <w:p>
      <w:r>
        <w:drawing>
          <wp:inline xmlns:a="http://schemas.openxmlformats.org/drawingml/2006/main" xmlns:pic="http://schemas.openxmlformats.org/drawingml/2006/picture">
            <wp:extent cx="5760720" cy="2150669"/>
            <wp:docPr id="7" name="Picture 7"/>
            <wp:cNvGraphicFramePr>
              <a:graphicFrameLocks noChangeAspect="1"/>
            </wp:cNvGraphicFramePr>
            <a:graphic>
              <a:graphicData uri="http://schemas.openxmlformats.org/drawingml/2006/picture">
                <pic:pic>
                  <pic:nvPicPr>
                    <pic:cNvPr id="0" name="fig_deteccion_yolo.png"/>
                    <pic:cNvPicPr/>
                  </pic:nvPicPr>
                  <pic:blipFill>
                    <a:blip r:embed="rId20"/>
                    <a:stretch>
                      <a:fillRect/>
                    </a:stretch>
                  </pic:blipFill>
                  <pic:spPr>
                    <a:xfrm>
                      <a:off x="0" y="0"/>
                      <a:ext cx="5760720" cy="2150669"/>
                    </a:xfrm>
                    <a:prstGeom prst="rect"/>
                  </pic:spPr>
                </pic:pic>
              </a:graphicData>
            </a:graphic>
          </wp:inline>
        </w:drawing>
      </w:r>
    </w:p>
    <w:p>
      <w:r>
        <w:t>Figura 7. Detectabilidad de YOLOv8n preentrenado por modalidad (izq.: personas vs vehículos por grupo; der.: detecciones por método; el método óptimo multiescala resaltado).</w:t>
      </w:r>
    </w:p>
    <w:p>
      <w:r>
        <w:t>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0,29 para el número de detecciones; p = 0,79 para la confianza), por lo que no es posible declarar un método de fusión ganador en términos de detección. La inferencia en CPU alcanzó 1,6–2,7 FPS. Para una comparación concluyente en términos de mAP, precisión, recall y F1 se requiere un conjunto etiquetado (p. ej. mediante Roboflow o el dataset M3FD) y un mayor número de muestras; el procedimiento y los notebooks correspondientes se entregan como base para ese trabajo (Apéndice y repositorio).</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Fuente</w:t>
            </w:r>
          </w:p>
        </w:tc>
        <w:tc>
          <w:tcPr>
            <w:tcW w:type="dxa" w:w="1517"/>
          </w:tcPr>
          <w:p>
            <w:r>
              <w:rPr>
                <w:b/>
              </w:rPr>
              <w:t>Detecciones</w:t>
            </w:r>
          </w:p>
        </w:tc>
        <w:tc>
          <w:tcPr>
            <w:tcW w:type="dxa" w:w="1517"/>
          </w:tcPr>
          <w:p>
            <w:r>
              <w:rPr>
                <w:b/>
              </w:rPr>
              <w:t>Personas</w:t>
            </w:r>
          </w:p>
        </w:tc>
        <w:tc>
          <w:tcPr>
            <w:tcW w:type="dxa" w:w="1517"/>
          </w:tcPr>
          <w:p>
            <w:r>
              <w:rPr>
                <w:b/>
              </w:rPr>
              <w:t>Vehículos</w:t>
            </w:r>
          </w:p>
        </w:tc>
        <w:tc>
          <w:tcPr>
            <w:tcW w:type="dxa" w:w="1517"/>
          </w:tcPr>
          <w:p>
            <w:r>
              <w:rPr>
                <w:b/>
              </w:rPr>
              <w:t>Confianza media</w:t>
            </w:r>
          </w:p>
        </w:tc>
        <w:tc>
          <w:tcPr>
            <w:tcW w:type="dxa" w:w="1517"/>
          </w:tcPr>
          <w:p>
            <w:r>
              <w:rPr>
                <w:b/>
              </w:rPr>
              <w:t>FPS</w:t>
            </w:r>
          </w:p>
        </w:tc>
      </w:tr>
      <w:tr>
        <w:tc>
          <w:tcPr>
            <w:tcW w:type="dxa" w:w="1517"/>
          </w:tcPr>
          <w:p>
            <w:r>
              <w:rPr>
                <w:b w:val="0"/>
              </w:rPr>
              <w:t>VIS</w:t>
            </w:r>
          </w:p>
        </w:tc>
        <w:tc>
          <w:tcPr>
            <w:tcW w:type="dxa" w:w="1517"/>
          </w:tcPr>
          <w:p>
            <w:r>
              <w:rPr>
                <w:b w:val="0"/>
              </w:rPr>
              <w:t>7</w:t>
            </w:r>
          </w:p>
        </w:tc>
        <w:tc>
          <w:tcPr>
            <w:tcW w:type="dxa" w:w="1517"/>
          </w:tcPr>
          <w:p>
            <w:r>
              <w:rPr>
                <w:b w:val="0"/>
              </w:rPr>
              <w:t>1</w:t>
            </w:r>
          </w:p>
        </w:tc>
        <w:tc>
          <w:tcPr>
            <w:tcW w:type="dxa" w:w="1517"/>
          </w:tcPr>
          <w:p>
            <w:r>
              <w:rPr>
                <w:b w:val="0"/>
              </w:rPr>
              <w:t>4</w:t>
            </w:r>
          </w:p>
        </w:tc>
        <w:tc>
          <w:tcPr>
            <w:tcW w:type="dxa" w:w="1517"/>
          </w:tcPr>
          <w:p>
            <w:r>
              <w:rPr>
                <w:b w:val="0"/>
              </w:rPr>
              <w:t>0,37</w:t>
            </w:r>
          </w:p>
        </w:tc>
        <w:tc>
          <w:tcPr>
            <w:tcW w:type="dxa" w:w="1517"/>
          </w:tcPr>
          <w:p>
            <w:r>
              <w:rPr>
                <w:b w:val="0"/>
              </w:rPr>
              <w:t>6,8</w:t>
            </w:r>
          </w:p>
        </w:tc>
      </w:tr>
      <w:tr>
        <w:tc>
          <w:tcPr>
            <w:tcW w:type="dxa" w:w="1517"/>
          </w:tcPr>
          <w:p>
            <w:r>
              <w:rPr>
                <w:b w:val="0"/>
              </w:rPr>
              <w:t>IR</w:t>
            </w:r>
          </w:p>
        </w:tc>
        <w:tc>
          <w:tcPr>
            <w:tcW w:type="dxa" w:w="1517"/>
          </w:tcPr>
          <w:p>
            <w:r>
              <w:rPr>
                <w:b w:val="0"/>
              </w:rPr>
              <w:t>14</w:t>
            </w:r>
          </w:p>
        </w:tc>
        <w:tc>
          <w:tcPr>
            <w:tcW w:type="dxa" w:w="1517"/>
          </w:tcPr>
          <w:p>
            <w:r>
              <w:rPr>
                <w:b w:val="0"/>
              </w:rPr>
              <w:t>5</w:t>
            </w:r>
          </w:p>
        </w:tc>
        <w:tc>
          <w:tcPr>
            <w:tcW w:type="dxa" w:w="1517"/>
          </w:tcPr>
          <w:p>
            <w:r>
              <w:rPr>
                <w:b w:val="0"/>
              </w:rPr>
              <w:t>4</w:t>
            </w:r>
          </w:p>
        </w:tc>
        <w:tc>
          <w:tcPr>
            <w:tcW w:type="dxa" w:w="1517"/>
          </w:tcPr>
          <w:p>
            <w:r>
              <w:rPr>
                <w:b w:val="0"/>
              </w:rPr>
              <w:t>0,47</w:t>
            </w:r>
          </w:p>
        </w:tc>
        <w:tc>
          <w:tcPr>
            <w:tcW w:type="dxa" w:w="1517"/>
          </w:tcPr>
          <w:p>
            <w:r>
              <w:rPr>
                <w:b w:val="0"/>
              </w:rPr>
              <w:t>10,2</w:t>
            </w:r>
          </w:p>
        </w:tc>
      </w:tr>
      <w:tr>
        <w:tc>
          <w:tcPr>
            <w:tcW w:type="dxa" w:w="1517"/>
          </w:tcPr>
          <w:p>
            <w:r>
              <w:rPr>
                <w:b w:val="0"/>
              </w:rPr>
              <w:t>Baselines</w:t>
            </w:r>
          </w:p>
        </w:tc>
        <w:tc>
          <w:tcPr>
            <w:tcW w:type="dxa" w:w="1517"/>
          </w:tcPr>
          <w:p>
            <w:r>
              <w:rPr>
                <w:b w:val="0"/>
              </w:rPr>
              <w:t>20</w:t>
            </w:r>
          </w:p>
        </w:tc>
        <w:tc>
          <w:tcPr>
            <w:tcW w:type="dxa" w:w="1517"/>
          </w:tcPr>
          <w:p>
            <w:r>
              <w:rPr>
                <w:b w:val="0"/>
              </w:rPr>
              <w:t>9</w:t>
            </w:r>
          </w:p>
        </w:tc>
        <w:tc>
          <w:tcPr>
            <w:tcW w:type="dxa" w:w="1517"/>
          </w:tcPr>
          <w:p>
            <w:r>
              <w:rPr>
                <w:b w:val="0"/>
              </w:rPr>
              <w:t>4</w:t>
            </w:r>
          </w:p>
        </w:tc>
        <w:tc>
          <w:tcPr>
            <w:tcW w:type="dxa" w:w="1517"/>
          </w:tcPr>
          <w:p>
            <w:r>
              <w:rPr>
                <w:b w:val="0"/>
              </w:rPr>
              <w:t>0,49</w:t>
            </w:r>
          </w:p>
        </w:tc>
        <w:tc>
          <w:tcPr>
            <w:tcW w:type="dxa" w:w="1517"/>
          </w:tcPr>
          <w:p>
            <w:r>
              <w:rPr>
                <w:b w:val="0"/>
              </w:rPr>
              <w:t>30,3</w:t>
            </w:r>
          </w:p>
        </w:tc>
      </w:tr>
      <w:tr>
        <w:tc>
          <w:tcPr>
            <w:tcW w:type="dxa" w:w="1517"/>
          </w:tcPr>
          <w:p>
            <w:r>
              <w:rPr>
                <w:b w:val="0"/>
              </w:rPr>
              <w:t>Fusión Top-Hat</w:t>
            </w:r>
          </w:p>
        </w:tc>
        <w:tc>
          <w:tcPr>
            <w:tcW w:type="dxa" w:w="1517"/>
          </w:tcPr>
          <w:p>
            <w:r>
              <w:rPr>
                <w:b w:val="0"/>
              </w:rPr>
              <w:t>38</w:t>
            </w:r>
          </w:p>
        </w:tc>
        <w:tc>
          <w:tcPr>
            <w:tcW w:type="dxa" w:w="1517"/>
          </w:tcPr>
          <w:p>
            <w:r>
              <w:rPr>
                <w:b w:val="0"/>
              </w:rPr>
              <w:t>15</w:t>
            </w:r>
          </w:p>
        </w:tc>
        <w:tc>
          <w:tcPr>
            <w:tcW w:type="dxa" w:w="1517"/>
          </w:tcPr>
          <w:p>
            <w:r>
              <w:rPr>
                <w:b w:val="0"/>
              </w:rPr>
              <w:t>14</w:t>
            </w:r>
          </w:p>
        </w:tc>
        <w:tc>
          <w:tcPr>
            <w:tcW w:type="dxa" w:w="1517"/>
          </w:tcPr>
          <w:p>
            <w:r>
              <w:rPr>
                <w:b w:val="0"/>
              </w:rPr>
              <w:t>0,51</w:t>
            </w:r>
          </w:p>
        </w:tc>
        <w:tc>
          <w:tcPr>
            <w:tcW w:type="dxa" w:w="1517"/>
          </w:tcPr>
          <w:p>
            <w:r>
              <w:rPr>
                <w:b w:val="0"/>
              </w:rPr>
              <w:t>30,8</w:t>
            </w:r>
          </w:p>
        </w:tc>
      </w:tr>
      <w:tr>
        <w:tc>
          <w:tcPr>
            <w:tcW w:type="dxa" w:w="1517"/>
          </w:tcPr>
          <w:p>
            <w:r>
              <w:rPr>
                <w:b w:val="0"/>
              </w:rPr>
              <w:t>Fusión +BTH</w:t>
            </w:r>
          </w:p>
        </w:tc>
        <w:tc>
          <w:tcPr>
            <w:tcW w:type="dxa" w:w="1517"/>
          </w:tcPr>
          <w:p>
            <w:r>
              <w:rPr>
                <w:b w:val="0"/>
              </w:rPr>
              <w:t>41</w:t>
            </w:r>
          </w:p>
        </w:tc>
        <w:tc>
          <w:tcPr>
            <w:tcW w:type="dxa" w:w="1517"/>
          </w:tcPr>
          <w:p>
            <w:r>
              <w:rPr>
                <w:b w:val="0"/>
              </w:rPr>
              <w:t>16</w:t>
            </w:r>
          </w:p>
        </w:tc>
        <w:tc>
          <w:tcPr>
            <w:tcW w:type="dxa" w:w="1517"/>
          </w:tcPr>
          <w:p>
            <w:r>
              <w:rPr>
                <w:b w:val="0"/>
              </w:rPr>
              <w:t>4</w:t>
            </w:r>
          </w:p>
        </w:tc>
        <w:tc>
          <w:tcPr>
            <w:tcW w:type="dxa" w:w="1517"/>
          </w:tcPr>
          <w:p>
            <w:r>
              <w:rPr>
                <w:b w:val="0"/>
              </w:rPr>
              <w:t>0,47</w:t>
            </w:r>
          </w:p>
        </w:tc>
        <w:tc>
          <w:tcPr>
            <w:tcW w:type="dxa" w:w="1517"/>
          </w:tcPr>
          <w:p>
            <w:r>
              <w:rPr>
                <w:b w:val="0"/>
              </w:rPr>
              <w:t>30,4</w:t>
            </w:r>
          </w:p>
        </w:tc>
      </w:tr>
      <w:tr>
        <w:tc>
          <w:tcPr>
            <w:tcW w:type="dxa" w:w="1517"/>
          </w:tcPr>
          <w:p>
            <w:r>
              <w:rPr>
                <w:b w:val="0"/>
              </w:rPr>
              <w:t>Óptimo Multiescala</w:t>
            </w:r>
          </w:p>
        </w:tc>
        <w:tc>
          <w:tcPr>
            <w:tcW w:type="dxa" w:w="1517"/>
          </w:tcPr>
          <w:p>
            <w:r>
              <w:rPr>
                <w:b w:val="0"/>
              </w:rPr>
              <w:t>9</w:t>
            </w:r>
          </w:p>
        </w:tc>
        <w:tc>
          <w:tcPr>
            <w:tcW w:type="dxa" w:w="1517"/>
          </w:tcPr>
          <w:p>
            <w:r>
              <w:rPr>
                <w:b w:val="0"/>
              </w:rPr>
              <w:t>4</w:t>
            </w:r>
          </w:p>
        </w:tc>
        <w:tc>
          <w:tcPr>
            <w:tcW w:type="dxa" w:w="1517"/>
          </w:tcPr>
          <w:p>
            <w:r>
              <w:rPr>
                <w:b w:val="0"/>
              </w:rPr>
              <w:t>2</w:t>
            </w:r>
          </w:p>
        </w:tc>
        <w:tc>
          <w:tcPr>
            <w:tcW w:type="dxa" w:w="1517"/>
          </w:tcPr>
          <w:p>
            <w:r>
              <w:rPr>
                <w:b w:val="0"/>
              </w:rPr>
              <w:t>0,51</w:t>
            </w:r>
          </w:p>
        </w:tc>
        <w:tc>
          <w:tcPr>
            <w:tcW w:type="dxa" w:w="1517"/>
          </w:tcPr>
          <w:p>
            <w:r>
              <w:rPr>
                <w:b w:val="0"/>
              </w:rPr>
              <w:t>31,6</w:t>
            </w:r>
          </w:p>
        </w:tc>
      </w:tr>
    </w:tbl>
    <w:p>
      <w:pPr>
        <w:pStyle w:val="Heading2"/>
      </w:pPr>
      <w:r>
        <w:t>Método óptimo optimizado por PSO</w:t>
      </w:r>
    </w:p>
    <w:p>
      <w:r>
        <w:t>El método óptimo (disco + lineales) se optimizó con PSO sobre las 20 escenas. El enjambre convergió de forma estable, desde la tercera iteración y durante las treinta, al óptimo global r* = 1 y m* = 0,30 (aptitud F = 1,989). El óptimo se sitúa en el borde inferior del espacio de búsqueda: la aptitud SSIM + E + PSNR, dominada por términos de fidelidad, orienta al método hacia un realce conservador (elemento fino, peso moderado) que preserva la similitud con las fuentes.</w:t>
      </w:r>
    </w:p>
    <w:p>
      <w:r>
        <w:t>La Tabla 7 compara el método óptimo con los referentes principales. Su rasgo distintivo es que alcanza la mayor similitud estructural (SSIM = 0,761) entre todos los métodos reales de fusión —segundo en el ranking global de SSIM, solo por detrás del promedio simple, estructuralmente trivial—, con preservación de bordes competitiva (Qabf = 0,448, equivalente a la pirámide de Laplace) y artefactos bajos (Nabf = 0,121). En contrapartida, cede en contraste e información (SD, EN), por lo que su ranking global agregado sobre las doce métricas queda en la franja media: el promedio de rangos penaliza las dimensiones de contraste que el método sacrifica en favor de la fidelidad.</w:t>
      </w:r>
    </w:p>
    <w:p>
      <w:r>
        <w:t>Tabla 7. Método óptimo (PSO) frente a referentes — medias sobre 20 pares.</w:t>
      </w:r>
    </w:p>
    <w:p>
      <w:r>
        <w:drawing>
          <wp:inline xmlns:a="http://schemas.openxmlformats.org/drawingml/2006/main" xmlns:pic="http://schemas.openxmlformats.org/drawingml/2006/picture">
            <wp:extent cx="5486400" cy="2939143"/>
            <wp:docPr id="6" name="Picture 6"/>
            <wp:cNvGraphicFramePr>
              <a:graphicFrameLocks noChangeAspect="1"/>
            </wp:cNvGraphicFramePr>
            <a:graphic>
              <a:graphicData uri="http://schemas.openxmlformats.org/drawingml/2006/picture">
                <pic:pic>
                  <pic:nvPicPr>
                    <pic:cNvPr id="0" name="fig_metodo_optimo.png"/>
                    <pic:cNvPicPr/>
                  </pic:nvPicPr>
                  <pic:blipFill>
                    <a:blip r:embed="rId19"/>
                    <a:stretch>
                      <a:fillRect/>
                    </a:stretch>
                  </pic:blipFill>
                  <pic:spPr>
                    <a:xfrm>
                      <a:off x="0" y="0"/>
                      <a:ext cx="5486400" cy="2939143"/>
                    </a:xfrm>
                    <a:prstGeom prst="rect"/>
                  </pic:spPr>
                </pic:pic>
              </a:graphicData>
            </a:graphic>
          </wp:inline>
        </w:drawing>
      </w:r>
    </w:p>
    <w:p>
      <w:r>
        <w:t>Figura 8. Método óptimo (disco+lineales, PSO r=1, m=0,30) frente a referentes en seis métricas.</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Métrica</w:t>
            </w:r>
          </w:p>
        </w:tc>
        <w:tc>
          <w:tcPr>
            <w:tcW w:type="dxa" w:w="1517"/>
          </w:tcPr>
          <w:p>
            <w:r>
              <w:rPr>
                <w:b/>
              </w:rPr>
              <w:t>TH Óptimo</w:t>
            </w:r>
          </w:p>
        </w:tc>
        <w:tc>
          <w:tcPr>
            <w:tcW w:type="dxa" w:w="1517"/>
          </w:tcPr>
          <w:p>
            <w:r>
              <w:rPr>
                <w:b/>
              </w:rPr>
              <w:t>Promedio</w:t>
            </w:r>
          </w:p>
        </w:tc>
        <w:tc>
          <w:tcPr>
            <w:tcW w:type="dxa" w:w="1517"/>
          </w:tcPr>
          <w:p>
            <w:r>
              <w:rPr>
                <w:b/>
              </w:rPr>
              <w:t>Laplace</w:t>
            </w:r>
          </w:p>
        </w:tc>
        <w:tc>
          <w:tcPr>
            <w:tcW w:type="dxa" w:w="1517"/>
          </w:tcPr>
          <w:p>
            <w:r>
              <w:rPr>
                <w:b/>
              </w:rPr>
              <w:t>TH disco L5</w:t>
            </w:r>
          </w:p>
        </w:tc>
        <w:tc>
          <w:tcPr>
            <w:tcW w:type="dxa" w:w="1517"/>
          </w:tcPr>
          <w:p>
            <w:r>
              <w:rPr>
                <w:b/>
              </w:rPr>
              <w:t>Curvelet</w:t>
            </w:r>
          </w:p>
        </w:tc>
      </w:tr>
      <w:tr>
        <w:tc>
          <w:tcPr>
            <w:tcW w:type="dxa" w:w="1517"/>
          </w:tcPr>
          <w:p>
            <w:r>
              <w:rPr>
                <w:b w:val="0"/>
              </w:rPr>
              <w:t>SSIM ↑</w:t>
            </w:r>
          </w:p>
        </w:tc>
        <w:tc>
          <w:tcPr>
            <w:tcW w:type="dxa" w:w="1517"/>
          </w:tcPr>
          <w:p>
            <w:r>
              <w:rPr>
                <w:b w:val="0"/>
              </w:rPr>
              <w:t>0,761</w:t>
            </w:r>
          </w:p>
        </w:tc>
        <w:tc>
          <w:tcPr>
            <w:tcW w:type="dxa" w:w="1517"/>
          </w:tcPr>
          <w:p>
            <w:r>
              <w:rPr>
                <w:b w:val="0"/>
              </w:rPr>
              <w:t>0,792</w:t>
            </w:r>
          </w:p>
        </w:tc>
        <w:tc>
          <w:tcPr>
            <w:tcW w:type="dxa" w:w="1517"/>
          </w:tcPr>
          <w:p>
            <w:r>
              <w:rPr>
                <w:b w:val="0"/>
              </w:rPr>
              <w:t>0,721</w:t>
            </w:r>
          </w:p>
        </w:tc>
        <w:tc>
          <w:tcPr>
            <w:tcW w:type="dxa" w:w="1517"/>
          </w:tcPr>
          <w:p>
            <w:r>
              <w:rPr>
                <w:b w:val="0"/>
              </w:rPr>
              <w:t>0,739</w:t>
            </w:r>
          </w:p>
        </w:tc>
        <w:tc>
          <w:tcPr>
            <w:tcW w:type="dxa" w:w="1517"/>
          </w:tcPr>
          <w:p>
            <w:r>
              <w:rPr>
                <w:b w:val="0"/>
              </w:rPr>
              <w:t>0,731</w:t>
            </w:r>
          </w:p>
        </w:tc>
      </w:tr>
      <w:tr>
        <w:tc>
          <w:tcPr>
            <w:tcW w:type="dxa" w:w="1517"/>
          </w:tcPr>
          <w:p>
            <w:r>
              <w:rPr>
                <w:b w:val="0"/>
              </w:rPr>
              <w:t>SCD ↑</w:t>
            </w:r>
          </w:p>
        </w:tc>
        <w:tc>
          <w:tcPr>
            <w:tcW w:type="dxa" w:w="1517"/>
          </w:tcPr>
          <w:p>
            <w:r>
              <w:rPr>
                <w:b w:val="0"/>
              </w:rPr>
              <w:t>1,353</w:t>
            </w:r>
          </w:p>
        </w:tc>
        <w:tc>
          <w:tcPr>
            <w:tcW w:type="dxa" w:w="1517"/>
          </w:tcPr>
          <w:p>
            <w:r>
              <w:rPr>
                <w:b w:val="0"/>
              </w:rPr>
              <w:t>1,325</w:t>
            </w:r>
          </w:p>
        </w:tc>
        <w:tc>
          <w:tcPr>
            <w:tcW w:type="dxa" w:w="1517"/>
          </w:tcPr>
          <w:p>
            <w:r>
              <w:rPr>
                <w:b w:val="0"/>
              </w:rPr>
              <w:t>1,322</w:t>
            </w:r>
          </w:p>
        </w:tc>
        <w:tc>
          <w:tcPr>
            <w:tcW w:type="dxa" w:w="1517"/>
          </w:tcPr>
          <w:p>
            <w:r>
              <w:rPr>
                <w:b w:val="0"/>
              </w:rPr>
              <w:t>1,430</w:t>
            </w:r>
          </w:p>
        </w:tc>
        <w:tc>
          <w:tcPr>
            <w:tcW w:type="dxa" w:w="1517"/>
          </w:tcPr>
          <w:p>
            <w:r>
              <w:rPr>
                <w:b w:val="0"/>
              </w:rPr>
              <w:t>1,321</w:t>
            </w:r>
          </w:p>
        </w:tc>
      </w:tr>
      <w:tr>
        <w:tc>
          <w:tcPr>
            <w:tcW w:type="dxa" w:w="1517"/>
          </w:tcPr>
          <w:p>
            <w:r>
              <w:rPr>
                <w:b w:val="0"/>
              </w:rPr>
              <w:t>Qabf ↑</w:t>
            </w:r>
          </w:p>
        </w:tc>
        <w:tc>
          <w:tcPr>
            <w:tcW w:type="dxa" w:w="1517"/>
          </w:tcPr>
          <w:p>
            <w:r>
              <w:rPr>
                <w:b w:val="0"/>
              </w:rPr>
              <w:t>0,448</w:t>
            </w:r>
          </w:p>
        </w:tc>
        <w:tc>
          <w:tcPr>
            <w:tcW w:type="dxa" w:w="1517"/>
          </w:tcPr>
          <w:p>
            <w:r>
              <w:rPr>
                <w:b w:val="0"/>
              </w:rPr>
              <w:t>0,310</w:t>
            </w:r>
          </w:p>
        </w:tc>
        <w:tc>
          <w:tcPr>
            <w:tcW w:type="dxa" w:w="1517"/>
          </w:tcPr>
          <w:p>
            <w:r>
              <w:rPr>
                <w:b w:val="0"/>
              </w:rPr>
              <w:t>0,442</w:t>
            </w:r>
          </w:p>
        </w:tc>
        <w:tc>
          <w:tcPr>
            <w:tcW w:type="dxa" w:w="1517"/>
          </w:tcPr>
          <w:p>
            <w:r>
              <w:rPr>
                <w:b w:val="0"/>
              </w:rPr>
              <w:t>0,458</w:t>
            </w:r>
          </w:p>
        </w:tc>
        <w:tc>
          <w:tcPr>
            <w:tcW w:type="dxa" w:w="1517"/>
          </w:tcPr>
          <w:p>
            <w:r>
              <w:rPr>
                <w:b w:val="0"/>
              </w:rPr>
              <w:t>0,476</w:t>
            </w:r>
          </w:p>
        </w:tc>
      </w:tr>
      <w:tr>
        <w:tc>
          <w:tcPr>
            <w:tcW w:type="dxa" w:w="1517"/>
          </w:tcPr>
          <w:p>
            <w:r>
              <w:rPr>
                <w:b w:val="0"/>
              </w:rPr>
              <w:t>Nabf ↓</w:t>
            </w:r>
          </w:p>
        </w:tc>
        <w:tc>
          <w:tcPr>
            <w:tcW w:type="dxa" w:w="1517"/>
          </w:tcPr>
          <w:p>
            <w:r>
              <w:rPr>
                <w:b w:val="0"/>
              </w:rPr>
              <w:t>0,121</w:t>
            </w:r>
          </w:p>
        </w:tc>
        <w:tc>
          <w:tcPr>
            <w:tcW w:type="dxa" w:w="1517"/>
          </w:tcPr>
          <w:p>
            <w:r>
              <w:rPr>
                <w:b w:val="0"/>
              </w:rPr>
              <w:t>0,000</w:t>
            </w:r>
          </w:p>
        </w:tc>
        <w:tc>
          <w:tcPr>
            <w:tcW w:type="dxa" w:w="1517"/>
          </w:tcPr>
          <w:p>
            <w:r>
              <w:rPr>
                <w:b w:val="0"/>
              </w:rPr>
              <w:t>0,108</w:t>
            </w:r>
          </w:p>
        </w:tc>
        <w:tc>
          <w:tcPr>
            <w:tcW w:type="dxa" w:w="1517"/>
          </w:tcPr>
          <w:p>
            <w:r>
              <w:rPr>
                <w:b w:val="0"/>
              </w:rPr>
              <w:t>0,117</w:t>
            </w:r>
          </w:p>
        </w:tc>
        <w:tc>
          <w:tcPr>
            <w:tcW w:type="dxa" w:w="1517"/>
          </w:tcPr>
          <w:p>
            <w:r>
              <w:rPr>
                <w:b w:val="0"/>
              </w:rPr>
              <w:t>0,192</w:t>
            </w:r>
          </w:p>
        </w:tc>
      </w:tr>
      <w:tr>
        <w:tc>
          <w:tcPr>
            <w:tcW w:type="dxa" w:w="1517"/>
          </w:tcPr>
          <w:p>
            <w:r>
              <w:rPr>
                <w:b w:val="0"/>
              </w:rPr>
              <w:t>VIF ↑</w:t>
            </w:r>
          </w:p>
        </w:tc>
        <w:tc>
          <w:tcPr>
            <w:tcW w:type="dxa" w:w="1517"/>
          </w:tcPr>
          <w:p>
            <w:r>
              <w:rPr>
                <w:b w:val="0"/>
              </w:rPr>
              <w:t>0,322</w:t>
            </w:r>
          </w:p>
        </w:tc>
        <w:tc>
          <w:tcPr>
            <w:tcW w:type="dxa" w:w="1517"/>
          </w:tcPr>
          <w:p>
            <w:r>
              <w:rPr>
                <w:b w:val="0"/>
              </w:rPr>
              <w:t>0,330</w:t>
            </w:r>
          </w:p>
        </w:tc>
        <w:tc>
          <w:tcPr>
            <w:tcW w:type="dxa" w:w="1517"/>
          </w:tcPr>
          <w:p>
            <w:r>
              <w:rPr>
                <w:b w:val="0"/>
              </w:rPr>
              <w:t>0,410</w:t>
            </w:r>
          </w:p>
        </w:tc>
        <w:tc>
          <w:tcPr>
            <w:tcW w:type="dxa" w:w="1517"/>
          </w:tcPr>
          <w:p>
            <w:r>
              <w:rPr>
                <w:b w:val="0"/>
              </w:rPr>
              <w:t>0,356</w:t>
            </w:r>
          </w:p>
        </w:tc>
        <w:tc>
          <w:tcPr>
            <w:tcW w:type="dxa" w:w="1517"/>
          </w:tcPr>
          <w:p>
            <w:r>
              <w:rPr>
                <w:b w:val="0"/>
              </w:rPr>
              <w:t>0,307</w:t>
            </w:r>
          </w:p>
        </w:tc>
      </w:tr>
      <w:tr>
        <w:tc>
          <w:tcPr>
            <w:tcW w:type="dxa" w:w="1517"/>
          </w:tcPr>
          <w:p>
            <w:r>
              <w:rPr>
                <w:b w:val="0"/>
              </w:rPr>
              <w:t>SD ↑</w:t>
            </w:r>
          </w:p>
        </w:tc>
        <w:tc>
          <w:tcPr>
            <w:tcW w:type="dxa" w:w="1517"/>
          </w:tcPr>
          <w:p>
            <w:r>
              <w:rPr>
                <w:b w:val="0"/>
              </w:rPr>
              <w:t>0,113</w:t>
            </w:r>
          </w:p>
        </w:tc>
        <w:tc>
          <w:tcPr>
            <w:tcW w:type="dxa" w:w="1517"/>
          </w:tcPr>
          <w:p>
            <w:r>
              <w:rPr>
                <w:b w:val="0"/>
              </w:rPr>
              <w:t>0,109</w:t>
            </w:r>
          </w:p>
        </w:tc>
        <w:tc>
          <w:tcPr>
            <w:tcW w:type="dxa" w:w="1517"/>
          </w:tcPr>
          <w:p>
            <w:r>
              <w:rPr>
                <w:b w:val="0"/>
              </w:rPr>
              <w:t>0,155</w:t>
            </w:r>
          </w:p>
        </w:tc>
        <w:tc>
          <w:tcPr>
            <w:tcW w:type="dxa" w:w="1517"/>
          </w:tcPr>
          <w:p>
            <w:r>
              <w:rPr>
                <w:b w:val="0"/>
              </w:rPr>
              <w:t>0,125</w:t>
            </w:r>
          </w:p>
        </w:tc>
        <w:tc>
          <w:tcPr>
            <w:tcW w:type="dxa" w:w="1517"/>
          </w:tcPr>
          <w:p>
            <w:r>
              <w:rPr>
                <w:b w:val="0"/>
              </w:rPr>
              <w:t>0,117</w:t>
            </w:r>
          </w:p>
        </w:tc>
      </w:tr>
    </w:tbl>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rPr>
          <w:rFonts w:ascii="Arial" w:cs="Arial" w:eastAsia="Arial" w:hAnsi="Arial"/>
          <w:sz w:val="24"/>
          <w:szCs w:val="24"/>
        </w:rPr>
        <w:t xml:space="preserve">Se diseñó, implementó y evaluó la Torre Top-Hat, una descomposición morfológica multiescala configurable, comparándola estadísticamente con tres baselines clásicos sobre el TNO Image Fusion Dataset. Las conclusiones específicas son las siguientes.</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r>
        <w:t>Kennedy, J., y Eberhart, R. (1995). Particle swarm optimization. Proceedings of ICNN'95 - International Conference on Neural Networks, 4, 1942–1948.</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r>
        <w:t>Ortega Rodríguez, M. A., y Espinoza Ríos, G. A. (2025). Optimización de los parámetros de la transformada Top-Hat mediante PSO para la fusión de imágenes visibles e infrarrojas. Proyecto de Trabajo Final de Grado, Facultad Politécnica, Universidad Nacional de Asunción.</w:t>
      </w:r>
    </w:p>
    <w:p>
      <w:r>
        <w:t>Román, J. C. M., Vázquez Noguera, J. L., y Legal-Ayala, H. (2024). Algoritmo de realce para mamografías basado en Top-Hat multiescala con elementos estructurantes circulares y lineales. (Realce de contraste local y nitidez en imágenes mamográficas).</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