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doce métricas sin referencia bajo pruebas no paramétricas (Friedman y Wilcoxon con corrección de Holm). En su configuración óptima (PSO: r=25, m=0,070) la propuesta obtiene la menor tasa de artefactos del estudio (Nabf=0,041, 2,7 veces menos que el mejor rival) y la mayor similitud estructural (SSIM=0,782), quedando segunda en preservación de bordes, correlación y fidelidad visual (Qabf=0,500; SCD=1,450; VIF=0,368), a milésimas del líder de cada métrica; la metodología clásica Top-Hat solo la supera en métricas de actividad bruta al costo del mayor nivel de artefactos del estudio (Nabf=0,585). Como evaluación orientada a tarea, el reentrenamiento de un detector (YOLOv8n) sobre el conjunto etiquetado LLVIP muestra que toda fusión supera con claridad al visible solo (mAP@0,5 de 0,81 a 0,93–0,95), aunque el infrarrojo solo es la modalidad más fuerte (0,957) y la propuesta resulta competitiva (0,936) sin liderar, evidenciando que la superioridad en calidad de imagen no se traslada automáticamente a la detección. Se concluye que la propuesta mejora la calidad de fusión —en particular la limpieza y la fidelidad estructural— frente a la metodología clásica Top-Hat y al estado del arte, manteniendo bajo costo computacional e interpretabilidad morfológica.</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twelve no-reference metrics under non-parametric testing (Friedman, Wilcoxon with Holm correction). At its optimal configuration (PSO: r=25, m=0.070) the proposal attains the lowest artifact rate of the study (Nabf=0.041, 2.7 times less than the best rival) and the highest structural similarity (SSIM=0.782), ranking second in edge preservation, correlation and visual fidelity (Qabf=0.500; SCD=1.450; VIF=0.368), within thousandths of each metric leader; the classical Top-Hat only surpasses it in raw-activity metrics at the cost of the highest artifact level in the study (Nabf=0.585). As a task-oriented evaluation, retraining a detector (YOLOv8n) on the labeled LLVIP dataset shows that every fusion clearly outperforms the visible modality alone (mAP@0.5 from 0.81 to 0.93–0.95), although the infrared alone remains the strongest modality (0.957) and the proposal is competitive (0.936) without leading, evidencing that superiority in image quality does not automatically transfer to detection. We conclude that the proposal improves fusion quality —particularly cleanliness and structural fidelity— over the classical Top-Hat methodology and the state of the art, while keeping low computational cost and morphological interpretability.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17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24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29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35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37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38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38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44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en LLVIP</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56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58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63</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(Xydeas-Petrovic)</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estándar de calidad (Qabf, Nabf, SSIM, SCD, VIF, SF) para métodos representativos (n = 20 pares VIS/IR).</w:t>
      </w:r>
    </w:p>
    <w:p>
      <w:pPr>
        <w:pStyle w:val="Normal"/>
        <w:spacing w:lineRule="auto" w:line="276" w:before="0" w:after="40"/>
        <w:jc w:val="both"/>
        <w:rPr/>
      </w:pPr>
      <w:r>
        <w:rPr>
          <w:rFonts w:eastAsia="Times New Roman" w:cs="Times New Roman"/>
          <w:sz w:val="21"/>
        </w:rPr>
        <w:t>Figura 8. Ranking global por método (promedio de rangos sobre las doce métricas, con la dirección de cada una corregida).</w:t>
      </w:r>
    </w:p>
    <w:p>
      <w:pPr>
        <w:pStyle w:val="Normal"/>
        <w:spacing w:lineRule="auto" w:line="276" w:before="0" w:after="40"/>
        <w:jc w:val="both"/>
        <w:rPr/>
      </w:pPr>
      <w:r>
        <w:rPr>
          <w:rFonts w:eastAsia="Times New Roman" w:cs="Times New Roman"/>
          <w:i/>
          <w:sz w:val="18"/>
        </w:rPr>
        <w:t>Figura 9. Propuesta Novedosa (PSO: r = 25, m = 0,070) frente a la metodología clásica Top-Hat y al estado del arte.</w:t>
      </w:r>
    </w:p>
    <w:p>
      <w:pPr>
        <w:pStyle w:val="Normal"/>
        <w:spacing w:lineRule="auto" w:line="276" w:before="0" w:after="40"/>
        <w:jc w:val="both"/>
        <w:rPr/>
      </w:pPr>
      <w:r>
        <w:rPr>
          <w:rFonts w:eastAsia="Times New Roman" w:cs="Times New Roman"/>
          <w:sz w:val="21"/>
        </w:rPr>
        <w:t>Figura 10. Convergencia del PSO según el número de partículas (izq.) y aptitud del barrido de configuraciones (der.), sobre tres escenas representativas.</w:t>
      </w:r>
    </w:p>
    <w:p>
      <w:pPr>
        <w:pStyle w:val="Normal"/>
        <w:spacing w:lineRule="auto" w:line="276" w:before="0" w:after="40"/>
        <w:jc w:val="both"/>
        <w:rPr/>
      </w:pPr>
      <w:r>
        <w:rPr>
          <w:rFonts w:eastAsia="Times New Roman" w:cs="Times New Roman"/>
          <w:sz w:val="21"/>
        </w:rPr>
        <w:t xml:space="preserve">Figura 11. Aptitud en función del peso de contraste m (r = 25): F_apt de la tesis y Fo del trabajo de referencia.</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las seis métricas estándar de calidad de fusión por método (n = 20 pares).</w:t>
      </w:r>
    </w:p>
    <w:p>
      <w:pPr>
        <w:pStyle w:val="Normal"/>
        <w:spacing w:lineRule="auto" w:line="276" w:before="0" w:after="40"/>
        <w:jc w:val="both"/>
        <w:rPr/>
      </w:pPr>
      <w:r>
        <w:rPr>
          <w:rFonts w:eastAsia="Times New Roman" w:cs="Times New Roman"/>
          <w:sz w:val="21"/>
        </w:rPr>
        <w:t>Tabla 6. Métricas adicionales del review (FMI y Piella Q0/QW/QE) por método — medias sobre 20 pares.</w:t>
      </w:r>
    </w:p>
    <w:p>
      <w:pPr>
        <w:pStyle w:val="Normal"/>
        <w:spacing w:lineRule="auto" w:line="276" w:before="0" w:after="40"/>
        <w:rPr/>
      </w:pPr>
      <w:r>
        <w:rPr>
          <w:rFonts w:eastAsia="Times New Roman" w:cs="Times New Roman"/>
          <w:sz w:val="21"/>
        </w:rPr>
        <w:t>Tabla 7. Prueba de Friedman por métrica (χ², p-valor; α = 0,05).</w:t>
      </w:r>
    </w:p>
    <w:p>
      <w:pPr>
        <w:pStyle w:val="Normal"/>
        <w:spacing w:lineRule="auto" w:line="276" w:before="0" w:after="40"/>
        <w:rPr/>
      </w:pPr>
      <w:r>
        <w:rPr>
          <w:rFonts w:eastAsia="Times New Roman" w:cs="Times New Roman"/>
          <w:sz w:val="21"/>
        </w:rPr>
        <w:t>Tabla 8. Ranking promedio por método y métrica (1 = mejor).</w:t>
      </w:r>
    </w:p>
    <w:p>
      <w:pPr>
        <w:pStyle w:val="Normal"/>
        <w:spacing w:lineRule="auto" w:line="276" w:before="0" w:after="40"/>
        <w:jc w:val="both"/>
        <w:rPr/>
      </w:pPr>
      <w:r>
        <w:rPr>
          <w:rFonts w:eastAsia="Times New Roman" w:cs="Times New Roman"/>
          <w:sz w:val="21"/>
        </w:rPr>
        <w:t>Tabla 9.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mejor aptitud F por combinación de partículas (n) e iteraciones (T).</w:t>
      </w:r>
      <w:r>
        <w:br w:type="page"/>
      </w:r>
    </w:p>
    <w:p>
      <w:pPr>
        <w:pStyle w:val="Normal"/>
        <w:spacing w:lineRule="auto" w:line="276" w:before="0" w:after="40"/>
        <w:jc w:val="both"/>
        <w:rPr/>
      </w:pPr>
      <w:r>
        <w:rPr>
          <w:rFonts w:eastAsia="Times New Roman" w:cs="Times New Roman"/>
          <w:sz w:val="21"/>
        </w:rPr>
        <w:t xml:space="preserve">Tabla 12. Ablación de la función de aptitud: óptimos de F_apt y de Fo sobre los 20 pares.</w:t>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Proponer y evaluar la Propuesta Novedosa, un método de fusión de imágenes visibles e infrarrojas basado en la transformada Top-Hat con elementos estructurantes circulares y lineales sobre una sola escala y parámetros optimizados por enjambre de partículas (PSO), comparándolo con la metodología clásica de fusión Top-Hat y con métodos representativos del estado del arte, y analizando su impacto en tareas posteriores de detección de objetos.</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la Propuesta Novedosa: sobre una sola escala, un banco de cinco elementos estructurantes (un disco y cuatro lineales a 0°, 45°, 90° y 135°) cuyas respuestas lineales se promedian y se confrontan por máximo con la del disco para obtener transformadas Top-Hat y Bottom-Hat óptimas, con reconstrucción aditivo–sustractiva ponderada, adaptada al esquema de fusión VIS/IR.</w:t>
      </w:r>
    </w:p>
    <w:p>
      <w:pPr>
        <w:pStyle w:val="ListParagraph"/>
        <w:numPr>
          <w:ilvl w:val="0"/>
          <w:numId w:val="3"/>
        </w:numPr>
        <w:spacing w:lineRule="auto" w:line="360" w:before="0" w:after="100"/>
        <w:ind w:firstLine="709"/>
        <w:jc w:val="both"/>
        <w:rPr/>
      </w:pPr>
      <w:r>
        <w:rPr>
          <w:rFonts w:eastAsia="Times New Roman" w:cs="Times New Roman"/>
        </w:rPr>
        <w:t xml:space="preserve">Optimizar automáticamente los hiperparámetros del método (el radio r del banco de elementos estructurantes y el peso de contraste m) mediante PSO con una función de aptitud orientada a la calidad de fusión.</w:t>
      </w:r>
    </w:p>
    <w:p>
      <w:pPr>
        <w:pStyle w:val="ListParagraph"/>
        <w:numPr>
          <w:ilvl w:val="0"/>
          <w:numId w:val="3"/>
        </w:numPr>
        <w:spacing w:lineRule="auto" w:line="360" w:before="0" w:after="100"/>
        <w:ind w:firstLine="709"/>
        <w:jc w:val="both"/>
        <w:rPr/>
      </w:pPr>
      <w:r>
        <w:rPr>
          <w:rFonts w:eastAsia="Times New Roman" w:cs="Times New Roman"/>
        </w:rPr>
        <w:t>Comparar el método óptimo con la metodología clásica de fusión Top-Hat y con cinco métodos representativos del estado del arte (LP, RP, DWT, DTCWT y CVT) sobre doce métricas sin referencia, con pruebas no paramétricas (Friedman y Wilcoxon con corrección de Holm).</w:t>
      </w:r>
    </w:p>
    <w:p>
      <w:pPr>
        <w:pStyle w:val="ListParagraph"/>
        <w:numPr>
          <w:ilvl w:val="0"/>
          <w:numId w:val="3"/>
        </w:numPr>
        <w:spacing w:lineRule="auto" w:line="360" w:before="0" w:after="100"/>
        <w:ind w:firstLine="709"/>
        <w:jc w:val="both"/>
        <w:rPr/>
      </w:pPr>
      <w:r>
        <w:rPr>
          <w:rFonts w:eastAsia="Times New Roman" w:cs="Times New Roman"/>
        </w:rPr>
        <w:t>Analizar el impacto de la fusión en una tarea posterior de detección de objetos (YOLO), evaluando la detectabilidad por modalidad de entrada.</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¿La Propuesta Novedosa de fusión VIS+IR basada en la transformada Top-Hat, con elementos estructurantes de disco y lineales sobre una sola escala e hiperparámetros optimizados por PSO, mejora la calidad de fusión —evaluada con métricas sin referencia y pruebas no paramétricas sobre el TNO Image Fusion Dataset— respecto de la metodología clásica de fusión Top-Hat y de los métodos del estado del arte, y qué efecto produce en el desempeño de una tarea posterior de detección de objetos?</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respuestas y regla de reconstrucción— para adaptar el realce morfológico multidireccional al esquema de fusión VIS/IR?</w:t>
      </w:r>
    </w:p>
    <w:p>
      <w:pPr>
        <w:pStyle w:val="ListParagraph"/>
        <w:numPr>
          <w:ilvl w:val="0"/>
          <w:numId w:val="4"/>
        </w:numPr>
        <w:spacing w:lineRule="auto" w:line="360" w:before="0" w:after="100"/>
        <w:ind w:firstLine="709"/>
        <w:jc w:val="both"/>
        <w:rPr/>
      </w:pPr>
      <w:r>
        <w:rPr>
          <w:rFonts w:eastAsia="Times New Roman" w:cs="Times New Roman"/>
        </w:rPr>
        <w:t xml:space="preserve">¿Qué valores del radio r y del peso de contraste m maximizan una aptitud orientada a la calidad de fusión, y puede el PSO hallarlos automáticamente de forma estable?</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y en qué métricas?</w:t>
      </w:r>
    </w:p>
    <w:p>
      <w:pPr>
        <w:pStyle w:val="ListParagraph"/>
        <w:numPr>
          <w:ilvl w:val="0"/>
          <w:numId w:val="4"/>
        </w:numPr>
        <w:spacing w:lineRule="auto" w:line="360" w:before="0" w:after="100"/>
        <w:ind w:firstLine="709"/>
        <w:jc w:val="both"/>
        <w:rPr/>
      </w:pPr>
      <w:r>
        <w:rPr>
          <w:rFonts w:eastAsia="Times New Roman" w:cs="Times New Roman"/>
        </w:rPr>
        <w:t>¿La fusión —y en particular el método propuesto— mejora el desempeño de un detector de objetos (mAP sobre LLVIP) respecto de las modalidades visible e infrarroja por separado?</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tres hipótesis de trabajo. H1: la combinación de elementos estructurantes de disco y lineales sobre una sola escala —con las respuestas lineales promediadas y sumadas a la del disco— mejora la fidelidad estructural (SSIM) y reduce los artefactos (Nabf) frente a la metodología clásica de fusión Top-Hat. H2: la optimización automática de los hiperparámetros (r, m) por PSO, con una función de aptitud orientada a la fusión, alcanza un perfil de calidad superior al de la parametrización manual del operador clásico. H3: una mejor calidad de fusión se traduce en un mejor desempeño de detección de objetos (mAP) que el de las modalidades individuales. Las hipótesis H1 y H2 se contrastan en las secciones 5.4 y 5.6; H3 se somete a prueba en la sección 5.5.</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(Nabf) y degrada la similitud estructural,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0.05</m:t>
                </m:r>
                <m:r>
                  <m:t>,</m:t>
                </m:r>
                <m:r>
                  <m:t> </m:t>
                </m:r>
                <m:r>
                  <m:t>1.20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orientada a la fusión. </w:t>
      </w:r>
      <w:r>
        <w:rPr>
          <w:rFonts w:eastAsia="Times New Roman" w:cs="Times New Roman"/>
        </w:rPr>
        <w:t xml:space="preserve">A diferencia de una aptitud de fidelidad pura (SSIM + E + PSNR), que premia el realce conservador y conduce a óptimos triviales, aquí el PSO maximiza una aptitud orientada explícitamente a la calidad de fusión, definida en la ecuación (14), que recompensa la similitud estructural, la preservación de bordes y la correlación de las diferencias, y penaliza los artefactos. El barrido alcanzó el óptimo global r = 25 y m = 0,070 (aptitud F = 1,9843), hallado de forma consistente por los enjambres de 10 partículas con 30 o más iteraciones —mientras que los enjambres de 2 partículas quedan atrapados en el óptimo local r = 1—; con esa configuración se evalúa el método en el capítulo de resultados.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 = SSIM + Qabf + 0,5·SCD − Nabf</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[0,05, 1,20]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0,0703 (F = 1,9843; mejor de 25 configuraciones)</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t>
                </m:r>
                <m:r>
                  <m:rPr>
                    <m:lit/>
                    <m:nor/>
                  </m:rPr>
                  <m:t xml:space="preserve">=</m:t>
                </m:r>
                <m:r>
                  <m:t xml:space="preserve">SSIM</m:t>
                </m:r>
                <m:r>
                  <m:rPr>
                    <m:lit/>
                    <m:nor/>
                  </m:rPr>
                  <m:t xml:space="preserve">+</m:t>
                </m:r>
                <m:sSup>
                  <m:e>
                    <m:r>
                      <m:t xml:space="preserve">Q</m:t>
                    </m:r>
                  </m:e>
                  <m:sup>
                    <m:r>
                      <m:t xml:space="preserve">a</m:t>
                    </m:r>
                    <m:f>
                      <m:fPr>
                        <m:type m:val="lin"/>
                      </m:fPr>
                      <m:num>
                        <m:r>
                          <m:t xml:space="preserve">b</m:t>
                        </m:r>
                      </m:num>
                      <m:den>
                        <m:r>
                          <m:t xml:space="preserve">f</m:t>
                        </m:r>
                      </m:den>
                    </m:f>
                  </m:sup>
                </m:sSup>
                <m:r>
                  <m:rPr>
                    <m:lit/>
                    <m:nor/>
                  </m:rPr>
                  <m:t xml:space="preserve">+</m:t>
                </m:r>
                <m:r>
                  <m:t>0.5SCD−</m:t>
                </m:r>
                <m:sSup>
                  <m:e>
                    <m:r>
                      <m:t xml:space="preserve">N</m:t>
                    </m:r>
                  </m:e>
                  <m:sup>
                    <m:r>
                      <m:t xml:space="preserve">a</m:t>
                    </m:r>
                    <m:f>
                      <m:fPr>
                        <m:type m:val="lin"/>
                      </m:fPr>
                      <m:num>
                        <m:r>
                          <m:t xml:space="preserve">b</m:t>
                        </m:r>
                      </m:num>
                      <m:den>
                        <m:r>
                          <m:t xml:space="preserve">f</m:t>
                        </m:r>
                      </m:den>
                    </m:f>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Kingsbury</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dieciséis métricas sin referencia, que computan el puntaje a partir de la imagen fusionada y de sus fuentes. Seis son clásicas de actividad e información (EN, SD, FE, MG, MI_vis, MI_ir); seis son estándar de calidad de fusión (SF, Qabf, Nabf, SSIM, SCD, VIF); y cuatro se incorporan siguiendo dicha revisión: la información mutua de la fusión sobre mapas de gradiente (FMI; Haghighat et al., 2011) y los índices de Piella y Heijmans (2003) —Q0 (índice universal por ventana), QW (ponderado por saliencia local) y QE (dependiente de bordes)—. Estas métricas evalúan la fidelidad a las fuentes, la preservación de bordes y la generación de artefactos, dimensiones que las clásicas —todas de tipo «mayor es mejor»— no capturan. Las métricas con referencia (PSNR, RMSE, UQI, ERGAS) no se emplean por carecer de imagen de referencia en este problema.</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(Xydeas–Petrović).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(Xydeas-Petrovic)</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una combinación orientada a la fusión, F = SSIM + Qabf + 0,5·SCD − Nabf, que premia la fidelidad estructural, la preservación de bordes y la correlación, y penaliza los artefactos.</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doce métricas sin referencia, base del análisis estadístico inter-método (las cuatro métricas complementarias del review —FMI, Q0, QW y QE— se reportan de forma descriptiva en la Tabla 6).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0,070) se compara sobre los 20 pares con las doce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0,05–1,20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Qabf, Nabf, SSIM, SCD, VIF; FMI, Q0, QW, QE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 (Nabf ↓)</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2014).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(en Nabf, menor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0,070)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menor tasa de artefactos del estudio (Nabf = 0,041) y la mayor similitud estructural (SSIM = 0,782).</w:t>
      </w:r>
      <w:r>
        <w:rPr>
          <w:rFonts w:eastAsia="Times New Roman" w:cs="Times New Roman"/>
          <w:sz w:val="22"/>
        </w:rPr>
        <w:t xml:space="preserve"> La Propuesta Novedosa (destacada en rojo) ofrece el resultado visualmente más limpio y equilibrado: integra la silueta térmica de la IR y la textura del VIS con bordes definidos, sin el granulado del Curvelet ni el exceso de brillo de las variantes más agresivas. Esto es coherente con sus indicadores cuantitativos: una tasa de artefactos muy baja (Nabf = 0,035) y la mayor similitud estructural (SSIM = 0,783) entre los métodos reales.</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las seis métricas estándar de calidad, sobre los 20 pares para los siete métodos del benchmark. En las métricas clásicas la pirámide de Laplace lidera la desviación estándar y la información mutua, mientras que el Top-Hat clásico maximiza EN, MG y SF al inyectar la energía de detalle sin ponderación. El panorama cambia en las métricas estándar de calidad: la propuesta alcanza la mayor similitud estructural (SSIM = 0,782) y la menor generación de artefactos (Nabf = 0,041), con preservación de bordes y correlación segundas a milésimas del líder (Qabf = 0,500; SCD = 1,450), mientras que el operador clásico dispara el Nabf (0,585) y pierde una cuarta parte de la similitud estructural.</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6,8350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0,1548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2,1183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1,0717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6,8285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0,1304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0,0269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1,1698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6,7002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1,2846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1,0596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0,8908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6,6645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1,0529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1,3038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0,8843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6,9334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0,8722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0,5864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1,0487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0,0194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1,3422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0,9088</w:t>
            </w:r>
          </w:p>
        </w:tc>
      </w:tr>
    </w:tbl>
    <w:p>
      <w:pPr>
        <w:pStyle w:val="Normal"/>
        <w:spacing w:lineRule="auto" w:line="276"/>
        <w:jc w:val="both"/>
        <w:rPr/>
      </w:pPr>
      <w:r>
        <w:rPr>
          <w:rFonts w:eastAsia="Times New Roman" w:cs="Times New Roman"/>
          <w:i/>
          <w:sz w:val="18"/>
        </w:rPr>
        <w:t>Tabla 5. Promedios de las seis métricas estándar de calidad de fusión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SCD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VIF</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0,4419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0,1080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1,3217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0,4101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13,3376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0,4968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0,2119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0,7212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1,4677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0,3841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13,9341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0,4895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0,2286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0,7163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1,3218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13,0266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0,5011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0,1514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0,3600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13,1510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0,4762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0,1915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0,3067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22,8554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1,3600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0,3336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9,6441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0,4999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0,7822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1,4498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0,3683</w:t>
            </w:r>
          </w:p>
        </w:tc>
      </w:tr>
    </w:tbl>
    <w:p>
      <w:pPr>
        <w:pStyle w:val="Normal"/>
        <w:spacing w:lineRule="auto" w:line="276"/>
        <w:jc w:val="both"/>
        <w:rPr/>
      </w:pPr>
      <w:r>
        <w:rPr>
          <w:rFonts w:eastAsia="Times New Roman" w:cs="Times New Roman"/>
          <w:i/>
          <w:sz w:val="18"/>
        </w:rPr>
        <w:t>Tabla 6. Métricas adicionales del review (FMI y Piella Q0/QW/QE) por método — medias sobre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00"/>
        <w:gridCol w:w="1600"/>
        <w:gridCol w:w="1600"/>
        <w:gridCol w:w="1600"/>
        <w:gridCol w:w="1600"/>
      </w:tblGrid>
      <w:tr>
        <w:trPr/>
        <w:tc>
          <w:tcPr>
            <w:tcW w:w="2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FMI</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Q0</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QW</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QE</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0,2761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0,7435</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0,8560</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0,4040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0,1900</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0,7158</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0,8294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0,3650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0,1993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0,8217</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0,3700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0,2356</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0,7574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0,8564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0,3993</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0,1971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0,7272</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0,8233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0,3692</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0,1594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0,6125</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0,7454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0,3060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0,2081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0,7604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0,8133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0,3770</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estándar de calidad (Qabf, Nabf, SSIM, SCD, VIF, SF) para métodos representativos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7 reporta la prueba de Friedman aplicada de forma independiente a cada métrica, considerando los siete métodos del benchmark como tratamientos y los 20 pares como bloques. La hipótesis nula se rechaza con amplio margen en las doce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7.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2.08e-16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98,92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4.21e-19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2.08e-16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94,97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2.80e-18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2.59e-14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62,39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1.47e-11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90,16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2.80e-17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Qabf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69,84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4.42e-13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Nabf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6.44e-21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96,52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SCD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64,41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5.68e-12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VIF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95,85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1.84e-18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doce métricas, con corrección de Holm y tamaño de efecto rank-biserial (120 contrastes; detalle en el Apéndice C), más el contraste directo entre la propuesta y el operador clásico. El hallazgo central: frente al Top-Hat clásico, la propuesta gana de forma estadísticamente significativa en las siete métricas de calidad e información (MI_vis, MI_ir, Qabf, Nabf, SSIM, SCD y VIF; p_Holm ≤ 0,001), cediendo solo las de actividad bruta. Frente a DWT y CVT gana en las siete métricas de calidad; frente a DTCWT gana en seis y cede Qabf por una milésima; frente a RP gana en Nabf, SSIM y MI_vis y empata en Qabf, SCD y VIF; y frente a LP gana en Nabf y SSIM, empata en Qabf y SCD, y cede VIF y las métricas de contraste.</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8 muestra el ranking promedio de cada método (1 = mejor) en seis métricas clave y el ranking global obtenido al promediar las doce métricas, respetando la dirección de cada una. La pirámide de Laplace encabeza el ranking global (3,17), seguida de RP (3,42) y DTCWT (3,58); la propuesta ocupa el cuarto lugar (4,08), penalizada por las métricas de actividad —que premian el realce agresivo: el Top-Hat clásico las lidera con el mayor Nabf del estudio—, pese a ser primera en Nabf y SSIM y segunda en Qabf, SCD y VIF. El ranking agregado, al mezclar familias de métricas con pesos iguales, debe leerse junto a los contrastes pareados de la sección anterior.</w:t>
      </w:r>
    </w:p>
    <w:p>
      <w:pPr>
        <w:pStyle w:val="Normal"/>
        <w:spacing w:lineRule="auto" w:line="276"/>
        <w:rPr/>
      </w:pPr>
      <w:r>
        <w:rPr>
          <w:rFonts w:eastAsia="Times New Roman" w:cs="Times New Roman"/>
          <w:i/>
          <w:sz w:val="18"/>
        </w:rPr>
        <w:t>Tabla 8.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VIF</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3,17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3,50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3,92</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4,75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4,92</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doce métricas, con la dirección de cada una corregida).</w:t>
      </w:r>
    </w:p>
    <w:p>
      <w:pPr>
        <w:pStyle w:val="Heading2"/>
        <w:jc w:val="start"/>
        <w:rPr/>
      </w:pPr>
      <w:r>
        <w:rPr>
          <w:rFonts w:eastAsia="Times New Roman" w:cs="Times New Roman"/>
          <w:b/>
          <w:color w:val="000000"/>
          <w:sz w:val="24"/>
        </w:rPr>
        <w:t>5.5 Evaluación orientada a tarea: detección con YOLO en LLVIP</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9 reporta mAP@0,5 y mAP@0,5:0,95.</w:t>
      </w:r>
    </w:p>
    <w:p>
      <w:pPr>
        <w:pStyle w:val="Normal"/>
        <w:spacing w:lineRule="auto" w:line="276"/>
        <w:jc w:val="both"/>
        <w:rPr/>
      </w:pPr>
      <w:r>
        <w:rPr>
          <w:rFonts w:eastAsia="Times New Roman" w:cs="Times New Roman"/>
          <w:i/>
          <w:sz w:val="18"/>
        </w:rPr>
        <w:t>Tabla 9.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0,451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0,751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0,663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0,894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0,879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0,614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0,974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0,972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m=0,070)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0,859</w:t>
            </w:r>
          </w:p>
        </w:tc>
      </w:tr>
    </w:tbl>
    <w:p>
      <w:pPr>
        <w:pStyle w:val="Normal"/>
        <w:spacing w:lineRule="auto" w:line="360"/>
        <w:ind w:firstLine="709"/>
        <w:jc w:val="both"/>
        <w:rPr/>
      </w:pPr>
      <w:r>
        <w:rPr>
          <w:rFonts w:eastAsia="Times New Roman" w:cs="Times New Roman"/>
        </w:rPr>
        <w:t>La Tabla 9 admite tres lecturas. Primero, toda fusión mejora con claridad sobre el visible solo (mAP@0,5 de 0,808 a una banda de 0,926–0,949, es decir entre +0,12 y +0,14 puntos): cuando el canal visible es débil —escenas nocturnas—, fusionar aporta información decisiva. Segundo, el infrarrojo solo es la modalidad más fuerte (mAP@0,5 = 0,957; mAP@0,5:0,95 = 0,663) y ninguna fusión lo supera, coherente con que LLVIP es detección de peatones en baja luz, donde la firma térmica domina. Tercero, entre las siete fusiones las diferencias son pequeñas (mAP@0,5 en una banda estrecha de 0,926 a 0,949): la pirámide de Laplace encabeza (0,949), seguida de cerca por DTCWT (0,948) y DWT (0,946), mientras que la Propuesta Novedosa resulta competitiva (0,936) —prácticamente empatada con la metodología clásica Top-Hat (0,938) y a 1,3 puntos del mejor— sin ser líder. La conclusión es matizada y relevante: la superioridad de la propuesta en las métricas de calidad de imagen (Nabf, SSIM) no se traslada automáticamente a la tarea de detección, donde la banda de fusiones es estrecha y la modalidad térmica domina; la elección del método depende del criterio operativo prioritario —en consonancia con lo señalado por Singh et al. (2023)—.</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 = SSIM + Qabf + 0,5·SCD − Nabf). La configuración del enjambre se seleccionó mediante un barrido de 25 combinaciones de partículas e iteraciones (2–10 × 10–50, replicando el diseño de Ortega y Espinoza, 2025) con r ∈ [1, 25]; el óptimo global r = 25 y m = 0,070 (F = 1,9843) fue alcanzado de forma consistente por los enjambres de 10 partículas con 30 o más iteraciones. Esta aptitud premia simultáneamente la similitud estructural, la preservación de bordes y la correlación de las diferencias, y penaliza los artefactos, evitando el realce trivial al que conduce una aptitud de fidelidad pura.</w:t>
      </w:r>
    </w:p>
    <w:p>
      <w:pPr>
        <w:pStyle w:val="Normal"/>
        <w:spacing w:lineRule="auto" w:line="360"/>
        <w:ind w:firstLine="709"/>
        <w:jc w:val="both"/>
        <w:rPr/>
      </w:pPr>
      <w:r>
        <w:rPr>
          <w:rFonts w:eastAsia="Times New Roman" w:cs="Times New Roman"/>
        </w:rPr>
        <w:t xml:space="preserve">La Tabla 10 compara la propuesta, en su configuración óptima (r = 25, m = 0,070), con la metodología clásica Top-Hat y con métodos representativos del estado del arte (LP, RP y DTCWT; los valores de DWT y CVT, del mismo orden, se detallan en el material complementario) sobre las métricas estándar de calidad. La propuesta registra la menor tasa de artefactos del estudio (Nabf = 0,041, frente a 0,108 de LP y 0,585 del Top-Hat clásico) y la mayor similitud estructural (SSIM = 0,782), quedando segunda en preservación de bordes (Qabf = 0,500, a una milésima del líder DTCWT), correlación (SCD = 1,450, tras RP) y fidelidad visual (VIF = 0,368, tras LP). Reúne así limpieza, fidelidad estructural y fuerza de bordes en un mismo operador, perfil adecuado para una fusión de propósito general.</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las siete métricas de calidad e información (MI_vis, MI_ir, Qabf, Nabf, SSIM, SCD y VIF; p_Holm ≤ 0,001) y cede únicamente en las cinco de actividad bruta (EN, SD, FE, MG, SF), que el operador clásico infla al costo del mayor nivel de artefactos del estudio. Frente a DWT y Curvelet gana en las siete métricas de calidad e información (p_Holm &lt; 0,05); frente a DTCWT gana en seis (incluidas Nabf, SSIM, SCD y VIF) y cede la preservación de bordes por una milésima; frente a RP gana en limpieza, estructura e información del visible (Nabf, SSIM, MI_vis) y empata en Qabf, SCD y VIF; y frente a la pirámide de Laplace gana en Nabf y SSIM, empata en MI_ir, Qabf y SCD, y cede VIF y las métricas de actividad. Con ello, la ventaja de la propuesta en limpieza (Nabf) y fidelidad estructural (SSIM) frente a todos los rivales resulta estadísticamente significativa, quedando sostenidas H1 y H2.</w:t>
      </w:r>
    </w:p>
    <w:p>
      <w:pPr>
        <w:pStyle w:val="Normal"/>
        <w:spacing w:lineRule="auto" w:line="360"/>
        <w:ind w:firstLine="709"/>
        <w:jc w:val="both"/>
        <w:rPr/>
      </w:pPr>
      <w:r>
        <w:rPr>
          <w:rFonts w:eastAsia="Times New Roman" w:cs="Times New Roman"/>
        </w:rPr>
        <w:t xml:space="preserve">La elección de la configuración es robusta: en el barrido de 25 combinaciones, seis configuraciones independientes alcanzaron el mismo óptimo global (r = 25, m = 0,070) y todos los enjambres de 10 partículas con 30 o más iteraciones convergieron a él, mientras que los enjambres de 2 partículas quedaron atrapados en el óptimo local r = 1. La aptitud crece con el radio hasta el tope del rango explorado, lo que indica que el operador aprovecha vecindarios amplios para capturar los objetivos térmicos completos, con el peso m compensando a la baja la mayor energía de detalle que inyecta la suma de ramas.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cPr>
          <w:p>
            <w:pPr>
              <w:pStyle w:val="Normal"/>
              <w:widowControl w:val="false"/>
              <w:spacing w:lineRule="auto" w:line="276" w:before="0" w:after="120"/>
              <w:rPr/>
            </w:pPr>
            <w:r>
              <w:rPr>
                <w:rFonts w:eastAsia="Times New Roman" w:cs="Times New Roman"/>
                <w:b/>
                <w:color w:val="FFFFFF"/>
                <w:sz w:val="19"/>
              </w:rPr>
              <w:t>Propuesta Novedosa (r=25, m=0,070)</w:t>
            </w:r>
          </w:p>
        </w:tc>
        <w:tc>
          <w:tcPr>
            <w:tcW w:w="1518" w:type="dxa"/>
            <w:tcBorders/>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cPr>
          <w:p>
            <w:pPr>
              <w:pStyle w:val="Normal"/>
              <w:widowControl w:val="false"/>
              <w:spacing w:lineRule="auto" w:line="276" w:before="0" w:after="120"/>
              <w:rPr/>
            </w:pPr>
            <w:r>
              <w:rPr>
                <w:rFonts w:eastAsia="Times New Roman" w:cs="Times New Roman"/>
                <w:sz w:val="19"/>
              </w:rPr>
              <w:t>SSIM ↑</w:t>
            </w:r>
          </w:p>
        </w:tc>
        <w:tc>
          <w:tcPr>
            <w:tcW w:w="1516" w:type="dxa"/>
            <w:tcBorders/>
          </w:tcPr>
          <w:p>
            <w:pPr>
              <w:pStyle w:val="Normal"/>
              <w:widowControl w:val="false"/>
              <w:spacing w:lineRule="auto" w:line="276" w:before="0" w:after="120"/>
              <w:rPr/>
            </w:pPr>
            <w:r>
              <w:rPr>
                <w:rFonts w:eastAsia="Times New Roman" w:cs="Times New Roman"/>
                <w:b/>
                <w:sz w:val="19"/>
              </w:rPr>
              <w:t>0,782</w:t>
            </w:r>
          </w:p>
        </w:tc>
        <w:tc>
          <w:tcPr>
            <w:tcW w:w="1518" w:type="dxa"/>
            <w:tcBorders/>
          </w:tcPr>
          <w:p>
            <w:pPr>
              <w:pStyle w:val="Normal"/>
              <w:widowControl w:val="false"/>
              <w:spacing w:lineRule="auto" w:line="276" w:before="0" w:after="120"/>
              <w:rPr/>
            </w:pPr>
            <w:r>
              <w:rPr>
                <w:rFonts w:eastAsia="Times New Roman" w:cs="Times New Roman"/>
                <w:sz w:val="19"/>
              </w:rPr>
              <w:t>0,578</w:t>
            </w:r>
          </w:p>
        </w:tc>
        <w:tc>
          <w:tcPr>
            <w:tcW w:w="1517" w:type="dxa"/>
            <w:tcBorders/>
          </w:tcPr>
          <w:p>
            <w:pPr>
              <w:pStyle w:val="Normal"/>
              <w:widowControl w:val="false"/>
              <w:spacing w:lineRule="auto" w:line="276" w:before="0" w:after="120"/>
              <w:rPr/>
            </w:pPr>
            <w:r>
              <w:rPr>
                <w:rFonts w:eastAsia="Times New Roman" w:cs="Times New Roman"/>
                <w:sz w:val="19"/>
              </w:rPr>
              <w:t>0,721</w:t>
            </w:r>
          </w:p>
        </w:tc>
        <w:tc>
          <w:tcPr>
            <w:tcW w:w="1516" w:type="dxa"/>
            <w:tcBorders/>
          </w:tcPr>
          <w:p>
            <w:pPr>
              <w:pStyle w:val="Normal"/>
              <w:widowControl w:val="false"/>
              <w:spacing w:lineRule="auto" w:line="276" w:before="0" w:after="120"/>
              <w:rPr/>
            </w:pPr>
            <w:r>
              <w:rPr>
                <w:rFonts w:eastAsia="Times New Roman" w:cs="Times New Roman"/>
                <w:sz w:val="19"/>
              </w:rPr>
              <w:t>0,721</w:t>
            </w:r>
          </w:p>
        </w:tc>
        <w:tc>
          <w:tcPr>
            <w:tcW w:w="1518" w:type="dxa"/>
            <w:tcBorders/>
          </w:tcPr>
          <w:p>
            <w:pPr>
              <w:pStyle w:val="Normal"/>
              <w:widowControl w:val="false"/>
              <w:spacing w:lineRule="auto" w:line="276" w:before="0" w:after="120"/>
              <w:rPr/>
            </w:pPr>
            <w:r>
              <w:rPr>
                <w:rFonts w:eastAsia="Times New Roman" w:cs="Times New Roman"/>
                <w:sz w:val="19"/>
              </w:rPr>
              <w:t>0,739</w:t>
            </w:r>
          </w:p>
        </w:tc>
      </w:tr>
      <w:tr>
        <w:trPr/>
        <w:tc>
          <w:tcPr>
            <w:tcW w:w="1517" w:type="dxa"/>
            <w:tcBorders/>
          </w:tcPr>
          <w:p>
            <w:pPr>
              <w:pStyle w:val="Normal"/>
              <w:widowControl w:val="false"/>
              <w:spacing w:lineRule="auto" w:line="276" w:before="0" w:after="120"/>
              <w:rPr/>
            </w:pPr>
            <w:r>
              <w:rPr>
                <w:rFonts w:eastAsia="Times New Roman" w:cs="Times New Roman"/>
                <w:sz w:val="19"/>
              </w:rPr>
              <w:t>SCD ↑</w:t>
            </w:r>
          </w:p>
        </w:tc>
        <w:tc>
          <w:tcPr>
            <w:tcW w:w="1516" w:type="dxa"/>
            <w:tcBorders/>
          </w:tcPr>
          <w:p>
            <w:pPr>
              <w:pStyle w:val="Normal"/>
              <w:widowControl w:val="false"/>
              <w:spacing w:lineRule="auto" w:line="276" w:before="0" w:after="120"/>
              <w:rPr/>
            </w:pPr>
            <w:r>
              <w:rPr>
                <w:rFonts w:eastAsia="Times New Roman" w:cs="Times New Roman"/>
                <w:b/>
                <w:sz w:val="19"/>
              </w:rPr>
              <w:t>1,450</w:t>
            </w:r>
          </w:p>
        </w:tc>
        <w:tc>
          <w:tcPr>
            <w:tcW w:w="1518" w:type="dxa"/>
            <w:tcBorders/>
          </w:tcPr>
          <w:p>
            <w:pPr>
              <w:pStyle w:val="Normal"/>
              <w:widowControl w:val="false"/>
              <w:spacing w:lineRule="auto" w:line="276" w:before="0" w:after="120"/>
              <w:rPr/>
            </w:pPr>
            <w:r>
              <w:rPr>
                <w:rFonts w:eastAsia="Times New Roman" w:cs="Times New Roman"/>
                <w:sz w:val="19"/>
              </w:rPr>
              <w:t>1,360</w:t>
            </w:r>
          </w:p>
        </w:tc>
        <w:tc>
          <w:tcPr>
            <w:tcW w:w="1517" w:type="dxa"/>
            <w:tcBorders/>
          </w:tcPr>
          <w:p>
            <w:pPr>
              <w:pStyle w:val="Normal"/>
              <w:widowControl w:val="false"/>
              <w:spacing w:lineRule="auto" w:line="276" w:before="0" w:after="120"/>
              <w:rPr/>
            </w:pPr>
            <w:r>
              <w:rPr>
                <w:rFonts w:eastAsia="Times New Roman" w:cs="Times New Roman"/>
                <w:sz w:val="19"/>
              </w:rPr>
              <w:t>1,322</w:t>
            </w:r>
          </w:p>
        </w:tc>
        <w:tc>
          <w:tcPr>
            <w:tcW w:w="1516" w:type="dxa"/>
            <w:tcBorders/>
          </w:tcPr>
          <w:p>
            <w:pPr>
              <w:pStyle w:val="Normal"/>
              <w:widowControl w:val="false"/>
              <w:spacing w:lineRule="auto" w:line="276" w:before="0" w:after="120"/>
              <w:rPr/>
            </w:pPr>
            <w:r>
              <w:rPr>
                <w:rFonts w:eastAsia="Times New Roman" w:cs="Times New Roman"/>
                <w:sz w:val="19"/>
              </w:rPr>
              <w:t>1,468</w:t>
            </w:r>
          </w:p>
        </w:tc>
        <w:tc>
          <w:tcPr>
            <w:tcW w:w="1518" w:type="dxa"/>
            <w:tcBorders/>
          </w:tcPr>
          <w:p>
            <w:pPr>
              <w:pStyle w:val="Normal"/>
              <w:widowControl w:val="false"/>
              <w:spacing w:lineRule="auto" w:line="276" w:before="0" w:after="120"/>
              <w:rPr/>
            </w:pPr>
            <w:r>
              <w:rPr>
                <w:rFonts w:eastAsia="Times New Roman" w:cs="Times New Roman"/>
                <w:sz w:val="19"/>
              </w:rPr>
              <w:t>1,376</w:t>
            </w:r>
          </w:p>
        </w:tc>
      </w:tr>
      <w:tr>
        <w:trPr/>
        <w:tc>
          <w:tcPr>
            <w:tcW w:w="1517" w:type="dxa"/>
            <w:tcBorders/>
          </w:tcPr>
          <w:p>
            <w:pPr>
              <w:pStyle w:val="Normal"/>
              <w:widowControl w:val="false"/>
              <w:spacing w:lineRule="auto" w:line="276" w:before="0" w:after="120"/>
              <w:rPr/>
            </w:pPr>
            <w:r>
              <w:rPr>
                <w:rFonts w:eastAsia="Times New Roman" w:cs="Times New Roman"/>
                <w:sz w:val="19"/>
              </w:rPr>
              <w:t>Qabf ↑</w:t>
            </w:r>
          </w:p>
        </w:tc>
        <w:tc>
          <w:tcPr>
            <w:tcW w:w="1516" w:type="dxa"/>
            <w:tcBorders/>
          </w:tcPr>
          <w:p>
            <w:pPr>
              <w:pStyle w:val="Normal"/>
              <w:widowControl w:val="false"/>
              <w:spacing w:lineRule="auto" w:line="276" w:before="0" w:after="120"/>
              <w:rPr/>
            </w:pPr>
            <w:r>
              <w:rPr>
                <w:rFonts w:eastAsia="Times New Roman" w:cs="Times New Roman"/>
                <w:b/>
                <w:sz w:val="19"/>
              </w:rPr>
              <w:t>0,500</w:t>
            </w:r>
          </w:p>
        </w:tc>
        <w:tc>
          <w:tcPr>
            <w:tcW w:w="1518" w:type="dxa"/>
            <w:tcBorders/>
          </w:tcPr>
          <w:p>
            <w:pPr>
              <w:pStyle w:val="Normal"/>
              <w:widowControl w:val="false"/>
              <w:spacing w:lineRule="auto" w:line="276" w:before="0" w:after="120"/>
              <w:rPr/>
            </w:pPr>
            <w:r>
              <w:rPr>
                <w:rFonts w:eastAsia="Times New Roman" w:cs="Times New Roman"/>
                <w:sz w:val="19"/>
              </w:rPr>
              <w:t>0,305</w:t>
            </w:r>
          </w:p>
        </w:tc>
        <w:tc>
          <w:tcPr>
            <w:tcW w:w="1517" w:type="dxa"/>
            <w:tcBorders/>
          </w:tcPr>
          <w:p>
            <w:pPr>
              <w:pStyle w:val="Normal"/>
              <w:widowControl w:val="false"/>
              <w:spacing w:lineRule="auto" w:line="276" w:before="0" w:after="120"/>
              <w:rPr/>
            </w:pPr>
            <w:r>
              <w:rPr>
                <w:rFonts w:eastAsia="Times New Roman" w:cs="Times New Roman"/>
                <w:sz w:val="19"/>
              </w:rPr>
              <w:t>0,442</w:t>
            </w:r>
          </w:p>
        </w:tc>
        <w:tc>
          <w:tcPr>
            <w:tcW w:w="1516" w:type="dxa"/>
            <w:tcBorders/>
          </w:tcPr>
          <w:p>
            <w:pPr>
              <w:pStyle w:val="Normal"/>
              <w:widowControl w:val="false"/>
              <w:spacing w:lineRule="auto" w:line="276" w:before="0" w:after="120"/>
              <w:rPr/>
            </w:pPr>
            <w:r>
              <w:rPr>
                <w:rFonts w:eastAsia="Times New Roman" w:cs="Times New Roman"/>
                <w:sz w:val="19"/>
              </w:rPr>
              <w:t>0,497</w:t>
            </w:r>
          </w:p>
        </w:tc>
        <w:tc>
          <w:tcPr>
            <w:tcW w:w="1518" w:type="dxa"/>
            <w:tcBorders/>
          </w:tcPr>
          <w:p>
            <w:pPr>
              <w:pStyle w:val="Normal"/>
              <w:widowControl w:val="false"/>
              <w:spacing w:lineRule="auto" w:line="276" w:before="0" w:after="120"/>
              <w:rPr/>
            </w:pPr>
            <w:r>
              <w:rPr>
                <w:rFonts w:eastAsia="Times New Roman" w:cs="Times New Roman"/>
                <w:sz w:val="19"/>
              </w:rPr>
              <w:t>0,501</w:t>
            </w:r>
          </w:p>
        </w:tc>
      </w:tr>
      <w:tr>
        <w:trPr/>
        <w:tc>
          <w:tcPr>
            <w:tcW w:w="1517" w:type="dxa"/>
            <w:tcBorders/>
          </w:tcPr>
          <w:p>
            <w:pPr>
              <w:pStyle w:val="Normal"/>
              <w:widowControl w:val="false"/>
              <w:spacing w:lineRule="auto" w:line="276" w:before="0" w:after="120"/>
              <w:rPr/>
            </w:pPr>
            <w:r>
              <w:rPr>
                <w:rFonts w:eastAsia="Times New Roman" w:cs="Times New Roman"/>
                <w:sz w:val="19"/>
              </w:rPr>
              <w:t>Nabf ↓</w:t>
            </w:r>
          </w:p>
        </w:tc>
        <w:tc>
          <w:tcPr>
            <w:tcW w:w="1516" w:type="dxa"/>
            <w:tcBorders/>
          </w:tcPr>
          <w:p>
            <w:pPr>
              <w:pStyle w:val="Normal"/>
              <w:widowControl w:val="false"/>
              <w:spacing w:lineRule="auto" w:line="276" w:before="0" w:after="120"/>
              <w:rPr/>
            </w:pPr>
            <w:r>
              <w:rPr>
                <w:rFonts w:eastAsia="Times New Roman" w:cs="Times New Roman"/>
                <w:b/>
                <w:sz w:val="19"/>
              </w:rPr>
              <w:t>0,041</w:t>
            </w:r>
          </w:p>
        </w:tc>
        <w:tc>
          <w:tcPr>
            <w:tcW w:w="1518" w:type="dxa"/>
            <w:tcBorders/>
          </w:tcPr>
          <w:p>
            <w:pPr>
              <w:pStyle w:val="Normal"/>
              <w:widowControl w:val="false"/>
              <w:spacing w:lineRule="auto" w:line="276" w:before="0" w:after="120"/>
              <w:rPr/>
            </w:pPr>
            <w:r>
              <w:rPr>
                <w:rFonts w:eastAsia="Times New Roman" w:cs="Times New Roman"/>
                <w:sz w:val="19"/>
              </w:rPr>
              <w:t>0,585</w:t>
            </w:r>
          </w:p>
        </w:tc>
        <w:tc>
          <w:tcPr>
            <w:tcW w:w="1517" w:type="dxa"/>
            <w:tcBorders/>
          </w:tcPr>
          <w:p>
            <w:pPr>
              <w:pStyle w:val="Normal"/>
              <w:widowControl w:val="false"/>
              <w:spacing w:lineRule="auto" w:line="276" w:before="0" w:after="120"/>
              <w:rPr/>
            </w:pPr>
            <w:r>
              <w:rPr>
                <w:rFonts w:eastAsia="Times New Roman" w:cs="Times New Roman"/>
                <w:sz w:val="19"/>
              </w:rPr>
              <w:t>0,108</w:t>
            </w:r>
          </w:p>
        </w:tc>
        <w:tc>
          <w:tcPr>
            <w:tcW w:w="1516" w:type="dxa"/>
            <w:tcBorders/>
          </w:tcPr>
          <w:p>
            <w:pPr>
              <w:pStyle w:val="Normal"/>
              <w:widowControl w:val="false"/>
              <w:spacing w:lineRule="auto" w:line="276" w:before="0" w:after="120"/>
              <w:rPr/>
            </w:pPr>
            <w:r>
              <w:rPr>
                <w:rFonts w:eastAsia="Times New Roman" w:cs="Times New Roman"/>
                <w:sz w:val="19"/>
              </w:rPr>
              <w:t>0,212</w:t>
            </w:r>
          </w:p>
        </w:tc>
        <w:tc>
          <w:tcPr>
            <w:tcW w:w="1518" w:type="dxa"/>
            <w:tcBorders/>
          </w:tcPr>
          <w:p>
            <w:pPr>
              <w:pStyle w:val="Normal"/>
              <w:widowControl w:val="false"/>
              <w:spacing w:lineRule="auto" w:line="276" w:before="0" w:after="120"/>
              <w:rPr/>
            </w:pPr>
            <w:r>
              <w:rPr>
                <w:rFonts w:eastAsia="Times New Roman" w:cs="Times New Roman"/>
                <w:sz w:val="19"/>
              </w:rPr>
              <w:t>0,151</w:t>
            </w:r>
          </w:p>
        </w:tc>
      </w:tr>
      <w:tr>
        <w:trPr/>
        <w:tc>
          <w:tcPr>
            <w:tcW w:w="1517" w:type="dxa"/>
            <w:tcBorders/>
          </w:tcPr>
          <w:p>
            <w:pPr>
              <w:pStyle w:val="Normal"/>
              <w:widowControl w:val="false"/>
              <w:spacing w:lineRule="auto" w:line="276" w:before="0" w:after="120"/>
              <w:rPr/>
            </w:pPr>
            <w:r>
              <w:rPr>
                <w:rFonts w:eastAsia="Times New Roman" w:cs="Times New Roman"/>
                <w:sz w:val="19"/>
              </w:rPr>
              <w:t>VIF ↑</w:t>
            </w:r>
          </w:p>
        </w:tc>
        <w:tc>
          <w:tcPr>
            <w:tcW w:w="1516" w:type="dxa"/>
            <w:tcBorders/>
          </w:tcPr>
          <w:p>
            <w:pPr>
              <w:pStyle w:val="Normal"/>
              <w:widowControl w:val="false"/>
              <w:spacing w:lineRule="auto" w:line="276" w:before="0" w:after="120"/>
              <w:rPr/>
            </w:pPr>
            <w:r>
              <w:rPr>
                <w:rFonts w:eastAsia="Times New Roman" w:cs="Times New Roman"/>
                <w:b/>
                <w:sz w:val="19"/>
              </w:rPr>
              <w:t>0,368</w:t>
            </w:r>
          </w:p>
        </w:tc>
        <w:tc>
          <w:tcPr>
            <w:tcW w:w="1518" w:type="dxa"/>
            <w:tcBorders/>
          </w:tcPr>
          <w:p>
            <w:pPr>
              <w:pStyle w:val="Normal"/>
              <w:widowControl w:val="false"/>
              <w:spacing w:lineRule="auto" w:line="276" w:before="0" w:after="120"/>
              <w:rPr/>
            </w:pPr>
            <w:r>
              <w:rPr>
                <w:rFonts w:eastAsia="Times New Roman" w:cs="Times New Roman"/>
                <w:sz w:val="19"/>
              </w:rPr>
              <w:t>0,334</w:t>
            </w:r>
          </w:p>
        </w:tc>
        <w:tc>
          <w:tcPr>
            <w:tcW w:w="1517" w:type="dxa"/>
            <w:tcBorders/>
          </w:tcPr>
          <w:p>
            <w:pPr>
              <w:pStyle w:val="Normal"/>
              <w:widowControl w:val="false"/>
              <w:spacing w:lineRule="auto" w:line="276" w:before="0" w:after="120"/>
              <w:rPr/>
            </w:pPr>
            <w:r>
              <w:rPr>
                <w:rFonts w:eastAsia="Times New Roman" w:cs="Times New Roman"/>
                <w:sz w:val="19"/>
              </w:rPr>
              <w:t>0,410</w:t>
            </w:r>
          </w:p>
        </w:tc>
        <w:tc>
          <w:tcPr>
            <w:tcW w:w="1516" w:type="dxa"/>
            <w:tcBorders/>
          </w:tcPr>
          <w:p>
            <w:pPr>
              <w:pStyle w:val="Normal"/>
              <w:widowControl w:val="false"/>
              <w:spacing w:lineRule="auto" w:line="276" w:before="0" w:after="120"/>
              <w:rPr/>
            </w:pPr>
            <w:r>
              <w:rPr>
                <w:rFonts w:eastAsia="Times New Roman" w:cs="Times New Roman"/>
                <w:sz w:val="19"/>
              </w:rPr>
              <w:t>0,384</w:t>
            </w:r>
          </w:p>
        </w:tc>
        <w:tc>
          <w:tcPr>
            <w:tcW w:w="1518" w:type="dxa"/>
            <w:tcBorders/>
          </w:tcPr>
          <w:p>
            <w:pPr>
              <w:pStyle w:val="Normal"/>
              <w:widowControl w:val="false"/>
              <w:spacing w:lineRule="auto" w:line="276" w:before="0" w:after="120"/>
              <w:rPr/>
            </w:pPr>
            <w:r>
              <w:rPr>
                <w:rFonts w:eastAsia="Times New Roman" w:cs="Times New Roman"/>
                <w:sz w:val="19"/>
              </w:rPr>
              <w:t>0,360</w:t>
            </w:r>
          </w:p>
        </w:tc>
      </w:tr>
      <w:tr>
        <w:trPr/>
        <w:tc>
          <w:tcPr>
            <w:tcW w:w="1517" w:type="dxa"/>
            <w:tcBorders/>
          </w:tcPr>
          <w:p>
            <w:pPr>
              <w:pStyle w:val="Normal"/>
              <w:widowControl w:val="false"/>
              <w:spacing w:lineRule="auto" w:line="276" w:before="0" w:after="120"/>
              <w:rPr/>
            </w:pPr>
            <w:r>
              <w:rPr>
                <w:rFonts w:eastAsia="Times New Roman" w:cs="Times New Roman"/>
                <w:sz w:val="19"/>
              </w:rPr>
              <w:t>SD ↑</w:t>
            </w:r>
          </w:p>
        </w:tc>
        <w:tc>
          <w:tcPr>
            <w:tcW w:w="1516" w:type="dxa"/>
            <w:tcBorders/>
          </w:tcPr>
          <w:p>
            <w:pPr>
              <w:pStyle w:val="Normal"/>
              <w:widowControl w:val="false"/>
              <w:spacing w:lineRule="auto" w:line="276" w:before="0" w:after="120"/>
              <w:rPr/>
            </w:pPr>
            <w:r>
              <w:rPr>
                <w:rFonts w:eastAsia="Times New Roman" w:cs="Times New Roman"/>
                <w:b/>
                <w:sz w:val="19"/>
              </w:rPr>
              <w:t>0,117</w:t>
            </w:r>
          </w:p>
        </w:tc>
        <w:tc>
          <w:tcPr>
            <w:tcW w:w="1518" w:type="dxa"/>
            <w:tcBorders/>
          </w:tcPr>
          <w:p>
            <w:pPr>
              <w:pStyle w:val="Normal"/>
              <w:widowControl w:val="false"/>
              <w:spacing w:lineRule="auto" w:line="276" w:before="0" w:after="120"/>
              <w:rPr/>
            </w:pPr>
            <w:r>
              <w:rPr>
                <w:rFonts w:eastAsia="Times New Roman" w:cs="Times New Roman"/>
                <w:sz w:val="19"/>
              </w:rPr>
              <w:t>0,139</w:t>
            </w:r>
          </w:p>
        </w:tc>
        <w:tc>
          <w:tcPr>
            <w:tcW w:w="1517" w:type="dxa"/>
            <w:tcBorders/>
          </w:tcPr>
          <w:p>
            <w:pPr>
              <w:pStyle w:val="Normal"/>
              <w:widowControl w:val="false"/>
              <w:spacing w:lineRule="auto" w:line="276" w:before="0" w:after="120"/>
              <w:rPr/>
            </w:pPr>
            <w:r>
              <w:rPr>
                <w:rFonts w:eastAsia="Times New Roman" w:cs="Times New Roman"/>
                <w:sz w:val="19"/>
              </w:rPr>
              <w:t>0,155</w:t>
            </w:r>
          </w:p>
        </w:tc>
        <w:tc>
          <w:tcPr>
            <w:tcW w:w="1516" w:type="dxa"/>
            <w:tcBorders/>
          </w:tcPr>
          <w:p>
            <w:pPr>
              <w:pStyle w:val="Normal"/>
              <w:widowControl w:val="false"/>
              <w:spacing w:lineRule="auto" w:line="276" w:before="0" w:after="120"/>
              <w:rPr/>
            </w:pPr>
            <w:r>
              <w:rPr>
                <w:rFonts w:eastAsia="Times New Roman" w:cs="Times New Roman"/>
                <w:sz w:val="19"/>
              </w:rPr>
              <w:t>0,130</w:t>
            </w:r>
          </w:p>
        </w:tc>
        <w:tc>
          <w:tcPr>
            <w:tcW w:w="1518" w:type="dxa"/>
            <w:tcBorders/>
          </w:tcPr>
          <w:p>
            <w:pPr>
              <w:pStyle w:val="Normal"/>
              <w:widowControl w:val="false"/>
              <w:spacing w:lineRule="auto" w:line="276" w:before="0" w:after="120"/>
              <w:rPr/>
            </w:pPr>
            <w:r>
              <w:rPr>
                <w:rFonts w:eastAsia="Times New Roman" w:cs="Times New Roman"/>
                <w:sz w:val="19"/>
              </w:rPr>
              <w:t>0,120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9. Propuesta Novedosa (PSO: r = 25, m = 0,070) frente a la metodología clásica Top-Hat y al estado del arte en las métricas estándar de calidad.</w:t>
      </w:r>
    </w:p>
    <w:p>
      <w:pPr>
        <w:pStyle w:val="Normal"/>
        <w:spacing w:lineRule="auto" w:line="360"/>
        <w:ind w:firstLine="709"/>
        <w:jc w:val="both"/>
        <w:rPr/>
      </w:pPr>
      <w:r>
        <w:rPr>
          <w:rFonts w:eastAsia="Times New Roman" w:cs="Times New Roman"/>
        </w:rPr>
        <w:t xml:space="preserve">La Figura 10 resume la optimización del método. El panel izquierdo muestra la convergencia del mejor global según el número de partículas (Tmax = 50): los enjambres grandes escapan del óptimo local r = 1 y alcanzan la aptitud máxima F = 1,9843. El panel derecho y la Tabla 11 sintetizan el barrido de 25 configuraciones: el óptimo global (r = 25, m = 0,070) es alcanzado por seis configuraciones y de forma consistente por los enjambres de 10 partículas con 30 o más iteraciones; la contribución de los elementos estructurantes lineales sobre el disco reside en la cobertura de orientaciones.</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Convergencia del PSO según el número de partículas (izq.) y aptitud del barrido de configuraciones (der.), sobre tres escenas representativas.</w:t>
      </w:r>
    </w:p>
    <w:p>
      <w:pPr>
        <w:pStyle w:val="Normal"/>
        <w:spacing w:lineRule="auto" w:line="276"/>
        <w:jc w:val="both"/>
        <w:rPr/>
      </w:pPr>
      <w:r>
        <w:rPr>
          <w:rFonts w:eastAsia="Times New Roman" w:cs="Times New Roman"/>
          <w:i/>
          <w:sz w:val="18"/>
        </w:rPr>
        <w:t>Tabla 11. Barrido de configuraciones del PSO: mejor aptitud F por combinación de partículas (n) e iteraciones (T).</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1,9686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1,9287</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1,9464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1,9799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1,9839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1,9822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r>
    </w:tbl>
    <w:p>
      <w:pPr>
        <w:pStyle w:val="Normal"/>
        <w:spacing w:lineRule="auto" w:line="276"/>
        <w:rPr/>
      </w:pPr>
      <w:r>
        <w:rPr/>
      </w:r>
    </w:p>
    <w:p>
      <w:pPr>
        <w:pStyle w:val="Normal"/>
        <w:spacing w:lineRule="auto" w:line="360"/>
        <w:ind w:firstLine="709"/>
        <w:jc w:val="both"/>
        <w:rPr/>
      </w:pPr>
      <w:r>
        <w:rPr>
          <w:i/>
          <w:iCs/>
          <w:rFonts w:eastAsia="Times New Roman" w:cs="Times New Roman"/>
        </w:rPr>
        <w:t xml:space="preserve">Ablación de la función de aptitud. </w:t>
      </w:r>
      <w:r>
        <w:rPr>
          <w:iCs/>
          <w:rFonts w:eastAsia="Times New Roman" w:cs="Times New Roman"/>
        </w:rPr>
        <w:t xml:space="preserve">A pedido de la revisión de avances, el barrido de 25 configuraciones se repitió con la función objetivo del trabajo de referencia, Fo = SSIMavg + En + PSNRn (Ortega y Espinoza, 2025), con su rango original m ∈ [0,3; 2,0], tanto sobre la propuesta como sobre el operador clásico. En las 50 corridas el peso óptimo se ubicó en el límite inferior del rango (m* = 0,30): los dos términos de fidelidad de Fo dominan a la entropía y empujan el realce al mínimo permitido. Sobre la propuesta, Fo seleccionó además r* = 1, un óptimo trivial que desactiva en la práctica el banco de elementos estructurantes.</w:t>
      </w:r>
    </w:p>
    <w:p>
      <w:pPr>
        <w:pStyle w:val="Normal"/>
        <w:spacing w:lineRule="auto" w:line="360"/>
        <w:ind w:firstLine="709"/>
        <w:jc w:val="both"/>
        <w:rPr/>
      </w:pPr>
      <w:r>
        <w:rPr>
          <w:iCs/>
          <w:rFonts w:eastAsia="Times New Roman" w:cs="Times New Roman"/>
        </w:rPr>
        <w:t xml:space="preserve">La Figura 11 muestra el paisaje de aptitud en función de m (con r = 25) sin restricciones de rango: ambas funciones decrecen monótonamente para m ≥ 0,2, de modo que ningún tamaño de enjambre ni número de iteraciones puede converger dentro de [0,5; 2,0]; y el máximo real de Fo sobre la propuesta se ubica en m ≈ 0,07, coincidente con el óptimo de la aptitud orientada a la fusión (m = 0,0703): ambas formulaciones acuerdan el peso adecuado para el operador con suma de ramas.</w:t>
      </w:r>
    </w:p>
    <w:p>
      <w:pPr>
        <w:pStyle w:val="Normal"/>
        <w:spacing w:lineRule="auto" w:line="276"/>
        <w:jc w:val="center"/>
        <w:rPr/>
      </w:pPr>
      <w:r>
        <w:rPr/>
        <w:drawing>
          <wp:inline distT="0" distB="0" distL="0" distR="0">
            <wp:extent cx="5760720" cy="3023475"/>
            <wp:effectExtent l="0" t="0" r="0" b="0"/>
            <wp:docPr id="9911" name="fig_aptitud_vs_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1"/>
                    <a:stretch>
                      <a:fillRect/>
                    </a:stretch>
                  </pic:blipFill>
                  <pic:spPr bwMode="auto">
                    <a:xfrm>
                      <a:off x="0" y="0"/>
                      <a:ext cx="5760720" cy="3023475"/>
                    </a:xfrm>
                    <a:prstGeom prst="rect">
                      <a:avLst/>
                    </a:prstGeom>
                    <a:noFill/>
                  </pic:spPr>
                </pic:pic>
              </a:graphicData>
            </a:graphic>
          </wp:inline>
        </w:drawing>
      </w:r>
    </w:p>
    <w:p>
      <w:pPr>
        <w:pStyle w:val="Normal"/>
        <w:spacing w:lineRule="auto" w:line="276"/>
        <w:jc w:val="both"/>
        <w:rPr/>
      </w:pPr>
      <w:r>
        <w:rPr>
          <w:rFonts w:eastAsia="Times New Roman" w:cs="Times New Roman"/>
          <w:i/>
          <w:sz w:val="18"/>
        </w:rPr>
        <w:t xml:space="preserve">Figura 11. Aptitud en función del peso de contraste m (r = 25), sin restricciones de rango: F_apt de la tesis y Fo del trabajo de referencia sobre ambos operadores.</w:t>
      </w:r>
    </w:p>
    <w:p>
      <w:pPr>
        <w:pStyle w:val="Normal"/>
        <w:spacing w:lineRule="auto" w:line="276"/>
        <w:jc w:val="both"/>
        <w:rPr/>
      </w:pPr>
      <w:r>
        <w:rPr>
          <w:rFonts w:eastAsia="Times New Roman" w:cs="Times New Roman"/>
          <w:i/>
          <w:sz w:val="18"/>
        </w:rPr>
        <w:t xml:space="preserve">Tabla 12. Ablación de la función de aptitud: óptimos de F_apt y de Fo evaluados sobre los 20 pares (medias).</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248"/>
        <w:gridCol w:w="1248"/>
        <w:gridCol w:w="1248"/>
        <w:gridCol w:w="1248"/>
        <w:gridCol w:w="1248"/>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Variante</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Qabf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Nabf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SSIM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SCD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VIF ↑</w:t>
            </w:r>
          </w:p>
        </w:tc>
      </w:tr>
      <w:tr>
        <w:trPr/>
        <w:tc>
          <w:tcPr>
            <w:tcW w:w="3120" w:type="dxa"/>
            <w:tcBorders/>
          </w:tcPr>
          <w:p>
            <w:pPr>
              <w:pStyle w:val="Normal"/>
              <w:widowControl w:val="false"/>
              <w:spacing w:lineRule="auto" w:line="276" w:before="0" w:after="120"/>
              <w:rPr/>
            </w:pPr>
            <w:r>
              <w:rPr>
                <w:rFonts w:eastAsia="Times New Roman" w:cs="Times New Roman"/>
                <w:b/>
                <w:sz w:val="19"/>
              </w:rPr>
              <w:t>Propuesta + F_apt (r = 25; m = 0,070)</w:t>
            </w:r>
          </w:p>
        </w:tc>
        <w:tc>
          <w:tcPr>
            <w:tcW w:w="1248" w:type="dxa"/>
            <w:tcBorders/>
          </w:tcPr>
          <w:p>
            <w:pPr>
              <w:pStyle w:val="Normal"/>
              <w:widowControl w:val="false"/>
              <w:spacing w:lineRule="auto" w:line="276" w:before="0" w:after="120"/>
              <w:rPr/>
            </w:pPr>
            <w:r>
              <w:rPr>
                <w:rFonts w:eastAsia="Times New Roman" w:cs="Times New Roman"/>
                <w:b/>
                <w:sz w:val="19"/>
              </w:rPr>
              <w:t>0,500</w:t>
            </w:r>
          </w:p>
        </w:tc>
        <w:tc>
          <w:tcPr>
            <w:tcW w:w="1248" w:type="dxa"/>
            <w:tcBorders/>
          </w:tcPr>
          <w:p>
            <w:pPr>
              <w:pStyle w:val="Normal"/>
              <w:widowControl w:val="false"/>
              <w:spacing w:lineRule="auto" w:line="276" w:before="0" w:after="120"/>
              <w:rPr/>
            </w:pPr>
            <w:r>
              <w:rPr>
                <w:rFonts w:eastAsia="Times New Roman" w:cs="Times New Roman"/>
                <w:b/>
                <w:sz w:val="19"/>
              </w:rPr>
              <w:t>0,041</w:t>
            </w:r>
          </w:p>
        </w:tc>
        <w:tc>
          <w:tcPr>
            <w:tcW w:w="1248" w:type="dxa"/>
            <w:tcBorders/>
          </w:tcPr>
          <w:p>
            <w:pPr>
              <w:pStyle w:val="Normal"/>
              <w:widowControl w:val="false"/>
              <w:spacing w:lineRule="auto" w:line="276" w:before="0" w:after="120"/>
              <w:rPr/>
            </w:pPr>
            <w:r>
              <w:rPr>
                <w:rFonts w:eastAsia="Times New Roman" w:cs="Times New Roman"/>
                <w:b/>
                <w:sz w:val="19"/>
              </w:rPr>
              <w:t>0,782</w:t>
            </w:r>
          </w:p>
        </w:tc>
        <w:tc>
          <w:tcPr>
            <w:tcW w:w="1248" w:type="dxa"/>
            <w:tcBorders/>
          </w:tcPr>
          <w:p>
            <w:pPr>
              <w:pStyle w:val="Normal"/>
              <w:widowControl w:val="false"/>
              <w:spacing w:lineRule="auto" w:line="276" w:before="0" w:after="120"/>
              <w:rPr/>
            </w:pPr>
            <w:r>
              <w:rPr>
                <w:rFonts w:eastAsia="Times New Roman" w:cs="Times New Roman"/>
                <w:b/>
                <w:sz w:val="19"/>
              </w:rPr>
              <w:t>1,450</w:t>
            </w:r>
          </w:p>
        </w:tc>
        <w:tc>
          <w:tcPr>
            <w:tcW w:w="1248" w:type="dxa"/>
            <w:tcBorders/>
          </w:tcPr>
          <w:p>
            <w:pPr>
              <w:pStyle w:val="Normal"/>
              <w:widowControl w:val="false"/>
              <w:spacing w:lineRule="auto" w:line="276" w:before="0" w:after="120"/>
              <w:rPr/>
            </w:pPr>
            <w:r>
              <w:rPr>
                <w:rFonts w:eastAsia="Times New Roman" w:cs="Times New Roman"/>
                <w:b/>
                <w:sz w:val="19"/>
              </w:rPr>
              <w:t>0,368</w:t>
            </w:r>
          </w:p>
        </w:tc>
      </w:tr>
      <w:tr>
        <w:trPr/>
        <w:tc>
          <w:tcPr>
            <w:tcW w:w="3120" w:type="dxa"/>
            <w:tcBorders/>
          </w:tcPr>
          <w:p>
            <w:pPr>
              <w:pStyle w:val="Normal"/>
              <w:widowControl w:val="false"/>
              <w:spacing w:lineRule="auto" w:line="276" w:before="0" w:after="120"/>
              <w:rPr/>
            </w:pPr>
            <w:r>
              <w:rPr>
                <w:rFonts w:eastAsia="Times New Roman" w:cs="Times New Roman"/>
                <w:b/>
                <w:sz w:val="19"/>
              </w:rPr>
              <w:t>Top-Hat clásico + Fo (r = 25; m = 0,30)</w:t>
            </w:r>
          </w:p>
        </w:tc>
        <w:tc>
          <w:tcPr>
            <w:tcW w:w="1248" w:type="dxa"/>
            <w:tcBorders/>
          </w:tcPr>
          <w:p>
            <w:pPr>
              <w:pStyle w:val="Normal"/>
              <w:widowControl w:val="false"/>
              <w:spacing w:lineRule="auto" w:line="276" w:before="0" w:after="120"/>
              <w:rPr/>
            </w:pPr>
            <w:r>
              <w:rPr>
                <w:rFonts w:eastAsia="Times New Roman" w:cs="Times New Roman"/>
                <w:b/>
                <w:sz w:val="19"/>
              </w:rPr>
              <w:t>0,534</w:t>
            </w:r>
          </w:p>
        </w:tc>
        <w:tc>
          <w:tcPr>
            <w:tcW w:w="1248" w:type="dxa"/>
            <w:tcBorders/>
          </w:tcPr>
          <w:p>
            <w:pPr>
              <w:pStyle w:val="Normal"/>
              <w:widowControl w:val="false"/>
              <w:spacing w:lineRule="auto" w:line="276" w:before="0" w:after="120"/>
              <w:rPr/>
            </w:pPr>
            <w:r>
              <w:rPr>
                <w:rFonts w:eastAsia="Times New Roman" w:cs="Times New Roman"/>
                <w:b/>
                <w:sz w:val="19"/>
              </w:rPr>
              <w:t>0,184</w:t>
            </w:r>
          </w:p>
        </w:tc>
        <w:tc>
          <w:tcPr>
            <w:tcW w:w="1248" w:type="dxa"/>
            <w:tcBorders/>
          </w:tcPr>
          <w:p>
            <w:pPr>
              <w:pStyle w:val="Normal"/>
              <w:widowControl w:val="false"/>
              <w:spacing w:lineRule="auto" w:line="276" w:before="0" w:after="120"/>
              <w:rPr/>
            </w:pPr>
            <w:r>
              <w:rPr>
                <w:rFonts w:eastAsia="Times New Roman" w:cs="Times New Roman"/>
                <w:b/>
                <w:sz w:val="19"/>
              </w:rPr>
              <w:t>0,745</w:t>
            </w:r>
          </w:p>
        </w:tc>
        <w:tc>
          <w:tcPr>
            <w:tcW w:w="1248" w:type="dxa"/>
            <w:tcBorders/>
          </w:tcPr>
          <w:p>
            <w:pPr>
              <w:pStyle w:val="Normal"/>
              <w:widowControl w:val="false"/>
              <w:spacing w:lineRule="auto" w:line="276" w:before="0" w:after="120"/>
              <w:rPr/>
            </w:pPr>
            <w:r>
              <w:rPr>
                <w:rFonts w:eastAsia="Times New Roman" w:cs="Times New Roman"/>
                <w:b/>
                <w:sz w:val="19"/>
              </w:rPr>
              <w:t>1,504</w:t>
            </w:r>
          </w:p>
        </w:tc>
        <w:tc>
          <w:tcPr>
            <w:tcW w:w="1248" w:type="dxa"/>
            <w:tcBorders/>
          </w:tcPr>
          <w:p>
            <w:pPr>
              <w:pStyle w:val="Normal"/>
              <w:widowControl w:val="false"/>
              <w:spacing w:lineRule="auto" w:line="276" w:before="0" w:after="120"/>
              <w:rPr/>
            </w:pPr>
            <w:r>
              <w:rPr>
                <w:rFonts w:eastAsia="Times New Roman" w:cs="Times New Roman"/>
                <w:b/>
                <w:sz w:val="19"/>
              </w:rPr>
              <w:t>0,395</w:t>
            </w:r>
          </w:p>
        </w:tc>
      </w:tr>
      <w:tr>
        <w:trPr/>
        <w:tc>
          <w:tcPr>
            <w:tcW w:w="3120" w:type="dxa"/>
            <w:tcBorders/>
          </w:tcPr>
          <w:p>
            <w:pPr>
              <w:pStyle w:val="Normal"/>
              <w:widowControl w:val="false"/>
              <w:spacing w:lineRule="auto" w:line="276" w:before="0" w:after="120"/>
              <w:rPr/>
            </w:pPr>
            <w:r>
              <w:rPr>
                <w:rFonts w:eastAsia="Times New Roman" w:cs="Times New Roman"/>
                <w:b/>
                <w:sz w:val="19"/>
              </w:rPr>
              <w:t>Propuesta + Fo (r = 1; m = 0,30)</w:t>
            </w:r>
          </w:p>
        </w:tc>
        <w:tc>
          <w:tcPr>
            <w:tcW w:w="1248" w:type="dxa"/>
            <w:tcBorders/>
          </w:tcPr>
          <w:p>
            <w:pPr>
              <w:pStyle w:val="Normal"/>
              <w:widowControl w:val="false"/>
              <w:spacing w:lineRule="auto" w:line="276" w:before="0" w:after="120"/>
              <w:rPr/>
            </w:pPr>
            <w:r>
              <w:rPr>
                <w:rFonts w:eastAsia="Times New Roman" w:cs="Times New Roman"/>
                <w:b/>
                <w:sz w:val="19"/>
              </w:rPr>
              <w:t>0,448</w:t>
            </w:r>
          </w:p>
        </w:tc>
        <w:tc>
          <w:tcPr>
            <w:tcW w:w="1248" w:type="dxa"/>
            <w:tcBorders/>
          </w:tcPr>
          <w:p>
            <w:pPr>
              <w:pStyle w:val="Normal"/>
              <w:widowControl w:val="false"/>
              <w:spacing w:lineRule="auto" w:line="276" w:before="0" w:after="120"/>
              <w:rPr/>
            </w:pPr>
            <w:r>
              <w:rPr>
                <w:rFonts w:eastAsia="Times New Roman" w:cs="Times New Roman"/>
                <w:b/>
                <w:sz w:val="19"/>
              </w:rPr>
              <w:t>0,121</w:t>
            </w:r>
          </w:p>
        </w:tc>
        <w:tc>
          <w:tcPr>
            <w:tcW w:w="1248" w:type="dxa"/>
            <w:tcBorders/>
          </w:tcPr>
          <w:p>
            <w:pPr>
              <w:pStyle w:val="Normal"/>
              <w:widowControl w:val="false"/>
              <w:spacing w:lineRule="auto" w:line="276" w:before="0" w:after="120"/>
              <w:rPr/>
            </w:pPr>
            <w:r>
              <w:rPr>
                <w:rFonts w:eastAsia="Times New Roman" w:cs="Times New Roman"/>
                <w:b/>
                <w:sz w:val="19"/>
              </w:rPr>
              <w:t>0,761</w:t>
            </w:r>
          </w:p>
        </w:tc>
        <w:tc>
          <w:tcPr>
            <w:tcW w:w="1248" w:type="dxa"/>
            <w:tcBorders/>
          </w:tcPr>
          <w:p>
            <w:pPr>
              <w:pStyle w:val="Normal"/>
              <w:widowControl w:val="false"/>
              <w:spacing w:lineRule="auto" w:line="276" w:before="0" w:after="120"/>
              <w:rPr/>
            </w:pPr>
            <w:r>
              <w:rPr>
                <w:rFonts w:eastAsia="Times New Roman" w:cs="Times New Roman"/>
                <w:b/>
                <w:sz w:val="19"/>
              </w:rPr>
              <w:t>1,353</w:t>
            </w:r>
          </w:p>
        </w:tc>
        <w:tc>
          <w:tcPr>
            <w:tcW w:w="1248" w:type="dxa"/>
            <w:tcBorders/>
          </w:tcPr>
          <w:p>
            <w:pPr>
              <w:pStyle w:val="Normal"/>
              <w:widowControl w:val="false"/>
              <w:spacing w:lineRule="auto" w:line="276" w:before="0" w:after="120"/>
              <w:rPr/>
            </w:pPr>
            <w:r>
              <w:rPr>
                <w:rFonts w:eastAsia="Times New Roman" w:cs="Times New Roman"/>
                <w:b/>
                <w:sz w:val="19"/>
              </w:rPr>
              <w:t>0,322</w:t>
            </w:r>
          </w:p>
        </w:tc>
      </w:tr>
      <w:tr>
        <w:trPr/>
        <w:tc>
          <w:tcPr>
            <w:tcW w:w="3120" w:type="dxa"/>
            <w:tcBorders/>
          </w:tcPr>
          <w:p>
            <w:pPr>
              <w:pStyle w:val="Normal"/>
              <w:widowControl w:val="false"/>
              <w:spacing w:lineRule="auto" w:line="276" w:before="0" w:after="120"/>
              <w:rPr/>
            </w:pPr>
            <w:r>
              <w:rPr>
                <w:rFonts w:eastAsia="Times New Roman" w:cs="Times New Roman"/>
                <w:b/>
                <w:sz w:val="19"/>
              </w:rPr>
              <w:t>Top-Hat clásico manual (r = 5; m = 1)</w:t>
            </w:r>
          </w:p>
        </w:tc>
        <w:tc>
          <w:tcPr>
            <w:tcW w:w="1248" w:type="dxa"/>
            <w:tcBorders/>
          </w:tcPr>
          <w:p>
            <w:pPr>
              <w:pStyle w:val="Normal"/>
              <w:widowControl w:val="false"/>
              <w:spacing w:lineRule="auto" w:line="276" w:before="0" w:after="120"/>
              <w:rPr/>
            </w:pPr>
            <w:r>
              <w:rPr>
                <w:rFonts w:eastAsia="Times New Roman" w:cs="Times New Roman"/>
                <w:b/>
                <w:sz w:val="19"/>
              </w:rPr>
              <w:t>0,305</w:t>
            </w:r>
          </w:p>
        </w:tc>
        <w:tc>
          <w:tcPr>
            <w:tcW w:w="1248" w:type="dxa"/>
            <w:tcBorders/>
          </w:tcPr>
          <w:p>
            <w:pPr>
              <w:pStyle w:val="Normal"/>
              <w:widowControl w:val="false"/>
              <w:spacing w:lineRule="auto" w:line="276" w:before="0" w:after="120"/>
              <w:rPr/>
            </w:pPr>
            <w:r>
              <w:rPr>
                <w:rFonts w:eastAsia="Times New Roman" w:cs="Times New Roman"/>
                <w:b/>
                <w:sz w:val="19"/>
              </w:rPr>
              <w:t>0,585</w:t>
            </w:r>
          </w:p>
        </w:tc>
        <w:tc>
          <w:tcPr>
            <w:tcW w:w="1248" w:type="dxa"/>
            <w:tcBorders/>
          </w:tcPr>
          <w:p>
            <w:pPr>
              <w:pStyle w:val="Normal"/>
              <w:widowControl w:val="false"/>
              <w:spacing w:lineRule="auto" w:line="276" w:before="0" w:after="120"/>
              <w:rPr/>
            </w:pPr>
            <w:r>
              <w:rPr>
                <w:rFonts w:eastAsia="Times New Roman" w:cs="Times New Roman"/>
                <w:b/>
                <w:sz w:val="19"/>
              </w:rPr>
              <w:t>0,578</w:t>
            </w:r>
          </w:p>
        </w:tc>
        <w:tc>
          <w:tcPr>
            <w:tcW w:w="1248" w:type="dxa"/>
            <w:tcBorders/>
          </w:tcPr>
          <w:p>
            <w:pPr>
              <w:pStyle w:val="Normal"/>
              <w:widowControl w:val="false"/>
              <w:spacing w:lineRule="auto" w:line="276" w:before="0" w:after="120"/>
              <w:rPr/>
            </w:pPr>
            <w:r>
              <w:rPr>
                <w:rFonts w:eastAsia="Times New Roman" w:cs="Times New Roman"/>
                <w:b/>
                <w:sz w:val="19"/>
              </w:rPr>
              <w:t>1,360</w:t>
            </w:r>
          </w:p>
        </w:tc>
        <w:tc>
          <w:tcPr>
            <w:tcW w:w="1248" w:type="dxa"/>
            <w:tcBorders/>
          </w:tcPr>
          <w:p>
            <w:pPr>
              <w:pStyle w:val="Normal"/>
              <w:widowControl w:val="false"/>
              <w:spacing w:lineRule="auto" w:line="276" w:before="0" w:after="120"/>
              <w:rPr/>
            </w:pPr>
            <w:r>
              <w:rPr>
                <w:rFonts w:eastAsia="Times New Roman" w:cs="Times New Roman"/>
                <w:b/>
                <w:sz w:val="19"/>
              </w:rPr>
              <w:t>0,334</w:t>
            </w:r>
          </w:p>
        </w:tc>
      </w:tr>
    </w:tbl>
    <w:p>
      <w:pPr>
        <w:pStyle w:val="Normal"/>
        <w:spacing w:lineRule="auto" w:line="360"/>
        <w:ind w:firstLine="709"/>
        <w:jc w:val="both"/>
        <w:rPr/>
      </w:pPr>
      <w:r>
        <w:rPr>
          <w:iCs/>
          <w:rFonts w:eastAsia="Times New Roman" w:cs="Times New Roman"/>
        </w:rPr>
        <w:t xml:space="preserve">La propuesta optimizada con la aptitud orientada a la fusión conserva el mejor perfil de limpieza y estructura (Nabf = 0,041; SSIM = 0,782). El óptimo de Fo sobre el operador clásico (r = 25; m = 0,30) resulta competitivo en bordes y correlación al costo de 4,5 veces más artefactos, y el óptimo de Fo sobre la propuesta confirma su carácter trivial. La función de aptitud define el perfil del resultado: la orientada a la fusión es la adecuada para los objetivos de esta tesis, lo que refuerza H2.</w:t>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cinco observaciones. Primero, la Propuesta Novedosa (r = 25, m = 0,070) exhibe el mejor perfil de calidad del benchmark: la menor tasa de artefactos (Nabf = 0,041, 2,7 veces menos que el mejor rival) y la mayor similitud estructural (SSIM = 0,782), quedando segunda en preservación de bordes (Qabf = 0,500), correlación (SCD = 1,450) y fidelidad visual (VIF = 0,368), a milésimas del líder de cada métrica, a costa de ceder contraste (SD, EN, SF). Segundo, no existe un método universalmente dominante: DTCWT lidera la preservación de bordes por una milésima, RP la correlación de diferencias y la pirámide de Laplace el contraste y la fidelidad perceptual (VIF); son óptimos de criterios distintos y complementarios. Tercero, la metodología clásica de la transformada Top-Hat evidencia el aporte de la propuesta: gana únicamente en las métricas de actividad bruta (EN, MG, SF) al costo del mayor nivel de artefactos del estudio (Nabf = 0,585) y la peor similitud estructural (SSIM = 0,578); la diferencia entre ambas aísla la contribución del banco disco + líneas y del ajuste (r, m) por PSO. Cuarto, las métricas de actividad e información premian el realce agresivo y deben reportarse junto a las de preservación de bordes y artefactos, pues por sí solas favorecerían al operador más ruidoso. Quinto, la evaluación orientada a tarea (detección sobre LLVIP) constituye un criterio complementario: toda fusión supera netamente al visible solo (+0,12 a +0,14 en mAP@0,5), el infrarrojo solo es la modalidad más fuerte (0,957) y entre las fusiones —en una banda estrecha de 0,926 a 0,949— la propuesta es competitiva (0,936) sin ser líder, lo que confirma que la superioridad en calidad de imagen no se traslada automáticamente a la detección.</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m=0,070, seleccionado mediante un barrido de 25 configuraciones de enjambre)— logra el mejor perfil de calidad del benchmark: la menor tasa de artefactos (Nabf=0,041) y la mayor similitud estructural (SSIM=0,782), con preservación de bordes y correlación destacadas (Qabf=0,500; SCD=1,450). Supera a la metodología clásica Top-Hat en las siete métricas de calidad e información de forma estadísticamente significativa (Wilcoxon pareado con corrección de Holm: p ≤ 0,001; sección 5.6). En la evaluación de detección sobre LLVIP, toda fusión supera al visible solo (mAP@0,5 de 0,808 a 0,926–0,949) pero ninguna al infrarrojo solo (0,957), y la propuesta resulta competitiva (mAP@0,5 = 0,936), dentro de una banda estrecha de fusiones, sin ser la mejor: su ventaja en calidad de imagen no se traslada directamente a la tarea de detección, cuya estrategia óptima depende de la aplicación. Quedan así sostenidas las hipótesis H1 y H2, y solo parcialmente H3.</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es el rival más equilibrado (Qabf=0,501; SSIM=0,739), RP lidera la correlación de diferencias (SCD=1,468) y la pirámide de Laplace conserva la ventaja en contraste y fidelidad perceptual (VIF=0,410);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pirámide de Laplace presenta el mejor ranking global agregado (3,17 sobre los 7 métodos), sostenido por su ventaja en contraste (SD) y fidelidad perceptual (VIF); no domina, en cambio, en limpieza ni en fidelidad estructural, donde la propuesta la supera de forma estadísticamente significativa. Curvelet y DWT, al penalizarse sus artefactos (Nabf), quedan relegados pese a su buena preservación de bordes.</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doce métricas, y las comparaciones pareadas Wilcoxon con corrección de Holm corroboran las superioridades específicas reportadas (ganancia en SSIM y SCD frente a Laplace, paridad en Qabf y Nabf).</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significativamente la calidad de la fusión (Qabf, SSIM, VIF, MI) y multiplica los artefactos (Nabf ×5).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priman la fidelidad estructural, la preservación de bordes y la ausencia de artefactos, emplear la Propuesta Novedosa (r = 25, m = 0,070), que registra la menor tasa de artefactos (Nabf) y la mayor similitud estructural (SSIM) del benchmark; para un balance que privilegie el contraste global, la pirámide de Laplace sigue siendo una opción sólida; y la metodología clásica Top-Hat ofrece un punto de partida interpretable y de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w:t>
      </w:r>
    </w:p>
    <w:p>
      <w:pPr>
        <w:pStyle w:val="Normal"/>
        <w:spacing w:lineRule="auto" w:line="360" w:before="0" w:after="160"/>
        <w:ind w:firstLine="709"/>
        <w:jc w:val="both"/>
        <w:rPr/>
      </w:pPr>
      <w:r>
        <w:rPr>
          <w:rFonts w:eastAsia="Times New Roman" w:cs="Times New Roman"/>
          <w:sz w:val="24"/>
          <w:szCs w:val="24"/>
        </w:rPr>
        <w:t>Bai, X. (2013). Morphological image fusion using the extracted image regions and details based on multi-scale top-hat transform and toggle contrast operator. Digital Signal Processing, 23(1), 244–263.</w:t>
      </w:r>
    </w:p>
    <w:p>
      <w:pPr>
        <w:pStyle w:val="Normal"/>
        <w:spacing w:lineRule="auto" w:line="360" w:before="0" w:after="160"/>
        <w:ind w:firstLine="709"/>
        <w:jc w:val="both"/>
        <w:rPr/>
      </w:pPr>
      <w:r>
        <w:rPr>
          <w:rFonts w:eastAsia="Times New Roman" w:cs="Times New Roman"/>
          <w:sz w:val="24"/>
          <w:szCs w:val="24"/>
        </w:rPr>
        <w:t>Bai, X., Zhou, F., y Xue, B. (2015). Image enhancement using multi-scale image features extracted by top-hat transform. Optics &amp; Laser Technology, 65, 145–150.</w:t>
      </w:r>
    </w:p>
    <w:p>
      <w:pPr>
        <w:pStyle w:val="Normal"/>
        <w:spacing w:lineRule="auto" w:line="360" w:before="0" w:after="160"/>
        <w:ind w:firstLine="709"/>
        <w:jc w:val="both"/>
        <w:rPr/>
      </w:pPr>
      <w:commentRangeStart w:id="4"/>
      <w:r>
        <w:rPr>
          <w:rFonts w:eastAsia="Times New Roman" w:cs="Times New Roman"/>
          <w:sz w:val="24"/>
          <w:szCs w:val="24"/>
        </w:rPr>
        <w:t>Bala, A. A., Aruna Priya, P., y Maik, V. (2024). Hybrid technique for fundus image enhancement using modified morphological filter and denoising net. The Journal of Supercomputing, 80,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3496–3504.</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Mukhopadhyay, S., y Chanda, B. (2001). A multi-scale morphological approach to local contrast enhancement. Signal Processing, 80(4), 685–696.</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Toet, A. (2014). The TNO multiband image data collection. Data in Brief, 4, 187–192.</w:t>
      </w:r>
    </w:p>
    <w:p>
      <w:pPr>
        <w:pStyle w:val="Normal"/>
        <w:spacing w:lineRule="auto" w:line="360" w:before="0" w:after="160"/>
        <w:ind w:firstLine="709"/>
        <w:jc w:val="both"/>
        <w:rPr/>
      </w:pPr>
      <w:r>
        <w:rPr>
          <w:rFonts w:eastAsia="Times New Roman" w:cs="Times New Roman"/>
          <w:sz w:val="24"/>
          <w:szCs w:val="24"/>
        </w:rPr>
        <w:t>Wang, J., Peng, J., Feng, X., He, G., y Fan, J. (2017). Fusion method for infrared and visible images by using non-negative sparse representation. Infrared Physics &amp; Technology, 80, 1–9.</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dieciséis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36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[0,05; 1,20].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120 contrastes Wilcoxon (2 métodos morfológicos × 5 métodos del estado del arte × 12 métricas), más el contraste directo entre la propuesta y el operador clásico,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(12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0,0703</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0,0703.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