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(r=25 por diseño; m=0,30, el piso del rango de búsqueda)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(r=25 by design; m=0.30, the floor of the search range)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shows that every fusion clearly outperforms the visible modality alone (mAP@0.5 from 0.81 to 0.91–0.95), although the infrared alone remains the strongest modality (0.971) and the proposal falls at the lower end of the fusion band (0.906),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74</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(r = 25 por diseño; m = 0,30, piso del rango)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una parte de ese vacío —la geometría del banco de elementos estructurantes sobre una sola escala— mediante un benchmark contra la metodología clásica y cinco configuraciones de referencia, y audita además la validez discriminativa del protocolo con que se lo evalúa.</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—la geometría del banco de SE, el radio r y el peso m—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la propuesta sigue primera (3,631 frente a 3,994 de la pirámide de Laplace), aunque el resto del orden se reacomoda.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Antes, Bai et al. (2012) habían usado los rasgos multiescala del Top-Hat para realce de imagen, y por otra vía Wang et al. (2014) combinan la fusión VIS+IR con representaciones dispersas no negativas. Pero ni esos trabajos ni los posteriores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Conviene declarar una precisión de implementación: la ecuación (29) de ese trabajo define el PSNR como 10·log10((M × N)² / MSE), con el número de píxeles al cuadrado en el numerador, donde la definición estándar lleva la intensidad máxima al cuadrado. Para una imagen de 620 × 450 eso desplaza el resultado en 60,8 dB, y explica que los valores publicados en sus anexos vayan de 94 a 99 dB, cifras incompatibles con una fusión porque implicarían que la imagen fusionada es casi idéntica a las dos fuentes a la vez, mientras su propio SSIMavg mediano es 0,4481. Esta tesis emplea la definición estándar, 10·log10(MAX²/MSE), de modo que sus valores de Fo no son directamente comparables con los publicados allí: la diferencia está enteramente en ese término.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el banco consta de cinco elementos: un disco elíptico B_r y cuatro segmentos lineales de longitud 2r+1 orientados a 0°, 45°, 90° y 135°. El radio se busca en r ∈ [1, 25] y se adopta r = 25. No se emplean elementos cuadrados ni de cruz.</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Es el principio de los cinco métodos comparativos —pirámides y wavelets—, no del operador propuesto: este trabaja sobre una sola escala de radio r y no construye ninguna descomposición iterativa con radio creciente. Prescindir de la cascada multiescala es precisamente la decisión de diseño que la tesis pone a prueba.</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método morfológico contra cada comparativo y ambos entre sí.</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uno de los dos métodos morfológicos —la Propuesta Novedosa y la metodología clásica Top-Hat— y cada uno de los cinco comparativos del estado del arte, más el contraste directo entre ambos morfológicos: once contrastes por métrica y 99 en total, controlando por imagen; dado el número de contrastes se aplica corrección de Holm dentro de cada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la pirámide de Laplace lidera FMI (0,2362), QW (0,8470) y QE (0,3856), y DTCWT lidera Q0 (0,7411); la propuesta no encabeza ninguna de las cuatro. La Propuesta Novedosa lidera en cambio SCD (1,5427) y VIF (0,3805), y presenta la mayor tasa de artefactos del benchmark después del Top-Hat clásico (Nabf 0,3742, frente a 0,1593 de DTCWT).</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la propuesta sigue primera (3,631 frente a 3,994 de la pirámide de Laplace), de modo que su primer lugar no depende de la redundancia; el resto del orden sí se reacomoda —solo cuatro de las siete posiciones se conservan, y el Top-Hat clásico cae del tercer al sexto lugar—.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una partición estratificada y disjunta en tres subconjuntos —2.000 pares de entrenamiento, 500 de validación y 500 de prueba, de los cuales 499 resultan utilizables—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partición de prueba de cada modalidad y de cada método de fusión, con la configuración adoptada en la sección 5.6 (r = 25, m = 0,30). El conteo por escena de la sección 5.8.5 se calcula sobre un subconjunto complementario de 232 escenas, disjunto del entrenamiento, formado por las que contienen simultáneamente las dos clases de visibilidad opuesta.</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porque maximiza el bloque de actividad de las nueve métricas de evaluación, sin que r = 1 desactive el banco.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 sostenida H1.</w:t>
      </w:r>
    </w:p>
    <w:p>
      <w:pPr>
        <w:pStyle w:val="Normal"/>
        <w:spacing w:lineRule="auto" w:line="360"/>
        <w:ind w:firstLine="709"/>
        <w:jc w:val="both"/>
        <w:rPr/>
      </w:pPr>
      <w:r>
        <w:rPr>
          <w:rFonts w:eastAsia="Times New Roman" w:cs="Times New Roman"/>
        </w:rPr>
        <w:t>La elección del peso es robusta: las 25 combinaciones del barrido convergieron al mismo valor, m* = 0,30, el límite inferior del rango publicado, porque la aptitud Fo decrece de forma monótona al aumentar el realce. El radio r = 25 se adopta porque maximiza el bloque de actividad de las nueve métricas de evaluación —todas de tipo «mayor es mejor»—: a igual peso supera a r = 1 en entropía, contraste, eficiencia de fusión, gradiente medio y frecuencia espacial, mientras r = 1 preserva mejor la fidelidad a las fuentes, de modo que un vecindario amplio captura los objetivos térmicos completos. Conviene precisar que r = 1 no desactiva el banco: con r = 1 el disco es la cruz de 3 × 3 y las cuatro líneas orientadas son cuatro máscaras 3 × 3 distintas, de modo que los cinco elementos siguen operativos. La elección del radio se apoya, por tanto, en el criterio de evaluación y no en la optimización.</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(r = 25 por diseño; m = 0,30, piso del rango)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la propuesta sigue primera (3,631 frente a 3,994 de la pirámide de Laplace), de modo que la redundancia no explica su primer lugar. El resto del orden sí se reacomoda: solo cuatro de las siete posiciones se conservan, y el Top-Hat clásico cae del tercer lugar al sexto (3,944 a 4,131).</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barrido determinista de la aptitud precisa el alcance de esa afirmación. Enumerando los veinticinco radios enteros por 200 pesos —la aptitud es determinista y el radio es entero, de modo que el espacio se puede recorrer sin muestreo— el máximo dentro del rango publicado está en r = 1 con Fo = 1,7350, pero con el peso libre está en r = 25, el radio que esta tesis adopta, con m = 0,070 y Fo = 1,7715; el rango heredado cuesta 0,0365 de aptitud. El orden de los radios se invierte: con el peso libre la aptitud decrece al bajar el radio y r = 1 pasa a ser el peor (1,7607). La discrepancia no está, por tanto, en el radio sino en el peso: el r = 25 adoptado es el óptimo de la aptitud del trabajo de referencia una vez que el peso no está atado al piso de un intervalo calibrado para otro operador. Y la equivalencia de energía cierra el cuadro: ese óptimo libre equivale a m = 0,294 sobre un disco único, esencialmente el piso 0,30 que la referencia publicó para su disco, que extrae 4,21 veces menos energía de detalle. El peso adoptado se sostiene, entonces, en los criterios independientes de la aptitud que se enumeran a continuación. El contraste con el trabajo de referencia delimita el alcance de esa afirmación. Con el disco único, y sobre el mismo rango y la misma aptitud, su barrido no converge al piso sino a valores interiores: la mediana del peso sobre sus 125 corridas —las 25 configuraciones de enjambre de cada una de sus cinco escenas— es 0,695, con recorrido [0,300; 2,000], y solo una escena (Reek) se ancla en el piso, en 17 de sus 25 configuraciones. El anclaje que aquí se observa es entonces una propiedad del operador —el banco extrae 4,21 veces la energía de detalle del disco— y no de la función de aptitud ni del intervalo. A la inversa, en aquel trabajo lo que queda determinado por una cota es el radio: r = 25, el límite superior del intervalo, aparece en 104 de sus 125 corridas. En ambos casos, por tanto, uno de los dos hiperparámetros lo fija una decisión de acotación y no la búsqueda, lo que es precisamente el objeto de esta auditoría.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La Propuesta Novedosa —con las respuestas lineales promediadas y sumadas a la del disco sobre una sola escala (r=25 adoptado como decisión de diseño sobre la batería de evaluación; m=0,30, el piso del rango heredado, al que converge el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H1 y H6: el operador desplaza su punto de operación en lugar de mejorar de manera uniforme, y la mejora en las métricas de imagen no se traslada a la tarea de detección —la hipótesis de traslación queda rechazada, no simplemente sin confirmar—,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 = 0,7249), la pirámide de Laplace el contraste (SD = 0,1550)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información mutua premia la combinación lineal: en la ablación de la sección 5.8.3, el brazo sin operador —la imagen base (VIS + IR)/2— obtiene la mayor información mutua con ambas fuentes de los seis brazos (MI_vis = 1,3120 y MI_ir = 0,8537, frente a 0,8970 y 0,6003 de la suma de ramas) junto con el contraste más bajo (SD = 0,1055). Conviene por tanto reportar MI siempre junto a métricas de actividad y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forma de combinar las respuestas del banco introduce diferencias modestas. Con el radio y el peso igualados en (25; 0,30), la ablación de seis brazos ordena así el rango medio de las nueve métricas: suma de disco y promedio de líneas 3,222; máximo entre ambas ramas 3,311; disco único 3,367; promedio de ambas 3,533; y, últimas y empatadas, las líneas solas y la imagen base sin operador 3,783. No se compararon geometrías alternativas de elemento estructurante —cuadrado o cruz—, que no forman parte de la implementación.</w:t>
      </w:r>
    </w:p>
    <w:p>
      <w:pPr>
        <w:pStyle w:val="ListParagraph"/>
        <w:numPr>
          <w:ilvl w:val="0"/>
          <w:numId w:val="3"/>
        </w:numPr>
        <w:spacing w:lineRule="auto" w:line="360" w:before="0" w:after="100"/>
        <w:ind w:firstLine="709"/>
        <w:jc w:val="both"/>
        <w:rPr/>
      </w:pPr>
      <w:r>
        <w:rPr>
          <w:rFonts w:eastAsia="Times New Roman" w:cs="Times New Roman"/>
          <w:sz w:val="24"/>
          <w:szCs w:val="24"/>
        </w:rPr>
        <w:t>Los dos hiperparámetros del método son el radio r y el peso m; no hay profundidad de descomposición ni radio base, porque el operador es de una sola escala. Sus efectos son opuestos y bien delimitados: el radio gobierna la escala de las estructuras que el operador extrae —la aptitud del trabajo de referencia favorece r = 1 y la batería de evaluación r = 25— y el peso gobierna la intensidad del realce, con el recorte por saturación creciendo del 0,73 % en m = 0,30 al 6,50 % en m = 1.</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El realce morfológico se paga en artefactos, y conviene declararlo: en Nabf —la única métrica del estudio que los mide, y que no integra la batería de nueve— los dos operadores morfológicos son los más agresivos del benchmark, con 0,374 la propuesta y 0,586 el Top-Hat clásico, frente a 0,114 de la pirámide de Laplace. No se evaluó una variante que prescinda de la rama Black Top-Hat: el esquema aditivo-sustractivo se emplea completo en todas las configuraciones, de modo que la contribución aislada de esa rama queda como trabajo futuro.</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atenuar los artefactos que el esquema WTH+BTH adoptado introduce: la propuesta es el operador con la tasa de artefactos más alta del benchmark después del Top-Hat clásico (Nabf = 0,374 frente a 0,586 del clásico y 0,114 de la pirámide de Laplace).</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 la imagen base sin operador de la sección 5.8.3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Jocher, G., Chaurasia, A., y Qiu, J. (2023). Ultralytics YOLOv8 (versión 8.0.0) [software]. https://github.com/ultralytics/ultralytics</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Redmon, J., Divvala, S., Girshick, R., y Farhadi, A. (2016). You only look once: Unified, real-time object detection. Proceedings of the IEEE Conference on Computer Vision and Pattern Recognition (CVPR), 779–788. https://doi.org/10.1109/CVPR.2016.91</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experiments/pso_grid_search_fo.py (barrido de 25 configuraciones del PSO con la aptitud Fo),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experiments/results/pso/pso_grid_fo_propuesta_state.json y la tabla resumen en experiments/results/metrics_reports/pso_grid_search_fo_propuesta.csv.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54 contrastes de la propuesta frente a sus seis rivales (9 métricas × 6 rivales: los cinco del estado del arte y el Top-Hat clásico,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distinción correcta separa las dos clases de capas: las de detalle se fusionan por máxima actividad local y la base por promedio simple. Conviene precisar el alcance: esto concierne a los métodos comparativos multiescala, no al operador propuesto, que es de una sola escala y no tiene capas —su única respuesta de detalle se combina por máximo entre fuentes y se reconstruye sobre I_base = (VIS + IR)/2, promedio simple de las dos fuentes por definición—.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(140 fusiones: 7 métodos × 20 pares)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