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comments.xml" ContentType="application/vnd.openxmlformats-officedocument.wordprocessingml.comments+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nueve métricas sin referencia bajo pruebas no paramétricas (Friedman y Wilcoxon con corrección de Holm). En su configuración óptima (PSO: r=25, m=0,070) la propuesta obtiene la menor tasa de artefactos del estudio (Nabf=0,041, 2,7 veces menos que el mejor rival) y la mayor similitud estructural (SSIM=0,782), quedando segunda en preservación de bordes, correlación y fidelidad visual (Qabf=0,500; SCD=1,450; VIF=0,368), a milésimas del líder de cada métrica; la metodología clásica Top-Hat solo la supera en métricas de actividad bruta al costo del mayor nivel de artefactos del estudio (Nabf=0,585). Como evaluación orientada a tarea, el reentrenamiento de un detector (YOLOv8n) sobre el conjunto etiquetado LLVIP muestra que toda fusión supera con claridad al visible solo (mAP@0,5 de 0,81 a 0,93–0,95), aunque el infrarrojo solo es la modalidad más fuerte (0,957) y la propuesta resulta competitiva (0,936) sin liderar, evidenciando que la superioridad en calidad de imagen no se traslada automáticamente a la detección. En un experimento complementario sobre M3FD, con dos clases de visibilidad opuesta (personas/IR y luces/VIS) y un único detector entrenado con ambas modalidades, la fusión detecta ambas clases en una sola imagen y la propuesta es la mejor fusión del estudio (mAP@0,5 = 0,239). Se concluye que la propuesta mejora la calidad de fusión —en particular la limpieza y la fidelidad estructural— frente a la metodología clásica Top-Hat y al estado del arte, manteniendo bajo costo computacional e interpretabilidad morfológica.</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twelve no-reference metrics under non-parametric testing (Friedman, Wilcoxon with Holm correction). At its optimal configuration (PSO: r=25, m=0.070) the proposal attains the lowest artifact rate of the study (Nabf=0.041, 2.7 times less than the best rival) and the highest structural similarity (SSIM=0.782), ranking second in edge preservation, correlation and visual fidelity (Qabf=0.500; SCD=1.450; VIF=0.368), within thousandths of each metric leader; the classical Top-Hat only surpasses it in raw-activity metrics at the cost of the highest artifact level in the study (Nabf=0.585). As a task-oriented evaluation, retraining a detector (YOLOv8n) on the labeled LLVIP dataset shows that every fusion clearly outperforms the visible modality alone (mAP@0.5 from 0.81 to 0.93–0.95), although the infrared alone remains the strongest modality (0.957) and the proposal is competitive (0.936) without leading, evidencing that superiority in image quality does not automatically transfer to detection. In a complementary experiment on M3FD, with two classes of opposite visibility (people/IR and lamps/VIS) and a single detector trained on both modalities, fusion detects both classes in a single image and the proposal is the best fusion in the study (mAP@0.5 = 0.239). We conclude that the proposal improves fusion quality —particularly cleanliness and structural fidelity— over the classical Top-Hat methodology and the state of the art, while keeping low computational cost and morphological interpretability.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multi-scale,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17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24</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29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35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35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35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37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38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38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43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43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44</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56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58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63</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(Xydeas-Petrovic)</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estándar de calidad (Qabf, Nabf, SSIM, SCD, VIF, SF) para métodos representativos (n = 20 pares VIS/IR).</w:t>
      </w:r>
    </w:p>
    <w:p>
      <w:pPr>
        <w:pStyle w:val="Normal"/>
        <w:spacing w:lineRule="auto" w:line="276" w:before="0" w:after="40"/>
        <w:jc w:val="both"/>
        <w:rPr/>
      </w:pPr>
      <w:r>
        <w:rPr>
          <w:rFonts w:eastAsia="Times New Roman" w:cs="Times New Roman"/>
          <w:sz w:val="21"/>
        </w:rPr>
        <w:t>Figura 8. Ranking global por método (promedio de rangos sobre las nueve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las personas que el visible pierde y las luces que el infrarrojo pierde.</w:t>
      </w:r>
    </w:p>
    <w:p>
      <w:pPr>
        <w:pStyle w:val="Normal"/>
        <w:spacing w:lineRule="auto" w:line="276" w:before="0" w:after="40"/>
        <w:jc w:val="both"/>
        <w:rPr/>
      </w:pPr>
      <w:r>
        <w:rPr>
          <w:rFonts w:eastAsia="Times New Roman" w:cs="Times New Roman"/>
          <w:i/>
          <w:sz w:val="18"/>
        </w:rPr>
        <w:t>Figura 10. Propuesta Novedosa (PSO: r = 25, m = 0,070) frente a la metodología clásica Top-Hat y al estado del arte.</w:t>
      </w:r>
    </w:p>
    <w:p>
      <w:pPr>
        <w:pStyle w:val="Normal"/>
        <w:spacing w:lineRule="auto" w:line="276" w:before="0" w:after="40"/>
        <w:jc w:val="both"/>
        <w:rPr/>
      </w:pPr>
      <w:r>
        <w:rPr>
          <w:rFonts w:eastAsia="Times New Roman" w:cs="Times New Roman"/>
          <w:sz w:val="21"/>
        </w:rPr>
        <w:t>Figura 11. Convergencia del PSO según el número de partículas (izq.) y aptitud del barrido de configuraciones (der.), sobre tres escenas representativas.</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frecuencia espacial (SF), similitud estructural (SSIM) y PSNR por método (n =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jc w:val="both"/>
        <w:rPr/>
      </w:pPr>
      <w:r>
        <w:rPr>
          <w:rFonts w:eastAsia="Times New Roman" w:cs="Times New Roman"/>
          <w:sz w:val="21"/>
        </w:rPr>
        <w:t>Tabla 8.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Tabla 9.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10. Barrido de configuraciones del PSO: mejor aptitud F por combinación de partículas (n) e iteraciones (T).</w:t>
      </w:r>
      <w:r>
        <w:br w:type="page"/>
      </w:r>
    </w:p>
    <w:p>
      <w:pPr>
        <w:pStyle w:val="Normal"/>
        <w:spacing w:lineRule="auto" w:line="276" w:before="0" w:after="40"/>
        <w:jc w:val="both"/>
        <w:rPr/>
      </w:pPr>
      <w:r>
        <w:rPr>
          <w:rFonts w:eastAsia="Times New Roman" w:cs="Times New Roman"/>
          <w:sz w:val="21"/>
        </w:rPr>
        <w:t xml:space="preserve">Tabla 11. Clases complementarias en M3FD: AP@0,5 por clase y mAP global con un detector único VIS+IR.</w:t>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Proponer y evaluar la Propuesta Novedosa, un método de fusión de imágenes visibles e infrarrojas basado en la transformada Top-Hat con elementos estructurantes circulares y lineales sobre una sola escala y parámetros optimizados por enjambre de partículas (PSO), comparándolo con la metodología clásica de fusión Top-Hat y con métodos representativos del estado del arte, y analizando su impacto en tareas posteriores de detección de objetos.</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la Propuesta Novedosa: sobre una sola escala, un banco de cinco elementos estructurantes (un disco y cuatro lineales a 0°, 45°, 90° y 135°) cuyas respuestas lineales se promedian y se confrontan por máximo con la del disco para obtener transformadas Top-Hat y Bottom-Hat óptimas, con reconstrucción aditivo–sustractiva ponderada, adaptada al esquema de fusión VIS/IR.</w:t>
      </w:r>
    </w:p>
    <w:p>
      <w:pPr>
        <w:pStyle w:val="ListParagraph"/>
        <w:numPr>
          <w:ilvl w:val="0"/>
          <w:numId w:val="3"/>
        </w:numPr>
        <w:spacing w:lineRule="auto" w:line="360" w:before="0" w:after="100"/>
        <w:ind w:firstLine="709"/>
        <w:jc w:val="both"/>
        <w:rPr/>
      </w:pPr>
      <w:r>
        <w:rPr>
          <w:rFonts w:eastAsia="Times New Roman" w:cs="Times New Roman"/>
        </w:rPr>
        <w:t xml:space="preserve">Optimizar automáticamente los hiperparámetros del método (el radio r del banco de elementos estructurantes y el peso de contraste m) mediante PSO con una función de aptitud orientada a la calidad de fusión.</w:t>
      </w:r>
    </w:p>
    <w:p>
      <w:pPr>
        <w:pStyle w:val="ListParagraph"/>
        <w:numPr>
          <w:ilvl w:val="0"/>
          <w:numId w:val="3"/>
        </w:numPr>
        <w:spacing w:lineRule="auto" w:line="360" w:before="0" w:after="100"/>
        <w:ind w:firstLine="709"/>
        <w:jc w:val="both"/>
        <w:rPr/>
      </w:pPr>
      <w:r>
        <w:rPr>
          <w:rFonts w:eastAsia="Times New Roman" w:cs="Times New Roman"/>
        </w:rPr>
        <w:t>Comparar el método óptimo con la metodología clásica de fusión Top-Hat y con cinco métodos representativos del estado del arte (LP, RP, DWT, DTCWT y CVT) sobre nueve métricas sin referencia, con pruebas no paramétricas (Friedman y Wilcoxon con corrección de Holm).</w:t>
      </w:r>
    </w:p>
    <w:p>
      <w:pPr>
        <w:pStyle w:val="ListParagraph"/>
        <w:numPr>
          <w:ilvl w:val="0"/>
          <w:numId w:val="3"/>
        </w:numPr>
        <w:spacing w:lineRule="auto" w:line="360" w:before="0" w:after="100"/>
        <w:ind w:firstLine="709"/>
        <w:jc w:val="both"/>
        <w:rPr/>
      </w:pPr>
      <w:r>
        <w:rPr>
          <w:rFonts w:eastAsia="Times New Roman" w:cs="Times New Roman"/>
        </w:rPr>
        <w:t>Analizar el impacto de la fusión en una tarea posterior de detección de objetos (YOLO), evaluando la detectabilidad por modalidad de entrada.</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¿La Propuesta Novedosa de fusión VIS+IR basada en la transformada Top-Hat, con elementos estructurantes de disco y lineales sobre una sola escala e hiperparámetros optimizados por PSO, mejora la calidad de fusión —evaluada con métricas sin referencia y pruebas no paramétricas sobre el TNO Image Fusion Dataset— respecto de la metodología clásica de fusión Top-Hat y de los métodos del estado del arte, y qué efecto produce en el desempeño de una tarea posterior de detección de objetos?</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respuestas y regla de reconstrucción— para adaptar el realce morfológico multidireccional al esquema de fusión VIS/IR?</w:t>
      </w:r>
    </w:p>
    <w:p>
      <w:pPr>
        <w:pStyle w:val="ListParagraph"/>
        <w:numPr>
          <w:ilvl w:val="0"/>
          <w:numId w:val="4"/>
        </w:numPr>
        <w:spacing w:lineRule="auto" w:line="360" w:before="0" w:after="100"/>
        <w:ind w:firstLine="709"/>
        <w:jc w:val="both"/>
        <w:rPr/>
      </w:pPr>
      <w:r>
        <w:rPr>
          <w:rFonts w:eastAsia="Times New Roman" w:cs="Times New Roman"/>
        </w:rPr>
        <w:t xml:space="preserve">¿Qué valores del radio r y del peso de contraste m maximizan una aptitud orientada a la calidad de fusión, y puede el PSO hallarlos automáticamente de forma estable?</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y en qué métricas?</w:t>
      </w:r>
    </w:p>
    <w:p>
      <w:pPr>
        <w:pStyle w:val="ListParagraph"/>
        <w:numPr>
          <w:ilvl w:val="0"/>
          <w:numId w:val="4"/>
        </w:numPr>
        <w:spacing w:lineRule="auto" w:line="360" w:before="0" w:after="100"/>
        <w:ind w:firstLine="709"/>
        <w:jc w:val="both"/>
        <w:rPr/>
      </w:pPr>
      <w:r>
        <w:rPr>
          <w:rFonts w:eastAsia="Times New Roman" w:cs="Times New Roman"/>
        </w:rPr>
        <w:t>¿La fusión —y en particular el método propuesto— mejora el desempeño de un detector de objetos (mAP sobre LLVIP) respecto de las modalidades visible e infrarroja por separado?</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tres hipótesis de trabajo. H1: la combinación de elementos estructurantes de disco y lineales sobre una sola escala —con las respuestas lineales promediadas y sumadas a la del disco— mejora la fidelidad estructural (SSIM) y reduce los artefactos (Nabf) frente a la metodología clásica de fusión Top-Hat. H2: la optimización automática de los hiperparámetros (r, m) por PSO, con una función de aptitud orientada a la fusión, alcanza un perfil de calidad superior al de la parametrización manual del operador clásico. H3: una mejor calidad de fusión se traduce en un mejor desempeño de detección de objetos (mAP) que el de las modalidades individuales. Las hipótesis H1 y H2 se contrastan en las secciones 5.4 y 5.6; H3 se somete a prueba en la sección 5.5.</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(2001) introducen una de las primeras descomposiciones multiescala basadas en operadores Top-Hat para realce e interpretación de imágenes médicas.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(Nabf) y degrada la similitud estructural,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0.05</m:t>
                </m:r>
                <m:r>
                  <m:t>,</m:t>
                </m:r>
                <m:r>
                  <m:t> </m:t>
                </m:r>
                <m:r>
                  <m:t>1.20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(Ortega y Espinoza). </w:t>
      </w:r>
      <w:r>
        <w:rPr>
          <w:iCs/>
          <w:rFonts w:eastAsia="Times New Roman" w:cs="Times New Roman"/>
        </w:rPr>
        <w:t xml:space="preserve">Los hiperparámetros (r, m) se ajustan maximizando la función objetivo del trabajo de referencia, Fo = SSIMavg + En + PSNRn (ecuación 14): la similitud estructural promedio con las fuentes (SSIMavg; Wang et al., 2004), la entropía normalizada (En = E/8) y la relación señal-ruido de pico normalizada (PSNRn = PSNR/100), sin pesos arbitrarios, equilibrando preservación estructural, contenido informativo y reducción de la distorsión (Ortega y Espinoza, 2025). El barrido de 25 configuraciones (partículas 2–10 × iteraciones 10–50, Cuadro 1 de dicho trabajo) sobre tres escenas representativas, con r ∈ [1, 25] y m ∈ [0,05; 1,20] —el rango de m se amplía respecto del original [0,3; 2,0] porque el operador con suma de ramas inyecta del orden de cuatro veces más energía de detalle que el disco único para el que se calibró—, alcanza el óptimo global r = 25, m = 0,0703 (Fo = 1,7654), de forma consistente con los enjambres de 10 partículas y 30 o más iteraciones; con esa configuración se evalúa el método en el capítulo de resultados.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Fo = SSIMavg + En + PSNRn</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[0,05, 1,20]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0,0703 (F = 1,9843; mejor de 25 configuraciones)</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t>
                </m:r>
                <m:r>
                  <m:rPr>
                    <m:lit/>
                    <m:nor/>
                  </m:rPr>
                  <m:t xml:space="preserve">=</m:t>
                </m:r>
                <m:r>
                  <m:t xml:space="preserve">SSIM</m:t>
                </m:r>
                <m:r>
                  <m:rPr>
                    <m:lit/>
                    <m:nor/>
                  </m:rPr>
                  <m:t xml:space="preserve">+</m:t>
                </m:r>
                <m:sSup>
                  <m:e>
                    <m:r>
                      <m:t xml:space="preserve">Q</m:t>
                    </m:r>
                  </m:e>
                  <m:sup>
                    <m:r>
                      <m:t xml:space="preserve">a</m:t>
                    </m:r>
                    <m:f>
                      <m:fPr>
                        <m:type m:val="lin"/>
                      </m:fPr>
                      <m:num>
                        <m:r>
                          <m:t xml:space="preserve">b</m:t>
                        </m:r>
                      </m:num>
                      <m:den>
                        <m:r>
                          <m:t xml:space="preserve">f</m:t>
                        </m:r>
                      </m:den>
                    </m:f>
                  </m:sup>
                </m:sSup>
                <m:r>
                  <m:rPr>
                    <m:lit/>
                    <m:nor/>
                  </m:rPr>
                  <m:t xml:space="preserve">+</m:t>
                </m:r>
                <m:r>
                  <m:t>0.5SCD−</m:t>
                </m:r>
                <m:sSup>
                  <m:e>
                    <m:r>
                      <m:t xml:space="preserve">N</m:t>
                    </m:r>
                  </m:e>
                  <m:sup>
                    <m:r>
                      <m:t xml:space="preserve">a</m:t>
                    </m:r>
                    <m:f>
                      <m:fPr>
                        <m:type m:val="lin"/>
                      </m:fPr>
                      <m:num>
                        <m:r>
                          <m:t xml:space="preserve">b</m:t>
                        </m:r>
                      </m:num>
                      <m:den>
                        <m:r>
                          <m:t xml:space="preserve">f</m:t>
                        </m:r>
                      </m:den>
                    </m:f>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Kingsbury</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nueve métricas sin referencia, que computan el puntaje a partir de la imagen fusionada y de sus fuentes. Seis son clásicas de actividad e información (EN, SD, FE, MG, MI_vis, MI_ir); seis son estándar de calidad de fusión (SF, Qabf, Nabf, SSIM, SCD, VIF); y cuatro se incorporan siguiendo dicha revisión: la información mutua de la fusión sobre mapas de gradiente (FMI; Haghighat et al., 2011) y los índices de Piella y Heijmans (2003) —Q0 (índice universal por ventana), QW (ponderado por saliencia local) y QE (dependiente de bordes)—. Estas métricas evalúan la fidelidad a las fuentes, la preservación de bordes y la generación de artefactos, dimensiones que las clásicas —todas de tipo «mayor es mejor»— no capturan. Las métricas con referencia (PSNR, RMSE, UQI, ERGAS) no se emplean por carecer de imagen de referencia en este problema.</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(Xydeas–Petrović).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(Xydeas-Petrovic)</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se exploran SE de tipo disco, cuadrado y cruz, con radios de 2, 3 y 5 píxeles.</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En esta tesis se construye iterativamente aplicando WTH con SE de radio creciente.</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configuración Top-Hat contra cada baseline.</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una combinación orientada a la fusión, Fo = SSIMavg + En + PSNRn, que premia la fidelidad estructural, la preservación de bordes y la correlación, y penaliza los artefactos.</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nueve métricas sin referencia, base del análisis estadístico inter-método.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0,070) se compara sobre los 20 pares con las nueve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0,05–1,20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Qabf, Nabf, SSIM, SCD, VIF; FMI, Q0, QW, QE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 (Nabf ↓)</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2014).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configuración Top-Hat (WTH y WTH+BTH) y cada baseline, así como entre la propuesta central (Propuesta Novedosa) y el método anterior y cada baseline, controlando por imagen; dado el elevado número de contrastes se aplica corrección de Holm por métrica y se reporta el tamaño de efecto rank-biserial. Tercero, se calcula el ranking promedio por método y métrica (1 = mejor), respetando la dirección de cada una (en Nabf, menor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0,070)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menor tasa de artefactos del estudio (Nabf = 0,041) y la mayor similitud estructural (SSIM = 0,782).</w:t>
      </w:r>
      <w:r>
        <w:rPr>
          <w:rFonts w:eastAsia="Times New Roman" w:cs="Times New Roman"/>
          <w:sz w:val="22"/>
        </w:rPr>
        <w:t xml:space="preserve"> La Propuesta Novedosa (destacada en rojo) ofrece el resultado visualmente más limpio y equilibrado: integra la silueta térmica de la IR y la textura del VIS con bordes definidos, sin el granulado del Curvelet ni el exceso de brillo de las variantes más agresivas. Esto es coherente con sus indicadores cuantitativos: una tasa de artefactos muy baja (Nabf = 0,035) y la mayor similitud estructural (SSIM = 0,783) entre los métodos reales.</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las seis métricas estándar de calidad, sobre los 20 pares para los siete métodos del benchmark. En las métricas clásicas la pirámide de Laplace lidera la desviación estándar y la información mutua, mientras que el Top-Hat clásico maximiza EN, MG y SF al inyectar la energía de detalle sin ponderación. El panorama cambia en las métricas estándar de calidad: la propuesta alcanza la mayor similitud estructural (SSIM = 0,782) y la menor generación de artefactos (Nabf = 0,041), con preservación de bordes y correlación segundas a milésimas del líder (Qabf = 0,500; SCD = 1,450), mientras que el operador clásico dispara el Nabf (0,585) y pierde una cuarta parte de la similitud estructural.</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6,8350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0,1548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1,0792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0,0248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2,1183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1,0717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6,8285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0,1304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0,0269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1,1698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0,8807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6,7002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0,1199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1,2846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0,8809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6,7060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1,0596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1,2887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0,8908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6,6645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1,0529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0,0256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1,3038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0,8843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6,9334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0,1387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0,0473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0,8722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0,5864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6,6406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0,1173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1,0487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0,0194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1,3422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0,9088</w:t>
            </w:r>
          </w:p>
        </w:tc>
      </w:tr>
    </w:tbl>
    <w:p>
      <w:pPr>
        <w:pStyle w:val="Normal"/>
        <w:spacing w:lineRule="auto" w:line="276"/>
        <w:jc w:val="both"/>
        <w:rPr/>
      </w:pPr>
      <w:r>
        <w:rPr>
          <w:rFonts w:eastAsia="Times New Roman" w:cs="Times New Roman"/>
          <w:i/>
          <w:sz w:val="18"/>
        </w:rPr>
        <w:t>Tabla 5. Promedios de frecuencia espacial (SF), similitud estructural (SSIM) y PSNR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00"/>
        <w:gridCol w:w="1560"/>
        <w:gridCol w:w="1560"/>
        <w:gridCol w:w="156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 ↑</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0,7208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20,2687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13,3376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0,7212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21,9655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13,9341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0,7163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22,7767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13,0266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0,7386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22,7857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13,1510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0,7305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22,8375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22,8554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17,4947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9,6441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0,7822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18,7313</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Pirámide de Laplace (LP) lidera FMI, Propuesta Novedosa lidera Q0, DTCWT lidera QW y Pirámide de Laplace (LP) lidera QE. La Propuesta Novedosa se mantiene competitiva en toda la familia, coherente con su perfil de fidelidad estructural y limpieza.</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estándar de calidad (Qabf, Nabf, SSIM, SCD, VIF, SF) para métodos representativos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siete métodos del benchmark como tratamientos y los 20 pares como bloques. La hipótesis nula se rechaza con amplio margen en las nueve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85,96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98,92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85,96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94,97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62,39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90,16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96,52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PSNR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107,47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nueve métricas, con corrección de Holm y tamaño de efecto rank-biserial (120 contrastes; detalle en el Apéndice C), más el contraste directo entre la propuesta y el operador clásico. El hallazgo central: frente al Top-Hat clásico, la propuesta gana de forma estadísticamente significativa en las siete métricas de calidad e información (MI_vis, MI_ir, Qabf, Nabf, SSIM, SCD y VIF; p_Holm ≤ 0,001), cediendo solo las de actividad bruta. Frente a DWT y CVT gana en las siete métricas de calidad; frente a DTCWT gana en seis y cede Qabf por una milésima; frente a RP gana en Nabf, SSIM y MI_vis y empata en Qabf, SCD y VIF; y frente a LP gana en Nabf y SSIM, empata en Qabf y SCD, y cede VIF y las métricas de contraste.</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métricas clave y el ranking global obtenido al promediar las nueve métricas, respetando la dirección de cada una. La pirámide de Laplace encabeza el ranking global (3,17), seguida de RP (3,42) y DTCWT (3,58); la propuesta ocupa el cuarto lugar (4,08), penalizada por las métricas de actividad —que premian el realce agresivo: el Top-Hat clásico las lidera con el mayor Nabf del estudio—, pese a ser primera en Nabf y SSIM y segunda en Qabf, SCD y VIF. El ranking agregado, al mezclar familias de métricas con pesos iguales, debe leerse junto a los contrastes pareados de la sección anterior.</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3,11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3,89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4,22</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4,22</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nueve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 reporta mAP@0,5 y mAP@0,5:0,95.</w:t>
      </w:r>
    </w:p>
    <w:p>
      <w:pPr>
        <w:pStyle w:val="Normal"/>
        <w:spacing w:lineRule="auto" w:line="276"/>
        <w:jc w:val="both"/>
        <w:rPr/>
      </w:pPr>
      <w:r>
        <w:rPr>
          <w:rFonts w:eastAsia="Times New Roman" w:cs="Times New Roman"/>
          <w:i/>
          <w:sz w:val="18"/>
        </w:rPr>
        <w:t>Tabla 8.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0,451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0,751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0,957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0,663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0,968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0,894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0,879</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0,926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0,538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0,866</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0,614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0,974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0,972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0,957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0,866</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m=0,070)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0,859</w:t>
            </w:r>
          </w:p>
        </w:tc>
      </w:tr>
    </w:tbl>
    <w:p>
      <w:pPr>
        <w:pStyle w:val="Normal"/>
        <w:spacing w:lineRule="auto" w:line="360"/>
        <w:ind w:firstLine="709"/>
        <w:jc w:val="both"/>
        <w:rPr/>
      </w:pPr>
      <w:r>
        <w:rPr>
          <w:rFonts w:eastAsia="Times New Roman" w:cs="Times New Roman"/>
        </w:rPr>
        <w:t>La Tabla 8 admite tres lecturas. Primero, toda fusión mejora con claridad sobre el visible solo (mAP@0,5 de 0,808 a una banda de 0,926–0,949, es decir entre +0,12 y +0,14 puntos): cuando el canal visible es débil —escenas nocturnas—, fusionar aporta información decisiva. Segundo, el infrarrojo solo es la modalidad más fuerte (mAP@0,5 = 0,957; mAP@0,5:0,95 = 0,663) y ninguna fusión lo supera, coherente con que LLVIP es detección de peatones en baja luz, donde la firma térmica domina. Tercero, entre las siete fusiones las diferencias son pequeñas (mAP@0,5 en una banda estrecha de 0,926 a 0,949): la pirámide de Laplace encabeza (0,949), seguida de cerca por DTCWT (0,948) y DWT (0,946), mientras que las dos configuraciones de la Propuesta Novedosa resultan competitivas y prácticamente empatadas entre sí —la tunada con F_apt (0,936) y la tunada con la aptitud publicada Fo (0,922)—, ambas en la banda de las fusiones y a pocos puntos del mejor, sin ser líderes. La conclusión es matizada y relevante: la superioridad de la propuesta en las métricas de calidad de imagen (Nabf, SSIM) no se traslada automáticamente a la tarea de detección, donde la banda de fusiones es estrecha y la modalidad térmica domina; la elección del método depende del criterio operativo prioritario —en consonancia con lo señalado por Singh et al. (2023)—.</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2.000 pares de entrenamiento y 500 de validación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validación de cada modalidad y de cada método de fusión, incluidos los dos óptimos del PSO de la sección 5.6.</w:t>
      </w:r>
    </w:p>
    <w:p>
      <w:pPr>
        <w:pStyle w:val="Normal"/>
        <w:spacing w:lineRule="auto" w:line="276"/>
        <w:jc w:val="both"/>
        <w:rPr/>
      </w:pPr>
      <w:r>
        <w:rPr>
          <w:rFonts w:eastAsia="Times New Roman" w:cs="Times New Roman"/>
          <w:i/>
          <w:sz w:val="18"/>
        </w:rPr>
        <w:t xml:space="preserve">Tabla 11. Clases complementarias en M3FD: AP@0,5 por clase y mAP global con un detector único entrenado sobre VIS+IR (medias sobre 500 imágenes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0,178</w:t>
            </w:r>
          </w:p>
        </w:tc>
        <w:tc>
          <w:tcPr>
            <w:tcW w:w="1560" w:type="dxa"/>
            <w:tcBorders/>
          </w:tcPr>
          <w:p>
            <w:pPr>
              <w:pStyle w:val="Normal"/>
              <w:widowControl w:val="false"/>
              <w:spacing w:lineRule="auto" w:line="276" w:before="0" w:after="120"/>
              <w:rPr/>
            </w:pPr>
            <w:r>
              <w:rPr>
                <w:b/>
                <w:rFonts w:eastAsia="Times New Roman" w:cs="Times New Roman"/>
                <w:sz w:val="19"/>
              </w:rPr>
              <w:t>0,135</w:t>
            </w:r>
          </w:p>
        </w:tc>
        <w:tc>
          <w:tcPr>
            <w:tcW w:w="1560" w:type="dxa"/>
            <w:tcBorders/>
          </w:tcPr>
          <w:p>
            <w:pPr>
              <w:pStyle w:val="Normal"/>
              <w:widowControl w:val="false"/>
              <w:spacing w:lineRule="auto" w:line="276" w:before="0" w:after="120"/>
              <w:rPr/>
            </w:pPr>
            <w:r>
              <w:rPr>
                <w:rFonts w:eastAsia="Times New Roman" w:cs="Times New Roman"/>
                <w:sz w:val="19"/>
              </w:rPr>
              <w:t>0,157</w:t>
            </w:r>
          </w:p>
        </w:tc>
        <w:tc>
          <w:tcPr>
            <w:tcW w:w="1560" w:type="dxa"/>
            <w:tcBorders/>
          </w:tcPr>
          <w:p>
            <w:pPr>
              <w:pStyle w:val="Normal"/>
              <w:widowControl w:val="false"/>
              <w:spacing w:lineRule="auto" w:line="276" w:before="0" w:after="120"/>
              <w:rPr/>
            </w:pPr>
            <w:r>
              <w:rPr>
                <w:b/>
                <w:rFonts w:eastAsia="Times New Roman" w:cs="Times New Roman"/>
                <w:sz w:val="19"/>
              </w:rPr>
              <w:t>0,245</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0,220</w:t>
            </w:r>
          </w:p>
        </w:tc>
        <w:tc>
          <w:tcPr>
            <w:tcW w:w="1560" w:type="dxa"/>
            <w:tcBorders/>
          </w:tcPr>
          <w:p>
            <w:pPr>
              <w:pStyle w:val="Normal"/>
              <w:widowControl w:val="false"/>
              <w:spacing w:lineRule="auto" w:line="276" w:before="0" w:after="120"/>
              <w:rPr/>
            </w:pPr>
            <w:r>
              <w:rPr>
                <w:rFonts w:eastAsia="Times New Roman" w:cs="Times New Roman"/>
                <w:sz w:val="19"/>
              </w:rPr>
              <w:t>0,018</w:t>
            </w:r>
          </w:p>
        </w:tc>
        <w:tc>
          <w:tcPr>
            <w:tcW w:w="1560" w:type="dxa"/>
            <w:tcBorders/>
          </w:tcPr>
          <w:p>
            <w:pPr>
              <w:pStyle w:val="Normal"/>
              <w:widowControl w:val="false"/>
              <w:spacing w:lineRule="auto" w:line="276" w:before="0" w:after="120"/>
              <w:rPr/>
            </w:pPr>
            <w:r>
              <w:rPr>
                <w:rFonts w:eastAsia="Times New Roman" w:cs="Times New Roman"/>
                <w:sz w:val="19"/>
              </w:rPr>
              <w:t>0,119</w:t>
            </w:r>
          </w:p>
        </w:tc>
        <w:tc>
          <w:tcPr>
            <w:tcW w:w="1560" w:type="dxa"/>
            <w:tcBorders/>
          </w:tcPr>
          <w:p>
            <w:pPr>
              <w:pStyle w:val="Normal"/>
              <w:widowControl w:val="false"/>
              <w:spacing w:lineRule="auto" w:line="276" w:before="0" w:after="120"/>
              <w:rPr/>
            </w:pPr>
            <w:r>
              <w:rPr>
                <w:rFonts w:eastAsia="Times New Roman" w:cs="Times New Roman"/>
                <w:sz w:val="19"/>
              </w:rPr>
              <w:t>0,191</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0,147</w:t>
            </w:r>
          </w:p>
        </w:tc>
        <w:tc>
          <w:tcPr>
            <w:tcW w:w="1560" w:type="dxa"/>
            <w:tcBorders/>
          </w:tcPr>
          <w:p>
            <w:pPr>
              <w:pStyle w:val="Normal"/>
              <w:widowControl w:val="false"/>
              <w:spacing w:lineRule="auto" w:line="276" w:before="0" w:after="120"/>
              <w:rPr/>
            </w:pPr>
            <w:r>
              <w:rPr>
                <w:rFonts w:eastAsia="Times New Roman" w:cs="Times New Roman"/>
                <w:sz w:val="19"/>
              </w:rPr>
              <w:t>0,096</w:t>
            </w:r>
          </w:p>
        </w:tc>
        <w:tc>
          <w:tcPr>
            <w:tcW w:w="1560" w:type="dxa"/>
            <w:tcBorders/>
          </w:tcPr>
          <w:p>
            <w:pPr>
              <w:pStyle w:val="Normal"/>
              <w:widowControl w:val="false"/>
              <w:spacing w:lineRule="auto" w:line="276" w:before="0" w:after="120"/>
              <w:rPr/>
            </w:pPr>
            <w:r>
              <w:rPr>
                <w:rFonts w:eastAsia="Times New Roman" w:cs="Times New Roman"/>
                <w:sz w:val="19"/>
              </w:rPr>
              <w:t>0,122</w:t>
            </w:r>
          </w:p>
        </w:tc>
        <w:tc>
          <w:tcPr>
            <w:tcW w:w="1560" w:type="dxa"/>
            <w:tcBorders/>
          </w:tcPr>
          <w:p>
            <w:pPr>
              <w:pStyle w:val="Normal"/>
              <w:widowControl w:val="false"/>
              <w:spacing w:lineRule="auto" w:line="276" w:before="0" w:after="120"/>
              <w:rPr/>
            </w:pPr>
            <w:r>
              <w:rPr>
                <w:rFonts w:eastAsia="Times New Roman" w:cs="Times New Roman"/>
                <w:sz w:val="19"/>
              </w:rPr>
              <w:t>0,215</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0,198</w:t>
            </w:r>
          </w:p>
        </w:tc>
        <w:tc>
          <w:tcPr>
            <w:tcW w:w="1560" w:type="dxa"/>
            <w:tcBorders/>
          </w:tcPr>
          <w:p>
            <w:pPr>
              <w:pStyle w:val="Normal"/>
              <w:widowControl w:val="false"/>
              <w:spacing w:lineRule="auto" w:line="276" w:before="0" w:after="120"/>
              <w:rPr/>
            </w:pPr>
            <w:r>
              <w:rPr>
                <w:rFonts w:eastAsia="Times New Roman" w:cs="Times New Roman"/>
                <w:sz w:val="19"/>
              </w:rPr>
              <w:t>0,133</w:t>
            </w:r>
          </w:p>
        </w:tc>
        <w:tc>
          <w:tcPr>
            <w:tcW w:w="1560" w:type="dxa"/>
            <w:tcBorders/>
          </w:tcPr>
          <w:p>
            <w:pPr>
              <w:pStyle w:val="Normal"/>
              <w:widowControl w:val="false"/>
              <w:spacing w:lineRule="auto" w:line="276" w:before="0" w:after="120"/>
              <w:rPr/>
            </w:pPr>
            <w:r>
              <w:rPr>
                <w:b/>
                <w:rFonts w:eastAsia="Times New Roman" w:cs="Times New Roman"/>
                <w:sz w:val="19"/>
              </w:rPr>
              <w:t>0,165</w:t>
            </w:r>
          </w:p>
        </w:tc>
        <w:tc>
          <w:tcPr>
            <w:tcW w:w="1560" w:type="dxa"/>
            <w:tcBorders/>
          </w:tcPr>
          <w:p>
            <w:pPr>
              <w:pStyle w:val="Normal"/>
              <w:widowControl w:val="false"/>
              <w:spacing w:lineRule="auto" w:line="276" w:before="0" w:after="120"/>
              <w:rPr/>
            </w:pPr>
            <w:r>
              <w:rPr>
                <w:rFonts w:eastAsia="Times New Roman" w:cs="Times New Roman"/>
                <w:sz w:val="19"/>
              </w:rPr>
              <w:t>0,231</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0,165</w:t>
            </w:r>
          </w:p>
        </w:tc>
        <w:tc>
          <w:tcPr>
            <w:tcW w:w="1560" w:type="dxa"/>
            <w:tcBorders/>
          </w:tcPr>
          <w:p>
            <w:pPr>
              <w:pStyle w:val="Normal"/>
              <w:widowControl w:val="false"/>
              <w:spacing w:lineRule="auto" w:line="276" w:before="0" w:after="120"/>
              <w:rPr/>
            </w:pPr>
            <w:r>
              <w:rPr>
                <w:rFonts w:eastAsia="Times New Roman" w:cs="Times New Roman"/>
                <w:sz w:val="19"/>
              </w:rPr>
              <w:t>0,110</w:t>
            </w:r>
          </w:p>
        </w:tc>
        <w:tc>
          <w:tcPr>
            <w:tcW w:w="1560" w:type="dxa"/>
            <w:tcBorders/>
          </w:tcPr>
          <w:p>
            <w:pPr>
              <w:pStyle w:val="Normal"/>
              <w:widowControl w:val="false"/>
              <w:spacing w:lineRule="auto" w:line="276" w:before="0" w:after="120"/>
              <w:rPr/>
            </w:pPr>
            <w:r>
              <w:rPr>
                <w:rFonts w:eastAsia="Times New Roman" w:cs="Times New Roman"/>
                <w:sz w:val="19"/>
              </w:rPr>
              <w:t>0,137</w:t>
            </w:r>
          </w:p>
        </w:tc>
        <w:tc>
          <w:tcPr>
            <w:tcW w:w="1560" w:type="dxa"/>
            <w:tcBorders/>
          </w:tcPr>
          <w:p>
            <w:pPr>
              <w:pStyle w:val="Normal"/>
              <w:widowControl w:val="false"/>
              <w:spacing w:lineRule="auto" w:line="276" w:before="0" w:after="120"/>
              <w:rPr/>
            </w:pPr>
            <w:r>
              <w:rPr>
                <w:rFonts w:eastAsia="Times New Roman" w:cs="Times New Roman"/>
                <w:sz w:val="19"/>
              </w:rPr>
              <w:t>0,228</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0,159</w:t>
            </w:r>
          </w:p>
        </w:tc>
        <w:tc>
          <w:tcPr>
            <w:tcW w:w="1560" w:type="dxa"/>
            <w:tcBorders/>
          </w:tcPr>
          <w:p>
            <w:pPr>
              <w:pStyle w:val="Normal"/>
              <w:widowControl w:val="false"/>
              <w:spacing w:lineRule="auto" w:line="276" w:before="0" w:after="120"/>
              <w:rPr/>
            </w:pPr>
            <w:r>
              <w:rPr>
                <w:rFonts w:eastAsia="Times New Roman" w:cs="Times New Roman"/>
                <w:sz w:val="19"/>
              </w:rPr>
              <w:t>0,114</w:t>
            </w:r>
          </w:p>
        </w:tc>
        <w:tc>
          <w:tcPr>
            <w:tcW w:w="1560" w:type="dxa"/>
            <w:tcBorders/>
          </w:tcPr>
          <w:p>
            <w:pPr>
              <w:pStyle w:val="Normal"/>
              <w:widowControl w:val="false"/>
              <w:spacing w:lineRule="auto" w:line="276" w:before="0" w:after="120"/>
              <w:rPr/>
            </w:pPr>
            <w:r>
              <w:rPr>
                <w:rFonts w:eastAsia="Times New Roman" w:cs="Times New Roman"/>
                <w:sz w:val="19"/>
              </w:rPr>
              <w:t>0,137</w:t>
            </w:r>
          </w:p>
        </w:tc>
        <w:tc>
          <w:tcPr>
            <w:tcW w:w="1560" w:type="dxa"/>
            <w:tcBorders/>
          </w:tcPr>
          <w:p>
            <w:pPr>
              <w:pStyle w:val="Normal"/>
              <w:widowControl w:val="false"/>
              <w:spacing w:lineRule="auto" w:line="276" w:before="0" w:after="120"/>
              <w:rPr/>
            </w:pPr>
            <w:r>
              <w:rPr>
                <w:rFonts w:eastAsia="Times New Roman" w:cs="Times New Roman"/>
                <w:sz w:val="19"/>
              </w:rPr>
              <w:t>0,229</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0,167</w:t>
            </w:r>
          </w:p>
        </w:tc>
        <w:tc>
          <w:tcPr>
            <w:tcW w:w="1560" w:type="dxa"/>
            <w:tcBorders/>
          </w:tcPr>
          <w:p>
            <w:pPr>
              <w:pStyle w:val="Normal"/>
              <w:widowControl w:val="false"/>
              <w:spacing w:lineRule="auto" w:line="276" w:before="0" w:after="120"/>
              <w:rPr/>
            </w:pPr>
            <w:r>
              <w:rPr>
                <w:rFonts w:eastAsia="Times New Roman" w:cs="Times New Roman"/>
                <w:sz w:val="19"/>
              </w:rPr>
              <w:t>0,100</w:t>
            </w:r>
          </w:p>
        </w:tc>
        <w:tc>
          <w:tcPr>
            <w:tcW w:w="1560" w:type="dxa"/>
            <w:tcBorders/>
          </w:tcPr>
          <w:p>
            <w:pPr>
              <w:pStyle w:val="Normal"/>
              <w:widowControl w:val="false"/>
              <w:spacing w:lineRule="auto" w:line="276" w:before="0" w:after="120"/>
              <w:rPr/>
            </w:pPr>
            <w:r>
              <w:rPr>
                <w:rFonts w:eastAsia="Times New Roman" w:cs="Times New Roman"/>
                <w:sz w:val="19"/>
              </w:rPr>
              <w:t>0,133</w:t>
            </w:r>
          </w:p>
        </w:tc>
        <w:tc>
          <w:tcPr>
            <w:tcW w:w="1560" w:type="dxa"/>
            <w:tcBorders/>
          </w:tcPr>
          <w:p>
            <w:pPr>
              <w:pStyle w:val="Normal"/>
              <w:widowControl w:val="false"/>
              <w:spacing w:lineRule="auto" w:line="276" w:before="0" w:after="120"/>
              <w:rPr/>
            </w:pPr>
            <w:r>
              <w:rPr>
                <w:rFonts w:eastAsia="Times New Roman" w:cs="Times New Roman"/>
                <w:sz w:val="19"/>
              </w:rPr>
              <w:t>0,228</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0,125</w:t>
            </w:r>
          </w:p>
        </w:tc>
        <w:tc>
          <w:tcPr>
            <w:tcW w:w="1560" w:type="dxa"/>
            <w:tcBorders/>
          </w:tcPr>
          <w:p>
            <w:pPr>
              <w:pStyle w:val="Normal"/>
              <w:widowControl w:val="false"/>
              <w:spacing w:lineRule="auto" w:line="276" w:before="0" w:after="120"/>
              <w:rPr/>
            </w:pPr>
            <w:r>
              <w:rPr>
                <w:rFonts w:eastAsia="Times New Roman" w:cs="Times New Roman"/>
                <w:sz w:val="19"/>
              </w:rPr>
              <w:t>0,054</w:t>
            </w:r>
          </w:p>
        </w:tc>
        <w:tc>
          <w:tcPr>
            <w:tcW w:w="1560" w:type="dxa"/>
            <w:tcBorders/>
          </w:tcPr>
          <w:p>
            <w:pPr>
              <w:pStyle w:val="Normal"/>
              <w:widowControl w:val="false"/>
              <w:spacing w:lineRule="auto" w:line="276" w:before="0" w:after="120"/>
              <w:rPr/>
            </w:pPr>
            <w:r>
              <w:rPr>
                <w:rFonts w:eastAsia="Times New Roman" w:cs="Times New Roman"/>
                <w:sz w:val="19"/>
              </w:rPr>
              <w:t>0,090</w:t>
            </w:r>
          </w:p>
        </w:tc>
        <w:tc>
          <w:tcPr>
            <w:tcW w:w="1560" w:type="dxa"/>
            <w:tcBorders/>
          </w:tcPr>
          <w:p>
            <w:pPr>
              <w:pStyle w:val="Normal"/>
              <w:widowControl w:val="false"/>
              <w:spacing w:lineRule="auto" w:line="276" w:before="0" w:after="120"/>
              <w:rPr/>
            </w:pPr>
            <w:r>
              <w:rPr>
                <w:rFonts w:eastAsia="Times New Roman" w:cs="Times New Roman"/>
                <w:sz w:val="19"/>
              </w:rPr>
              <w:t>0,198</w:t>
            </w:r>
          </w:p>
        </w:tc>
      </w:tr>
      <w:tr>
        <w:trPr/>
        <w:tc>
          <w:tcPr>
            <w:tcW w:w="3120" w:type="dxa"/>
            <w:tcBorders/>
          </w:tcPr>
          <w:p>
            <w:pPr>
              <w:pStyle w:val="Normal"/>
              <w:widowControl w:val="false"/>
              <w:spacing w:lineRule="auto" w:line="276" w:before="0" w:after="120"/>
              <w:rPr/>
            </w:pPr>
            <w:r>
              <w:rPr>
                <w:rFonts w:eastAsia="Times New Roman" w:cs="Times New Roman"/>
                <w:sz w:val="19"/>
              </w:rPr>
              <w:t>PSO del trabajo de referencia (clásico + Fo)</w:t>
            </w:r>
          </w:p>
        </w:tc>
        <w:tc>
          <w:tcPr>
            <w:tcW w:w="1560" w:type="dxa"/>
            <w:tcBorders/>
          </w:tcPr>
          <w:p>
            <w:pPr>
              <w:pStyle w:val="Normal"/>
              <w:widowControl w:val="false"/>
              <w:spacing w:lineRule="auto" w:line="276" w:before="0" w:after="120"/>
              <w:rPr/>
            </w:pPr>
            <w:r>
              <w:rPr>
                <w:rFonts w:eastAsia="Times New Roman" w:cs="Times New Roman"/>
                <w:sz w:val="19"/>
              </w:rPr>
              <w:t>0,174</w:t>
            </w:r>
          </w:p>
        </w:tc>
        <w:tc>
          <w:tcPr>
            <w:tcW w:w="1560" w:type="dxa"/>
            <w:tcBorders/>
          </w:tcPr>
          <w:p>
            <w:pPr>
              <w:pStyle w:val="Normal"/>
              <w:widowControl w:val="false"/>
              <w:spacing w:lineRule="auto" w:line="276" w:before="0" w:after="120"/>
              <w:rPr/>
            </w:pPr>
            <w:r>
              <w:rPr>
                <w:rFonts w:eastAsia="Times New Roman" w:cs="Times New Roman"/>
                <w:sz w:val="19"/>
              </w:rPr>
              <w:t>0,118</w:t>
            </w:r>
          </w:p>
        </w:tc>
        <w:tc>
          <w:tcPr>
            <w:tcW w:w="1560" w:type="dxa"/>
            <w:tcBorders/>
          </w:tcPr>
          <w:p>
            <w:pPr>
              <w:pStyle w:val="Normal"/>
              <w:widowControl w:val="false"/>
              <w:spacing w:lineRule="auto" w:line="276" w:before="0" w:after="120"/>
              <w:rPr/>
            </w:pPr>
            <w:r>
              <w:rPr>
                <w:rFonts w:eastAsia="Times New Roman" w:cs="Times New Roman"/>
                <w:sz w:val="19"/>
              </w:rPr>
              <w:t>0,146</w:t>
            </w:r>
          </w:p>
        </w:tc>
        <w:tc>
          <w:tcPr>
            <w:tcW w:w="1560" w:type="dxa"/>
            <w:tcBorders/>
          </w:tcPr>
          <w:p>
            <w:pPr>
              <w:pStyle w:val="Normal"/>
              <w:widowControl w:val="false"/>
              <w:spacing w:lineRule="auto" w:line="276" w:before="0" w:after="120"/>
              <w:rPr/>
            </w:pPr>
            <w:r>
              <w:rPr>
                <w:rFonts w:eastAsia="Times New Roman" w:cs="Times New Roman"/>
                <w:sz w:val="19"/>
              </w:rPr>
              <w:t>0,229</w:t>
            </w:r>
          </w:p>
        </w:tc>
      </w:tr>
      <w:tr>
        <w:trPr/>
        <w:tc>
          <w:tcPr>
            <w:tcW w:w="3120" w:type="dxa"/>
            <w:tcBorders/>
          </w:tcPr>
          <w:p>
            <w:pPr>
              <w:pStyle w:val="Normal"/>
              <w:widowControl w:val="false"/>
              <w:spacing w:lineRule="auto" w:line="276" w:before="0" w:after="120"/>
              <w:rPr/>
            </w:pPr>
            <w:r>
              <w:rPr>
                <w:b/>
                <w:rFonts w:eastAsia="Times New Roman" w:cs="Times New Roman"/>
                <w:sz w:val="19"/>
              </w:rPr>
              <w:t>Propuesta Novedosa (r = 25; m = 0,070)</w:t>
            </w:r>
          </w:p>
        </w:tc>
        <w:tc>
          <w:tcPr>
            <w:tcW w:w="1560" w:type="dxa"/>
            <w:tcBorders/>
          </w:tcPr>
          <w:p>
            <w:pPr>
              <w:pStyle w:val="Normal"/>
              <w:widowControl w:val="false"/>
              <w:spacing w:lineRule="auto" w:line="276" w:before="0" w:after="120"/>
              <w:rPr/>
            </w:pPr>
            <w:r>
              <w:rPr>
                <w:rFonts w:eastAsia="Times New Roman" w:cs="Times New Roman"/>
                <w:sz w:val="19"/>
              </w:rPr>
              <w:t>0,207</w:t>
            </w:r>
          </w:p>
        </w:tc>
        <w:tc>
          <w:tcPr>
            <w:tcW w:w="1560" w:type="dxa"/>
            <w:tcBorders/>
          </w:tcPr>
          <w:p>
            <w:pPr>
              <w:pStyle w:val="Normal"/>
              <w:widowControl w:val="false"/>
              <w:spacing w:lineRule="auto" w:line="276" w:before="0" w:after="120"/>
              <w:rPr/>
            </w:pPr>
            <w:r>
              <w:rPr>
                <w:rFonts w:eastAsia="Times New Roman" w:cs="Times New Roman"/>
                <w:sz w:val="19"/>
              </w:rPr>
              <w:t>0,117</w:t>
            </w:r>
          </w:p>
        </w:tc>
        <w:tc>
          <w:tcPr>
            <w:tcW w:w="1560" w:type="dxa"/>
            <w:tcBorders/>
          </w:tcPr>
          <w:p>
            <w:pPr>
              <w:pStyle w:val="Normal"/>
              <w:widowControl w:val="false"/>
              <w:spacing w:lineRule="auto" w:line="276" w:before="0" w:after="120"/>
              <w:rPr/>
            </w:pPr>
            <w:r>
              <w:rPr>
                <w:rFonts w:eastAsia="Times New Roman" w:cs="Times New Roman"/>
                <w:sz w:val="19"/>
              </w:rPr>
              <w:t>0,162</w:t>
            </w:r>
          </w:p>
        </w:tc>
        <w:tc>
          <w:tcPr>
            <w:tcW w:w="1560" w:type="dxa"/>
            <w:tcBorders/>
          </w:tcPr>
          <w:p>
            <w:pPr>
              <w:pStyle w:val="Normal"/>
              <w:widowControl w:val="false"/>
              <w:spacing w:lineRule="auto" w:line="276" w:before="0" w:after="120"/>
              <w:rPr/>
            </w:pPr>
            <w:r>
              <w:rPr>
                <w:rFonts w:eastAsia="Times New Roman" w:cs="Times New Roman"/>
                <w:sz w:val="19"/>
              </w:rPr>
              <w:t>0,239</w:t>
            </w:r>
          </w:p>
        </w:tc>
      </w:tr>
    </w:tbl>
    <w:p>
      <w:pPr>
        <w:pStyle w:val="Normal"/>
        <w:spacing w:lineRule="auto" w:line="360"/>
        <w:ind w:firstLine="709"/>
        <w:jc w:val="both"/>
        <w:rPr/>
      </w:pPr>
      <w:r>
        <w:rPr>
          <w:iCs/>
          <w:rFonts w:eastAsia="Times New Roman" w:cs="Times New Roman"/>
        </w:rPr>
        <w:t xml:space="preserve">La Tabla 11 confirma la complementariedad de forma extrema: el infrarrojo domina en personas (AP@0,5 = 0,220) pero es prácticamente ciego a las luces (0,018), y el visible presenta el patrón espejo (0,178 y 0,135). Las mejores fusiones superan en el promedio del par a ambas modalidades individuales —algo que ninguna logra por separado—, con la Propuesta Novedosa como la mejor fusión del estudio tanto en mAP global (0,239) como en personas (0,207, cerca del infrarrojo puro), manteniendo las luces cerca del visible; el óptimo de F_apt supera además al de Fo en las dos clases clave. El visible solo conserva el mejor mAP global de seis clases (0,245) por la abundancia de vehículos diurnos, y los valores absolutos son moderados (subconjunto de 500 imágenes y modelo nano): el experimento no busca récords, sino aislar el escenario donde la fusión es insustituible —detectar en una sola imagen objetos que cada modalidad pierde por separado—. La Figura 9 ilustra el fenómeno sobre dos escenas de la validación: el visible no ve a las personas que la fusión recupera y el infrarrojo no ve las luces que la fusión conserva.</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 xml:space="preserve">Figura 9. Detecciones del modelo único VIS+IR en dos escenas de la validación de M3FD (personas en recuadro granate, luces en azul): en la escena superior el visible no detecta ninguna persona y la fusión las recupera; en la inferior el infrarrojo no detecta ninguna luz y la fusión las recupera.</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 xml:space="preserve">La Propuesta Novedosa —método central de esta tesis— se optimizó con PSO sobre un subconjunto representativo de escenas, maximizando una aptitud orientada a la fusión (Fo = SSIMavg + En + PSNRn). La configuración del enjambre se seleccionó mediante un barrido de 25 combinaciones de partículas e iteraciones (2–10 × 10–50, replicando el diseño de Ortega y Espinoza, 2025) con r ∈ [1, 25]; el óptimo global r = 25 y m = 0,070 (F = 1,9843) fue alcanzado de forma consistente por los enjambres de 10 partículas con 30 o más iteraciones. Esta aptitud premia simultáneamente la similitud estructural, la preservación de bordes y la correlación de las diferencias, y penaliza los artefactos, evitando el realce trivial al que conduce una aptitud de fidelidad pura.</w:t>
      </w:r>
    </w:p>
    <w:p>
      <w:pPr>
        <w:pStyle w:val="Normal"/>
        <w:spacing w:lineRule="auto" w:line="360"/>
        <w:ind w:firstLine="709"/>
        <w:jc w:val="both"/>
        <w:rPr/>
      </w:pPr>
      <w:r>
        <w:rPr>
          <w:rFonts w:eastAsia="Times New Roman" w:cs="Times New Roman"/>
        </w:rPr>
        <w:t xml:space="preserve">La Tabla 9 compara la propuesta, en su configuración óptima (r = 25, m = 0,070), con la metodología clásica Top-Hat y con métodos representativos del estado del arte (LP, RP y DTCWT; los valores de DWT y CVT, del mismo orden, se detallan en el material complementario) sobre las métricas estándar de calidad. La propuesta registra la menor tasa de artefactos del estudio (Nabf = 0,041, frente a 0,108 de LP y 0,585 del Top-Hat clásico) y la mayor similitud estructural (SSIM = 0,782), quedando segunda en preservación de bordes (Qabf = 0,500, a una milésima del líder DTCWT), correlación (SCD = 1,450, tras RP) y fidelidad visual (VIF = 0,368, tras LP). Reúne así limpieza, fidelidad estructural y fuerza de bordes en un mismo operador, perfil adecuado para una fusión de propósito general.</w:t>
      </w:r>
    </w:p>
    <w:p>
      <w:pPr>
        <w:pStyle w:val="Normal"/>
        <w:spacing w:lineRule="auto" w:line="360" w:before="0" w:after="160"/>
        <w:ind w:firstLine="709"/>
        <w:jc w:val="both"/>
        <w:rPr/>
      </w:pPr>
      <w:r>
        <w:rPr>
          <w:rFonts w:eastAsia="Times New Roman" w:cs="Times New Roman"/>
        </w:rPr>
        <w:t xml:space="preserve">La significación de estas diferencias se verificó con la prueba de Wilcoxon pareada (n = 20, corrección de Holm por métrica; detalle completo en el Apéndice C). Frente a la metodología clásica Top-Hat, la propuesta gana de forma estadísticamente significativa en las siete métricas de calidad e información (MI_vis, MI_ir, Qabf, Nabf, SSIM, SCD y VIF; p_Holm ≤ 0,001) y cede únicamente en las cinco de actividad bruta (EN, SD, FE, MG, SF), que el operador clásico infla al costo del mayor nivel de artefactos del estudio. Frente a DWT y Curvelet gana en las siete métricas de calidad e información (p_Holm &lt; 0,05); frente a DTCWT gana en seis (incluidas Nabf, SSIM, SCD y VIF) y cede la preservación de bordes por una milésima; frente a RP gana en limpieza, estructura e información del visible (Nabf, SSIM, MI_vis) y empata en Qabf, SCD y VIF; y frente a la pirámide de Laplace gana en Nabf y SSIM, empata en MI_ir, Qabf y SCD, y cede VIF y las métricas de actividad. Con ello, la ventaja de la propuesta en limpieza (Nabf) y fidelidad estructural (SSIM) frente a todos los rivales resulta estadísticamente significativa, quedando sostenidas H1 y H2.</w:t>
      </w:r>
    </w:p>
    <w:p>
      <w:pPr>
        <w:pStyle w:val="Normal"/>
        <w:spacing w:lineRule="auto" w:line="360"/>
        <w:ind w:firstLine="709"/>
        <w:jc w:val="both"/>
        <w:rPr/>
      </w:pPr>
      <w:r>
        <w:rPr>
          <w:rFonts w:eastAsia="Times New Roman" w:cs="Times New Roman"/>
        </w:rPr>
        <w:t xml:space="preserve">La elección de la configuración es robusta: en el barrido de 25 combinaciones, seis configuraciones independientes alcanzaron el mismo óptimo global (r = 25, m = 0,070) y todos los enjambres de 10 partículas con 30 o más iteraciones convergieron a él, mientras que los enjambres de 2 partículas quedaron atrapados en el óptimo local r = 1. La aptitud crece con el radio hasta el tope del rango explorado, lo que indica que el operador aprovecha vecindarios amplios para capturar los objetivos térmicos completos, con el peso m compensando a la baja la mayor energía de detalle que inyecta la suma de ramas.</w:t>
      </w:r>
    </w:p>
    <w:p>
      <w:pPr>
        <w:pStyle w:val="Normal"/>
        <w:spacing w:lineRule="auto" w:line="276"/>
        <w:jc w:val="both"/>
        <w:rPr/>
      </w:pPr>
      <w:commentRangeStart w:id="3"/>
      <w:r>
        <w:rPr>
          <w:rFonts w:eastAsia="Times New Roman" w:cs="Times New Roman"/>
          <w:i/>
          <w:sz w:val="18"/>
        </w:rPr>
        <w:t>Tabla 9.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cPr>
          <w:p>
            <w:pPr>
              <w:pStyle w:val="Normal"/>
              <w:widowControl w:val="false"/>
              <w:spacing w:lineRule="auto" w:line="276" w:before="0" w:after="120"/>
              <w:rPr/>
            </w:pPr>
            <w:r>
              <w:rPr>
                <w:rFonts w:eastAsia="Times New Roman" w:cs="Times New Roman"/>
                <w:b/>
                <w:color w:val="FFFFFF"/>
                <w:sz w:val="19"/>
              </w:rPr>
              <w:t>Propuesta Novedosa (r=25, m=0,070)</w:t>
            </w:r>
          </w:p>
        </w:tc>
        <w:tc>
          <w:tcPr>
            <w:tcW w:w="1518" w:type="dxa"/>
            <w:tcBorders/>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cPr>
          <w:p>
            <w:pPr>
              <w:pStyle w:val="Normal"/>
              <w:widowControl w:val="false"/>
              <w:spacing w:lineRule="auto" w:line="276" w:before="0" w:after="120"/>
              <w:rPr/>
            </w:pPr>
            <w:r>
              <w:rPr>
                <w:rFonts w:eastAsia="Times New Roman" w:cs="Times New Roman"/>
                <w:sz w:val="19"/>
              </w:rPr>
              <w:t>SSIM ↑</w:t>
            </w:r>
          </w:p>
        </w:tc>
        <w:tc>
          <w:tcPr>
            <w:tcW w:w="1516" w:type="dxa"/>
            <w:tcBorders/>
          </w:tcPr>
          <w:p>
            <w:pPr>
              <w:pStyle w:val="Normal"/>
              <w:widowControl w:val="false"/>
              <w:spacing w:lineRule="auto" w:line="276" w:before="0" w:after="120"/>
              <w:rPr/>
            </w:pPr>
            <w:r>
              <w:rPr>
                <w:rFonts w:eastAsia="Times New Roman" w:cs="Times New Roman"/>
                <w:b/>
                <w:sz w:val="19"/>
              </w:rPr>
              <w:t>0,782</w:t>
            </w:r>
          </w:p>
        </w:tc>
        <w:tc>
          <w:tcPr>
            <w:tcW w:w="1518" w:type="dxa"/>
            <w:tcBorders/>
          </w:tcPr>
          <w:p>
            <w:pPr>
              <w:pStyle w:val="Normal"/>
              <w:widowControl w:val="false"/>
              <w:spacing w:lineRule="auto" w:line="276" w:before="0" w:after="120"/>
              <w:rPr/>
            </w:pPr>
            <w:r>
              <w:rPr>
                <w:rFonts w:eastAsia="Times New Roman" w:cs="Times New Roman"/>
                <w:sz w:val="19"/>
              </w:rPr>
              <w:t>0,578</w:t>
            </w:r>
          </w:p>
        </w:tc>
        <w:tc>
          <w:tcPr>
            <w:tcW w:w="1517" w:type="dxa"/>
            <w:tcBorders/>
          </w:tcPr>
          <w:p>
            <w:pPr>
              <w:pStyle w:val="Normal"/>
              <w:widowControl w:val="false"/>
              <w:spacing w:lineRule="auto" w:line="276" w:before="0" w:after="120"/>
              <w:rPr/>
            </w:pPr>
            <w:r>
              <w:rPr>
                <w:rFonts w:eastAsia="Times New Roman" w:cs="Times New Roman"/>
                <w:sz w:val="19"/>
              </w:rPr>
              <w:t>0,721</w:t>
            </w:r>
          </w:p>
        </w:tc>
        <w:tc>
          <w:tcPr>
            <w:tcW w:w="1516" w:type="dxa"/>
            <w:tcBorders/>
          </w:tcPr>
          <w:p>
            <w:pPr>
              <w:pStyle w:val="Normal"/>
              <w:widowControl w:val="false"/>
              <w:spacing w:lineRule="auto" w:line="276" w:before="0" w:after="120"/>
              <w:rPr/>
            </w:pPr>
            <w:r>
              <w:rPr>
                <w:rFonts w:eastAsia="Times New Roman" w:cs="Times New Roman"/>
                <w:sz w:val="19"/>
              </w:rPr>
              <w:t>0,721</w:t>
            </w:r>
          </w:p>
        </w:tc>
        <w:tc>
          <w:tcPr>
            <w:tcW w:w="1518" w:type="dxa"/>
            <w:tcBorders/>
          </w:tcPr>
          <w:p>
            <w:pPr>
              <w:pStyle w:val="Normal"/>
              <w:widowControl w:val="false"/>
              <w:spacing w:lineRule="auto" w:line="276" w:before="0" w:after="120"/>
              <w:rPr/>
            </w:pPr>
            <w:r>
              <w:rPr>
                <w:rFonts w:eastAsia="Times New Roman" w:cs="Times New Roman"/>
                <w:sz w:val="19"/>
              </w:rPr>
              <w:t>0,739</w:t>
            </w:r>
          </w:p>
        </w:tc>
      </w:tr>
      <w:tr>
        <w:trPr/>
        <w:tc>
          <w:tcPr>
            <w:tcW w:w="1517" w:type="dxa"/>
            <w:tcBorders/>
          </w:tcPr>
          <w:p>
            <w:pPr>
              <w:pStyle w:val="Normal"/>
              <w:widowControl w:val="false"/>
              <w:spacing w:lineRule="auto" w:line="276" w:before="0" w:after="120"/>
              <w:rPr/>
            </w:pPr>
            <w:r>
              <w:rPr>
                <w:rFonts w:eastAsia="Times New Roman" w:cs="Times New Roman"/>
                <w:sz w:val="19"/>
              </w:rPr>
              <w:t>SCD ↑</w:t>
            </w:r>
          </w:p>
        </w:tc>
        <w:tc>
          <w:tcPr>
            <w:tcW w:w="1516" w:type="dxa"/>
            <w:tcBorders/>
          </w:tcPr>
          <w:p>
            <w:pPr>
              <w:pStyle w:val="Normal"/>
              <w:widowControl w:val="false"/>
              <w:spacing w:lineRule="auto" w:line="276" w:before="0" w:after="120"/>
              <w:rPr/>
            </w:pPr>
            <w:r>
              <w:rPr>
                <w:rFonts w:eastAsia="Times New Roman" w:cs="Times New Roman"/>
                <w:b/>
                <w:sz w:val="19"/>
              </w:rPr>
              <w:t>1,450</w:t>
            </w:r>
          </w:p>
        </w:tc>
        <w:tc>
          <w:tcPr>
            <w:tcW w:w="1518" w:type="dxa"/>
            <w:tcBorders/>
          </w:tcPr>
          <w:p>
            <w:pPr>
              <w:pStyle w:val="Normal"/>
              <w:widowControl w:val="false"/>
              <w:spacing w:lineRule="auto" w:line="276" w:before="0" w:after="120"/>
              <w:rPr/>
            </w:pPr>
            <w:r>
              <w:rPr>
                <w:rFonts w:eastAsia="Times New Roman" w:cs="Times New Roman"/>
                <w:sz w:val="19"/>
              </w:rPr>
              <w:t>1,360</w:t>
            </w:r>
          </w:p>
        </w:tc>
        <w:tc>
          <w:tcPr>
            <w:tcW w:w="1517" w:type="dxa"/>
            <w:tcBorders/>
          </w:tcPr>
          <w:p>
            <w:pPr>
              <w:pStyle w:val="Normal"/>
              <w:widowControl w:val="false"/>
              <w:spacing w:lineRule="auto" w:line="276" w:before="0" w:after="120"/>
              <w:rPr/>
            </w:pPr>
            <w:r>
              <w:rPr>
                <w:rFonts w:eastAsia="Times New Roman" w:cs="Times New Roman"/>
                <w:sz w:val="19"/>
              </w:rPr>
              <w:t>1,322</w:t>
            </w:r>
          </w:p>
        </w:tc>
        <w:tc>
          <w:tcPr>
            <w:tcW w:w="1516" w:type="dxa"/>
            <w:tcBorders/>
          </w:tcPr>
          <w:p>
            <w:pPr>
              <w:pStyle w:val="Normal"/>
              <w:widowControl w:val="false"/>
              <w:spacing w:lineRule="auto" w:line="276" w:before="0" w:after="120"/>
              <w:rPr/>
            </w:pPr>
            <w:r>
              <w:rPr>
                <w:rFonts w:eastAsia="Times New Roman" w:cs="Times New Roman"/>
                <w:sz w:val="19"/>
              </w:rPr>
              <w:t>1,468</w:t>
            </w:r>
          </w:p>
        </w:tc>
        <w:tc>
          <w:tcPr>
            <w:tcW w:w="1518" w:type="dxa"/>
            <w:tcBorders/>
          </w:tcPr>
          <w:p>
            <w:pPr>
              <w:pStyle w:val="Normal"/>
              <w:widowControl w:val="false"/>
              <w:spacing w:lineRule="auto" w:line="276" w:before="0" w:after="120"/>
              <w:rPr/>
            </w:pPr>
            <w:r>
              <w:rPr>
                <w:rFonts w:eastAsia="Times New Roman" w:cs="Times New Roman"/>
                <w:sz w:val="19"/>
              </w:rPr>
              <w:t>1,376</w:t>
            </w:r>
          </w:p>
        </w:tc>
      </w:tr>
      <w:tr>
        <w:trPr/>
        <w:tc>
          <w:tcPr>
            <w:tcW w:w="1517" w:type="dxa"/>
            <w:tcBorders/>
          </w:tcPr>
          <w:p>
            <w:pPr>
              <w:pStyle w:val="Normal"/>
              <w:widowControl w:val="false"/>
              <w:spacing w:lineRule="auto" w:line="276" w:before="0" w:after="120"/>
              <w:rPr/>
            </w:pPr>
            <w:r>
              <w:rPr>
                <w:rFonts w:eastAsia="Times New Roman" w:cs="Times New Roman"/>
                <w:sz w:val="19"/>
              </w:rPr>
              <w:t>Qabf ↑</w:t>
            </w:r>
          </w:p>
        </w:tc>
        <w:tc>
          <w:tcPr>
            <w:tcW w:w="1516" w:type="dxa"/>
            <w:tcBorders/>
          </w:tcPr>
          <w:p>
            <w:pPr>
              <w:pStyle w:val="Normal"/>
              <w:widowControl w:val="false"/>
              <w:spacing w:lineRule="auto" w:line="276" w:before="0" w:after="120"/>
              <w:rPr/>
            </w:pPr>
            <w:r>
              <w:rPr>
                <w:rFonts w:eastAsia="Times New Roman" w:cs="Times New Roman"/>
                <w:b/>
                <w:sz w:val="19"/>
              </w:rPr>
              <w:t>0,500</w:t>
            </w:r>
          </w:p>
        </w:tc>
        <w:tc>
          <w:tcPr>
            <w:tcW w:w="1518" w:type="dxa"/>
            <w:tcBorders/>
          </w:tcPr>
          <w:p>
            <w:pPr>
              <w:pStyle w:val="Normal"/>
              <w:widowControl w:val="false"/>
              <w:spacing w:lineRule="auto" w:line="276" w:before="0" w:after="120"/>
              <w:rPr/>
            </w:pPr>
            <w:r>
              <w:rPr>
                <w:rFonts w:eastAsia="Times New Roman" w:cs="Times New Roman"/>
                <w:sz w:val="19"/>
              </w:rPr>
              <w:t>0,305</w:t>
            </w:r>
          </w:p>
        </w:tc>
        <w:tc>
          <w:tcPr>
            <w:tcW w:w="1517" w:type="dxa"/>
            <w:tcBorders/>
          </w:tcPr>
          <w:p>
            <w:pPr>
              <w:pStyle w:val="Normal"/>
              <w:widowControl w:val="false"/>
              <w:spacing w:lineRule="auto" w:line="276" w:before="0" w:after="120"/>
              <w:rPr/>
            </w:pPr>
            <w:r>
              <w:rPr>
                <w:rFonts w:eastAsia="Times New Roman" w:cs="Times New Roman"/>
                <w:sz w:val="19"/>
              </w:rPr>
              <w:t>0,442</w:t>
            </w:r>
          </w:p>
        </w:tc>
        <w:tc>
          <w:tcPr>
            <w:tcW w:w="1516" w:type="dxa"/>
            <w:tcBorders/>
          </w:tcPr>
          <w:p>
            <w:pPr>
              <w:pStyle w:val="Normal"/>
              <w:widowControl w:val="false"/>
              <w:spacing w:lineRule="auto" w:line="276" w:before="0" w:after="120"/>
              <w:rPr/>
            </w:pPr>
            <w:r>
              <w:rPr>
                <w:rFonts w:eastAsia="Times New Roman" w:cs="Times New Roman"/>
                <w:sz w:val="19"/>
              </w:rPr>
              <w:t>0,497</w:t>
            </w:r>
          </w:p>
        </w:tc>
        <w:tc>
          <w:tcPr>
            <w:tcW w:w="1518" w:type="dxa"/>
            <w:tcBorders/>
          </w:tcPr>
          <w:p>
            <w:pPr>
              <w:pStyle w:val="Normal"/>
              <w:widowControl w:val="false"/>
              <w:spacing w:lineRule="auto" w:line="276" w:before="0" w:after="120"/>
              <w:rPr/>
            </w:pPr>
            <w:r>
              <w:rPr>
                <w:rFonts w:eastAsia="Times New Roman" w:cs="Times New Roman"/>
                <w:sz w:val="19"/>
              </w:rPr>
              <w:t>0,501</w:t>
            </w:r>
          </w:p>
        </w:tc>
      </w:tr>
      <w:tr>
        <w:trPr/>
        <w:tc>
          <w:tcPr>
            <w:tcW w:w="1517" w:type="dxa"/>
            <w:tcBorders/>
          </w:tcPr>
          <w:p>
            <w:pPr>
              <w:pStyle w:val="Normal"/>
              <w:widowControl w:val="false"/>
              <w:spacing w:lineRule="auto" w:line="276" w:before="0" w:after="120"/>
              <w:rPr/>
            </w:pPr>
            <w:r>
              <w:rPr>
                <w:rFonts w:eastAsia="Times New Roman" w:cs="Times New Roman"/>
                <w:sz w:val="19"/>
              </w:rPr>
              <w:t>Nabf ↓</w:t>
            </w:r>
          </w:p>
        </w:tc>
        <w:tc>
          <w:tcPr>
            <w:tcW w:w="1516" w:type="dxa"/>
            <w:tcBorders/>
          </w:tcPr>
          <w:p>
            <w:pPr>
              <w:pStyle w:val="Normal"/>
              <w:widowControl w:val="false"/>
              <w:spacing w:lineRule="auto" w:line="276" w:before="0" w:after="120"/>
              <w:rPr/>
            </w:pPr>
            <w:r>
              <w:rPr>
                <w:rFonts w:eastAsia="Times New Roman" w:cs="Times New Roman"/>
                <w:b/>
                <w:sz w:val="19"/>
              </w:rPr>
              <w:t>0,041</w:t>
            </w:r>
          </w:p>
        </w:tc>
        <w:tc>
          <w:tcPr>
            <w:tcW w:w="1518" w:type="dxa"/>
            <w:tcBorders/>
          </w:tcPr>
          <w:p>
            <w:pPr>
              <w:pStyle w:val="Normal"/>
              <w:widowControl w:val="false"/>
              <w:spacing w:lineRule="auto" w:line="276" w:before="0" w:after="120"/>
              <w:rPr/>
            </w:pPr>
            <w:r>
              <w:rPr>
                <w:rFonts w:eastAsia="Times New Roman" w:cs="Times New Roman"/>
                <w:sz w:val="19"/>
              </w:rPr>
              <w:t>0,585</w:t>
            </w:r>
          </w:p>
        </w:tc>
        <w:tc>
          <w:tcPr>
            <w:tcW w:w="1517" w:type="dxa"/>
            <w:tcBorders/>
          </w:tcPr>
          <w:p>
            <w:pPr>
              <w:pStyle w:val="Normal"/>
              <w:widowControl w:val="false"/>
              <w:spacing w:lineRule="auto" w:line="276" w:before="0" w:after="120"/>
              <w:rPr/>
            </w:pPr>
            <w:r>
              <w:rPr>
                <w:rFonts w:eastAsia="Times New Roman" w:cs="Times New Roman"/>
                <w:sz w:val="19"/>
              </w:rPr>
              <w:t>0,108</w:t>
            </w:r>
          </w:p>
        </w:tc>
        <w:tc>
          <w:tcPr>
            <w:tcW w:w="1516" w:type="dxa"/>
            <w:tcBorders/>
          </w:tcPr>
          <w:p>
            <w:pPr>
              <w:pStyle w:val="Normal"/>
              <w:widowControl w:val="false"/>
              <w:spacing w:lineRule="auto" w:line="276" w:before="0" w:after="120"/>
              <w:rPr/>
            </w:pPr>
            <w:r>
              <w:rPr>
                <w:rFonts w:eastAsia="Times New Roman" w:cs="Times New Roman"/>
                <w:sz w:val="19"/>
              </w:rPr>
              <w:t>0,212</w:t>
            </w:r>
          </w:p>
        </w:tc>
        <w:tc>
          <w:tcPr>
            <w:tcW w:w="1518" w:type="dxa"/>
            <w:tcBorders/>
          </w:tcPr>
          <w:p>
            <w:pPr>
              <w:pStyle w:val="Normal"/>
              <w:widowControl w:val="false"/>
              <w:spacing w:lineRule="auto" w:line="276" w:before="0" w:after="120"/>
              <w:rPr/>
            </w:pPr>
            <w:r>
              <w:rPr>
                <w:rFonts w:eastAsia="Times New Roman" w:cs="Times New Roman"/>
                <w:sz w:val="19"/>
              </w:rPr>
              <w:t>0,151</w:t>
            </w:r>
          </w:p>
        </w:tc>
      </w:tr>
      <w:tr>
        <w:trPr/>
        <w:tc>
          <w:tcPr>
            <w:tcW w:w="1517" w:type="dxa"/>
            <w:tcBorders/>
          </w:tcPr>
          <w:p>
            <w:pPr>
              <w:pStyle w:val="Normal"/>
              <w:widowControl w:val="false"/>
              <w:spacing w:lineRule="auto" w:line="276" w:before="0" w:after="120"/>
              <w:rPr/>
            </w:pPr>
            <w:r>
              <w:rPr>
                <w:rFonts w:eastAsia="Times New Roman" w:cs="Times New Roman"/>
                <w:sz w:val="19"/>
              </w:rPr>
              <w:t>VIF ↑</w:t>
            </w:r>
          </w:p>
        </w:tc>
        <w:tc>
          <w:tcPr>
            <w:tcW w:w="1516" w:type="dxa"/>
            <w:tcBorders/>
          </w:tcPr>
          <w:p>
            <w:pPr>
              <w:pStyle w:val="Normal"/>
              <w:widowControl w:val="false"/>
              <w:spacing w:lineRule="auto" w:line="276" w:before="0" w:after="120"/>
              <w:rPr/>
            </w:pPr>
            <w:r>
              <w:rPr>
                <w:rFonts w:eastAsia="Times New Roman" w:cs="Times New Roman"/>
                <w:b/>
                <w:sz w:val="19"/>
              </w:rPr>
              <w:t>0,368</w:t>
            </w:r>
          </w:p>
        </w:tc>
        <w:tc>
          <w:tcPr>
            <w:tcW w:w="1518" w:type="dxa"/>
            <w:tcBorders/>
          </w:tcPr>
          <w:p>
            <w:pPr>
              <w:pStyle w:val="Normal"/>
              <w:widowControl w:val="false"/>
              <w:spacing w:lineRule="auto" w:line="276" w:before="0" w:after="120"/>
              <w:rPr/>
            </w:pPr>
            <w:r>
              <w:rPr>
                <w:rFonts w:eastAsia="Times New Roman" w:cs="Times New Roman"/>
                <w:sz w:val="19"/>
              </w:rPr>
              <w:t>0,334</w:t>
            </w:r>
          </w:p>
        </w:tc>
        <w:tc>
          <w:tcPr>
            <w:tcW w:w="1517" w:type="dxa"/>
            <w:tcBorders/>
          </w:tcPr>
          <w:p>
            <w:pPr>
              <w:pStyle w:val="Normal"/>
              <w:widowControl w:val="false"/>
              <w:spacing w:lineRule="auto" w:line="276" w:before="0" w:after="120"/>
              <w:rPr/>
            </w:pPr>
            <w:r>
              <w:rPr>
                <w:rFonts w:eastAsia="Times New Roman" w:cs="Times New Roman"/>
                <w:sz w:val="19"/>
              </w:rPr>
              <w:t>0,410</w:t>
            </w:r>
          </w:p>
        </w:tc>
        <w:tc>
          <w:tcPr>
            <w:tcW w:w="1516" w:type="dxa"/>
            <w:tcBorders/>
          </w:tcPr>
          <w:p>
            <w:pPr>
              <w:pStyle w:val="Normal"/>
              <w:widowControl w:val="false"/>
              <w:spacing w:lineRule="auto" w:line="276" w:before="0" w:after="120"/>
              <w:rPr/>
            </w:pPr>
            <w:r>
              <w:rPr>
                <w:rFonts w:eastAsia="Times New Roman" w:cs="Times New Roman"/>
                <w:sz w:val="19"/>
              </w:rPr>
              <w:t>0,384</w:t>
            </w:r>
          </w:p>
        </w:tc>
        <w:tc>
          <w:tcPr>
            <w:tcW w:w="1518" w:type="dxa"/>
            <w:tcBorders/>
          </w:tcPr>
          <w:p>
            <w:pPr>
              <w:pStyle w:val="Normal"/>
              <w:widowControl w:val="false"/>
              <w:spacing w:lineRule="auto" w:line="276" w:before="0" w:after="120"/>
              <w:rPr/>
            </w:pPr>
            <w:r>
              <w:rPr>
                <w:rFonts w:eastAsia="Times New Roman" w:cs="Times New Roman"/>
                <w:sz w:val="19"/>
              </w:rPr>
              <w:t>0,360</w:t>
            </w:r>
          </w:p>
        </w:tc>
      </w:tr>
      <w:tr>
        <w:trPr/>
        <w:tc>
          <w:tcPr>
            <w:tcW w:w="1517" w:type="dxa"/>
            <w:tcBorders/>
          </w:tcPr>
          <w:p>
            <w:pPr>
              <w:pStyle w:val="Normal"/>
              <w:widowControl w:val="false"/>
              <w:spacing w:lineRule="auto" w:line="276" w:before="0" w:after="120"/>
              <w:rPr/>
            </w:pPr>
            <w:r>
              <w:rPr>
                <w:rFonts w:eastAsia="Times New Roman" w:cs="Times New Roman"/>
                <w:sz w:val="19"/>
              </w:rPr>
              <w:t>SD ↑</w:t>
            </w:r>
          </w:p>
        </w:tc>
        <w:tc>
          <w:tcPr>
            <w:tcW w:w="1516" w:type="dxa"/>
            <w:tcBorders/>
          </w:tcPr>
          <w:p>
            <w:pPr>
              <w:pStyle w:val="Normal"/>
              <w:widowControl w:val="false"/>
              <w:spacing w:lineRule="auto" w:line="276" w:before="0" w:after="120"/>
              <w:rPr/>
            </w:pPr>
            <w:r>
              <w:rPr>
                <w:rFonts w:eastAsia="Times New Roman" w:cs="Times New Roman"/>
                <w:b/>
                <w:sz w:val="19"/>
              </w:rPr>
              <w:t>0,117</w:t>
            </w:r>
          </w:p>
        </w:tc>
        <w:tc>
          <w:tcPr>
            <w:tcW w:w="1518" w:type="dxa"/>
            <w:tcBorders/>
          </w:tcPr>
          <w:p>
            <w:pPr>
              <w:pStyle w:val="Normal"/>
              <w:widowControl w:val="false"/>
              <w:spacing w:lineRule="auto" w:line="276" w:before="0" w:after="120"/>
              <w:rPr/>
            </w:pPr>
            <w:r>
              <w:rPr>
                <w:rFonts w:eastAsia="Times New Roman" w:cs="Times New Roman"/>
                <w:sz w:val="19"/>
              </w:rPr>
              <w:t>0,139</w:t>
            </w:r>
          </w:p>
        </w:tc>
        <w:tc>
          <w:tcPr>
            <w:tcW w:w="1517" w:type="dxa"/>
            <w:tcBorders/>
          </w:tcPr>
          <w:p>
            <w:pPr>
              <w:pStyle w:val="Normal"/>
              <w:widowControl w:val="false"/>
              <w:spacing w:lineRule="auto" w:line="276" w:before="0" w:after="120"/>
              <w:rPr/>
            </w:pPr>
            <w:r>
              <w:rPr>
                <w:rFonts w:eastAsia="Times New Roman" w:cs="Times New Roman"/>
                <w:sz w:val="19"/>
              </w:rPr>
              <w:t>0,155</w:t>
            </w:r>
          </w:p>
        </w:tc>
        <w:tc>
          <w:tcPr>
            <w:tcW w:w="1516" w:type="dxa"/>
            <w:tcBorders/>
          </w:tcPr>
          <w:p>
            <w:pPr>
              <w:pStyle w:val="Normal"/>
              <w:widowControl w:val="false"/>
              <w:spacing w:lineRule="auto" w:line="276" w:before="0" w:after="120"/>
              <w:rPr/>
            </w:pPr>
            <w:r>
              <w:rPr>
                <w:rFonts w:eastAsia="Times New Roman" w:cs="Times New Roman"/>
                <w:sz w:val="19"/>
              </w:rPr>
              <w:t>0,130</w:t>
            </w:r>
          </w:p>
        </w:tc>
        <w:tc>
          <w:tcPr>
            <w:tcW w:w="1518" w:type="dxa"/>
            <w:tcBorders/>
          </w:tcPr>
          <w:p>
            <w:pPr>
              <w:pStyle w:val="Normal"/>
              <w:widowControl w:val="false"/>
              <w:spacing w:lineRule="auto" w:line="276" w:before="0" w:after="120"/>
              <w:rPr/>
            </w:pPr>
            <w:r>
              <w:rPr>
                <w:rFonts w:eastAsia="Times New Roman" w:cs="Times New Roman"/>
                <w:sz w:val="19"/>
              </w:rPr>
              <w:t>0,120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(PSO: r = 25, m = 0,070) frente a la metodología clásica Top-Hat y al estado del arte en las métricas estándar de calidad.</w:t>
      </w:r>
    </w:p>
    <w:p>
      <w:pPr>
        <w:pStyle w:val="Normal"/>
        <w:spacing w:lineRule="auto" w:line="360"/>
        <w:ind w:firstLine="709"/>
        <w:jc w:val="both"/>
        <w:rPr/>
      </w:pPr>
      <w:r>
        <w:rPr>
          <w:rFonts w:eastAsia="Times New Roman" w:cs="Times New Roman"/>
        </w:rPr>
        <w:t xml:space="preserve">La Figura 11 resume la optimización del método. El panel izquierdo muestra la convergencia del mejor global según el número de partículas (Tmax = 50): los enjambres grandes escapan del óptimo local r = 1 y alcanzan la aptitud máxima F = 1,9843. El panel derecho y la Tabla 10 sintetizan el barrido de 25 configuraciones: el óptimo global (r = 25, m = 0,070) es alcanzado por seis configuraciones y de forma consistente por los enjambres de 10 partículas con 30 o más iteraciones; la contribución de los elementos estructurantes lineales sobre el disco reside en la cobertura de orientaciones.</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Convergencia del PSO según el número de partículas (izq.) y aptitud del barrido de configuraciones (der.), sobre tres escenas representativas.</w:t>
      </w:r>
    </w:p>
    <w:p>
      <w:pPr>
        <w:pStyle w:val="Normal"/>
        <w:spacing w:lineRule="auto" w:line="276"/>
        <w:jc w:val="both"/>
        <w:rPr/>
      </w:pPr>
      <w:r>
        <w:rPr>
          <w:rFonts w:eastAsia="Times New Roman" w:cs="Times New Roman"/>
          <w:i/>
          <w:sz w:val="18"/>
        </w:rPr>
        <w:t>Tabla 10. Barrido de configuraciones del PSO: mejor aptitud F por combinación de partículas (n) e iteraciones (T).</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1,9686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1,9287</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1,9723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1,9728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1,9464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1,9799</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1,9839</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1,9822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seis observaciones. Primero, la Propuesta Novedosa (r = 25, m = 0,070) exhibe el mejor perfil de calidad del benchmark: la menor tasa de artefactos (Nabf = 0,041, 2,7 veces menos que el mejor rival) y la mayor similitud estructural (SSIM = 0,782), quedando segunda en preservación de bordes (Qabf = 0,500), correlación (SCD = 1,450) y fidelidad visual (VIF = 0,368), a milésimas del líder de cada métrica, a costa de ceder contraste (SD, EN, SF). Segundo, no existe un método universalmente dominante: DTCWT lidera la preservación de bordes por una milésima, RP la correlación de diferencias y la pirámide de Laplace el contraste y la fidelidad perceptual (VIF); son óptimos de criterios distintos y complementarios. Tercero, la metodología clásica de la transformada Top-Hat evidencia el aporte de la propuesta: gana únicamente en las métricas de actividad bruta (EN, MG, SF) al costo del mayor nivel de artefactos del estudio (Nabf = 0,585) y la peor similitud estructural (SSIM = 0,578); la diferencia entre ambas aísla la contribución del banco disco + líneas y del ajuste (r, m) por PSO. Cuarto, las métricas de actividad e información premian el realce agresivo y deben reportarse junto a las de preservación de bordes y artefactos, pues por sí solas favorecerían al operador más ruidoso. Quinto, la evaluación orientada a tarea (detección sobre LLVIP) constituye un criterio complementario: toda fusión supera netamente al visible solo (+0,12 a +0,14 en mAP@0,5), el infrarrojo solo es la modalidad más fuerte (0,957) y entre las fusiones —en una banda estrecha de 0,926 a 0,949— la propuesta es competitiva (0,936) sin ser líder, lo que confirma que la superioridad en calidad de imagen no se traslada automáticamente a la detección. Sexto, el experimento de clases complementarias sobre M3FD delimita el escenario donde la fusión es insustituible: cuando la escena contiene objetos térmicos (personas) y objetos exclusivamente visibles (luces), las mejores fusiones superan en el par complementario a ambas modalidades individuales y la propuesta es la mejor fusión del estudio, detectando ambas clases en una sola imagen.</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 xml:space="preserve">La Propuesta Novedosa —con las respuestas lineales promediadas y sumadas a la del disco sobre una sola escala (PSO: r=25, m=0,070, seleccionado mediante un barrido de 25 configuraciones de enjambre)— logra el mejor perfil de calidad del benchmark: la menor tasa de artefactos (Nabf=0,041) y la mayor similitud estructural (SSIM=0,782), con preservación de bordes y correlación destacadas (Qabf=0,500; SCD=1,450). Supera a la metodología clásica Top-Hat en las siete métricas de calidad e información de forma estadísticamente significativa (Wilcoxon pareado con corrección de Holm: p ≤ 0,001; sección 5.6). En la evaluación de detección sobre LLVIP, toda fusión supera al visible solo (mAP@0,5 de 0,808 a 0,926–0,949) pero ninguna al infrarrojo solo (0,957), y la propuesta resulta competitiva (mAP@0,5 = 0,936), dentro de una banda estrecha de fusiones, sin ser la mejor: su ventaja en calidad de imagen no se traslada directamente a la tarea de detección, cuya estrategia óptima depende de la aplicación. En el experimento de clases complementarias (M3FD), en cambio, la fusión muestra su valor distintivo: detecta simultáneamente los objetos térmicos (personas) y los exclusivamente visibles (luces) que cada modalidad pierde por separado, con la propuesta como la mejor fusión del estudio (mAP@0,5 = 0,239). Quedan así sostenidas las hipótesis H1 y H2, y solo parcialmente H3.</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es el rival más equilibrado (Qabf=0,501; SSIM=0,739), RP lidera la correlación de diferencias (SCD=1,468) y la pirámide de Laplace conserva la ventaja en contraste y fidelidad perceptual (VIF=0,410);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pirámide de Laplace presenta el mejor ranking global agregado (3,17 sobre los 7 métodos), sostenido por su ventaja en contraste (SD) y fidelidad perceptual (VIF); no domina, en cambio, en limpieza ni en fidelidad estructural, donde la propuesta la supera de forma estadísticamente significativa. Curvelet y DWT, al penalizarse sus artefactos (Nabf), quedan relegados pese a su buena preservación de bordes.</w:t>
      </w:r>
    </w:p>
    <w:p>
      <w:pPr>
        <w:pStyle w:val="ListParagraph"/>
        <w:numPr>
          <w:ilvl w:val="0"/>
          <w:numId w:val="3"/>
        </w:numPr>
        <w:spacing w:lineRule="auto" w:line="360" w:before="0" w:after="100"/>
        <w:ind w:firstLine="709"/>
        <w:jc w:val="both"/>
        <w:rPr/>
      </w:pPr>
      <w:r>
        <w:rPr>
          <w:rFonts w:eastAsia="Times New Roman" w:cs="Times New Roman"/>
          <w:sz w:val="24"/>
          <w:szCs w:val="24"/>
        </w:rPr>
        <w:t>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3"/>
        </w:numPr>
        <w:spacing w:lineRule="auto" w:line="360" w:before="0" w:after="100"/>
        <w:ind w:firstLine="709"/>
        <w:jc w:val="both"/>
        <w:rPr/>
      </w:pPr>
      <w:r>
        <w:rPr>
          <w:rFonts w:eastAsia="Times New Roman" w:cs="Times New Roman"/>
          <w:sz w:val="24"/>
          <w:szCs w:val="24"/>
        </w:rPr>
        <w:t>La profundidad de descomposición (L) y el radio base (r₀) tienen efectos complementarios: mayor profundidad incrementa entropía y contraste; menor radio preserva mejor el gradiente.</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nueve métricas, y las comparaciones pareadas Wilcoxon con corrección de Holm corroboran las superioridades específicas reportadas (ganancia en SSIM y SCD frente a Laplace, paridad en Qabf y Nabf).</w:t>
      </w:r>
    </w:p>
    <w:p>
      <w:pPr>
        <w:pStyle w:val="ListParagraph"/>
        <w:numPr>
          <w:ilvl w:val="0"/>
          <w:numId w:val="3"/>
        </w:numPr>
        <w:spacing w:lineRule="auto" w:line="360"/>
        <w:ind w:firstLine="709"/>
        <w:jc w:val="both"/>
        <w:rPr/>
      </w:pPr>
      <w:r>
        <w:rPr>
          <w:rFonts w:eastAsia="Times New Roman" w:cs="Times New Roman"/>
        </w:rPr>
        <w:t>La variante con Black Top-Hat no se recomienda como configuración por defecto: aunque incrementa el contraste y la actividad (EN, SD, SF, MG), degrada significativamente la calidad de la fusión (Qabf, SSIM, VIF, MI) y multiplica los artefactos (Nabf ×5). El detalle oscuro que añade es en gran parte ruido no presente en las fuentes.</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priman la fidelidad estructural, la preservación de bordes y la ausencia de artefactos, emplear la Propuesta Novedosa (r = 25, m = 0,070), que registra la menor tasa de artefactos (Nabf) y la mayor similitud estructural (SSIM) del benchmark; para un balance que privilegie el contraste global, la pirámide de Laplace sigue siendo una opción sólida; y la metodología clásica Top-Hat ofrece un punto de partida interpretable y de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del promedio simple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w:t>
      </w:r>
    </w:p>
    <w:p>
      <w:pPr>
        <w:pStyle w:val="Normal"/>
        <w:spacing w:lineRule="auto" w:line="360" w:before="0" w:after="160"/>
        <w:ind w:firstLine="709"/>
        <w:jc w:val="both"/>
        <w:rPr/>
      </w:pPr>
      <w:r>
        <w:rPr>
          <w:rFonts w:eastAsia="Times New Roman" w:cs="Times New Roman"/>
          <w:sz w:val="24"/>
          <w:szCs w:val="24"/>
        </w:rPr>
        <w:t>Bai, X. (2013). Morphological image fusion using the extracted image regions and details based on multi-scale top-hat transform and toggle contrast operator. Digital Signal Processing, 23(1), 244–263.</w:t>
      </w:r>
    </w:p>
    <w:p>
      <w:pPr>
        <w:pStyle w:val="Normal"/>
        <w:spacing w:lineRule="auto" w:line="360" w:before="0" w:after="160"/>
        <w:ind w:firstLine="709"/>
        <w:jc w:val="both"/>
        <w:rPr/>
      </w:pPr>
      <w:r>
        <w:rPr>
          <w:rFonts w:eastAsia="Times New Roman" w:cs="Times New Roman"/>
          <w:sz w:val="24"/>
          <w:szCs w:val="24"/>
        </w:rPr>
        <w:t>Bai, X., Zhou, F., y Xue, B. (2015). Image enhancement using multi-scale image features extracted by top-hat transform. Optics &amp; Laser Technology, 65, 145–150.</w:t>
      </w:r>
    </w:p>
    <w:p>
      <w:pPr>
        <w:pStyle w:val="Normal"/>
        <w:spacing w:lineRule="auto" w:line="360" w:before="0" w:after="160"/>
        <w:ind w:firstLine="709"/>
        <w:jc w:val="both"/>
        <w:rPr/>
      </w:pPr>
      <w:commentRangeStart w:id="4"/>
      <w:r>
        <w:rPr>
          <w:rFonts w:eastAsia="Times New Roman" w:cs="Times New Roman"/>
          <w:sz w:val="24"/>
          <w:szCs w:val="24"/>
        </w:rPr>
        <w:t>Bala, A. A., Aruna Priya, P., y Maik, V. (2024). Hybrid technique for fundus image enhancement using modified morphological filter and denoising net. The Journal of Supercomputing, 80,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3496–3504.</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5802–5811.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Mukhopadhyay, S., y Chanda, B. (2001). A multi-scale morphological approach to local contrast enhancement. Signal Processing, 80(4), 685–696.</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Toet, A. (2014). The TNO multiband image data collection. Data in Brief, 4, 187–192.</w:t>
      </w:r>
    </w:p>
    <w:p>
      <w:pPr>
        <w:pStyle w:val="Normal"/>
        <w:spacing w:lineRule="auto" w:line="360" w:before="0" w:after="160"/>
        <w:ind w:firstLine="709"/>
        <w:jc w:val="both"/>
        <w:rPr/>
      </w:pPr>
      <w:r>
        <w:rPr>
          <w:rFonts w:eastAsia="Times New Roman" w:cs="Times New Roman"/>
          <w:sz w:val="24"/>
          <w:szCs w:val="24"/>
        </w:rPr>
        <w:t>Wang, J., Peng, J., Feng, X., He, G., y Fan, J. (2017). Fusion method for infrared and visible images by using non-negative sparse representation. Infrared Physics &amp; Technology, 80, 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nueve métricas), src/utils/ (entrada/salida y visualización), experiments/run_all_fusions.py (benchmark inter-método), experiments/run_stats_analysis.py (Friedman, Wilcoxon con Holm y ranking), experiments/pso_grid_search.py (barrido de 25 configuraciones del PSO),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36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[0,05; 1,20].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experiments/results/pso/pso_grid_state.json y la tabla resumen en experiments/results/metrics_reports/pso_grid_search.csv.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120 contrastes Wilcoxon (2 métodos morfológicos × 5 métodos del estado del arte × 9 métricas), más el contraste directo entre la propuesta y el operador clásico,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48 contrastes de la propuesta central frente al método anterior y a los baselines (9 métricas × 4 rivales,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0,0703</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0,0703.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