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toma el máximo frente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Se lo compara con el método anterior (Torre Top-Hat) y con baselines clásicos (promedio, pirámide de Laplace, curvelet) sobre el TNO Image Fusion Dataset, con dieciséis métricas sin referencia (doce de ellas bajo pruebas no paramétricas: Friedman y Wilcoxon con corrección de Holm). En su configuración óptima (PSO: r=12, m=0,127) la propuesta obtiene una tasa de artefactos muy baja (Nabf=0,035), la mayor similitud estructural entre los métodos reales (SSIM=0,783) y la mejor preservación de bordes y correlación de su familia (Qabf=0,495; SCD=1,421). Como evaluación orientada a tarea, el reentrenamiento de un detector (YOLOv8n) sobre el conjunto etiquetado LLVIP muestra que la fusión supera al visible solo (mAP@0,5 de 0,81 a 0,90–0,95), aunque el infrarrojo solo es la modalidad más fuerte (0,957) y las fusiones simples igualan a las morfológicas; la propuesta es competitiva (0,905) pero no líder en mAP, evidenciando que la superioridad en calidad de imagen no se traslada automáticamente a la detección. Se concluye que la propuesta mejora la calidad de fusión —en particular la limpieza y la fidelidad estructural— frente al método anterior y a los baselines,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takes the maximum against a disk response to obtain optimal Top-Hat and Bottom-Hat transforms; reconstruction follows the additive–subtractive scheme of Bala et al., and the structuring-element radius r and the contrast weight m are tuned automatically by Particle Swarm Optimization (PSO). It is compared with the previous method (Top-Hat Tower) and classical baselines (average, Laplacian pyramid, curvelet) on the TNO Image Fusion Dataset, using sixteen no-reference metrics (twelve of them under non-parametric testing: Friedman, Wilcoxon with Holm correction). At its optimal configuration (PSO: r=12, m=0.127) the proposal attains a very low artifact rate (Nabf=0.035), the highest structural similarity among real methods (SSIM=0.783) and the best edge preservation and correlation in its family (Qabf=0.495; SCD=1.421). As a task-oriented evaluation, retraining a detector (YOLOv8n) on the labeled LLVIP dataset shows that fusion clearly outperforms the visible modality alone (mAP@0.5 from 0.81 to 0.90–0.95), although the infrared alone remains the strongest modality (0.957) and simple fusions match the morphological ones; the proposal is competitive (0.905) but not the mAP leader, showing that superiority in image quality does not automatically transfer to detection. We conclude that the proposal improves fusion quality —particularly cleanliness and structural fidelity— over the previous method and the baselines,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Torre Top-Hat (método anterior)</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Algoritmos de referencia (baselines)</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máximo</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Descomposición multiescala en cascada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Análisis del benchmark exhaustivo de la Torre Top-Hat</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Efecto de la variante Black Top-Hat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Evaluación orientada a tarea: detección con YOLO</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5.7.1 Evaluación con dataset etiquetado: mAP en LLVIP</w:t>
        <w:tab/>
        <w:t>49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5.8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5.9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benchmark exhaustivo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Torre Top-Hat</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Torre Top-Hat (método anterior).</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sz w:val="21"/>
        </w:rPr>
        <w:t>Figura 9. Mapas de calor de las seis métricas para las 36 configuraciones de la Torre Top-Hat.</w:t>
      </w:r>
    </w:p>
    <w:p>
      <w:pPr>
        <w:pStyle w:val="Normal"/>
        <w:spacing w:lineRule="auto" w:line="276" w:before="0" w:after="40"/>
        <w:jc w:val="both"/>
        <w:rPr/>
      </w:pPr>
      <w:r>
        <w:rPr>
          <w:rFonts w:eastAsia="Times New Roman" w:cs="Times New Roman"/>
          <w:sz w:val="21"/>
        </w:rPr>
        <w:t>Figura 10. Impacto de añadir Black Top-Hat sobre las configuraciones disco L3 y L5: cambio relativo por métrica (verde = mejora, rojo = empeora).</w:t>
      </w:r>
    </w:p>
    <w:p>
      <w:pPr>
        <w:pStyle w:val="Normal"/>
        <w:spacing w:lineRule="auto" w:line="276" w:before="0" w:after="40"/>
        <w:jc w:val="both"/>
        <w:rPr/>
      </w:pPr>
      <w:r>
        <w:rPr>
          <w:rFonts w:eastAsia="Times New Roman" w:cs="Times New Roman"/>
          <w:sz w:val="21"/>
        </w:rPr>
        <w:t>Figura 11. Detectabilidad de YOLOv8n preentrenado por método (izq.: personas vs vehículos por método; der.: detecciones por método; la Propuesta Novedosa resaltada).</w:t>
      </w:r>
    </w:p>
    <w:p>
      <w:pPr>
        <w:pStyle w:val="Normal"/>
        <w:spacing w:lineRule="auto" w:line="276" w:before="0" w:after="40"/>
        <w:jc w:val="both"/>
        <w:rPr/>
      </w:pPr>
      <w:r>
        <w:rPr>
          <w:rFonts w:eastAsia="Times New Roman" w:cs="Times New Roman"/>
          <w:i/>
          <w:sz w:val="18"/>
        </w:rPr>
        <w:t>Figura 12. Propuesta Novedosa (PSO: r = 12, m = 0,127) frente al método anterior y a los baselines.</w:t>
      </w:r>
    </w:p>
    <w:p>
      <w:pPr>
        <w:pStyle w:val="Normal"/>
        <w:spacing w:lineRule="auto" w:line="276" w:before="0" w:after="40"/>
        <w:jc w:val="both"/>
        <w:rPr/>
      </w:pPr>
      <w:r>
        <w:rPr>
          <w:rFonts w:eastAsia="Times New Roman" w:cs="Times New Roman"/>
          <w:sz w:val="21"/>
        </w:rPr>
        <w:t>Figura 13. Convergencia del PSO (izq.) y sensibilidad al radio r (der.) de la Propuesta Novedosa,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Algoritmos de referencia utilizados como línea base.</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5b. Métricas adicionales del review (FMI y Piella Q0/QW/QE) por método — medias sobre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rPr/>
      </w:pPr>
      <w:r>
        <w:rPr>
          <w:rFonts w:eastAsia="Times New Roman" w:cs="Times New Roman"/>
          <w:sz w:val="21"/>
        </w:rPr>
        <w:t>Tabla 8. Detectabilidad de YOLOv8n por método (suma sobre 20 imágenes; inferencia en GPU).</w:t>
      </w:r>
    </w:p>
    <w:p>
      <w:pPr>
        <w:pStyle w:val="Normal"/>
        <w:spacing w:lineRule="auto" w:line="276" w:before="0" w:after="40"/>
        <w:jc w:val="both"/>
        <w:rPr/>
      </w:pPr>
      <w:r>
        <w:rPr>
          <w:rFonts w:eastAsia="Times New Roman" w:cs="Times New Roman"/>
          <w:sz w:val="21"/>
        </w:rPr>
        <w:t>Tabla 8b.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9. Propuesta Novedosa frente al método anterior y a los baselines — medias sobre 20 pares (n = 20).</w:t>
      </w:r>
    </w:p>
    <w:p>
      <w:pPr>
        <w:pStyle w:val="Normal"/>
        <w:spacing w:lineRule="auto" w:line="276" w:before="0" w:after="40"/>
        <w:jc w:val="both"/>
        <w:rPr/>
      </w:pPr>
      <w:r>
        <w:rPr>
          <w:rFonts w:eastAsia="Times New Roman" w:cs="Times New Roman"/>
          <w:sz w:val="21"/>
        </w:rPr>
        <w:t>Tabla 10. Sensibilidad al radio r de la Propuesta Novedosa (tres escenas representativas).</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confrontadas por máximo con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propia se emplea la Torre Top-Hat, descomposición multiescala iterativa de radio creciente desarrollada en la primera etapa de esta investigación, que aquí se denomina método anterior.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el método anterior (Torre Top-Hat) y con baselines clásicos,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el método anterior (Torre Top-Hat) y los baselines clásicos (promedio, pirámide de Laplace y curvelet)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del método anterior (Torre Top-Hat) y de los baselines clásicos,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el método anterior (Torre Top-Hat) y los baselines de promedio, pirámide de Laplace y curvelet,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confrontadas por máximo con la del disco— mejora la fidelidad estructural (SSIM) y reduce los artefactos (Nabf) frente al método anterior (Torre Top-Hat). H2: la optimización automática de los hiperparámetros (r, m) por PSO, con una función de aptitud orientada a la fusión, alcanza un perfil de calidad superior al de la parametrización manual del método anterior. H3: una mejor calidad de fusión se traduce en un mejor desempeño de detección de objetos (mAP) que el de las modalidades individuales. Las hipótesis H1 y H2 se contrastan en las secciones 5.4 y 5.8; H3 se somete a prueba en la sección 5.7.1.</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WTH_M, WTHS_M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máx(líneas,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2024):</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Torre Top-Hat (método anterior)</w:t>
      </w:r>
    </w:p>
    <w:p>
      <w:pPr>
        <w:pStyle w:val="Normal"/>
        <w:spacing w:lineRule="auto" w:line="360" w:before="0" w:after="160"/>
        <w:ind w:firstLine="709"/>
        <w:jc w:val="both"/>
        <w:rPr/>
      </w:pPr>
      <w:r>
        <w:rPr>
          <w:rFonts w:eastAsia="Times New Roman" w:cs="Times New Roman"/>
        </w:rPr>
        <w:t>Sobre la transformada Top-Hat de una sola escala, esta tesis desarrolló inicialmente una descomposición multiescala iterativa, la Torre Top-Hat, que en este trabajo constituye el método anterior o base de comparación.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sSub>
                  <m:e>
                    <m:r>
                      <m:t xml:space="preserve">I</m:t>
                    </m:r>
                  </m:e>
                  <m:sub>
                    <m:r>
                      <m:rPr>
                        <m:lit/>
                        <m:nor/>
                      </m:rPr>
                      <m:t xml:space="preserve">base</m:t>
                    </m:r>
                  </m:sub>
                </m:sSub>
                <m:r>
                  <m:rPr>
                    <m:lit/>
                    <m:nor/>
                  </m:rPr>
                  <m:t xml:space="preserve">+</m:t>
                </m:r>
                <m:nary>
                  <m:naryPr>
                    <m:chr m:val="∑"/>
                    <m:supHide m:val="1"/>
                  </m:naryPr>
                  <m:sub>
                    <m:r>
                      <m:t xml:space="preserve">k</m:t>
                    </m:r>
                  </m:sub>
                  <m:sup/>
                  <m:e>
                    <m:sSubSup>
                      <m:e>
                        <m:r>
                          <m:t xml:space="preserve">WTH</m:t>
                        </m:r>
                      </m:e>
                      <m:sub>
                        <m:r>
                          <m:t xml:space="preserve">k</m:t>
                        </m:r>
                      </m:sub>
                      <m:sup>
                        <m:r>
                          <m:t xml:space="preserve">fus</m:t>
                        </m:r>
                      </m:sup>
                    </m:sSubSup>
                  </m:e>
                </m:nary>
                <m:r>
                  <m:t xml:space="preserve">−</m:t>
                </m:r>
                <m:nary>
                  <m:naryPr>
                    <m:chr m:val="∑"/>
                    <m:supHide m:val="1"/>
                  </m:naryPr>
                  <m:sub>
                    <m:r>
                      <m:t xml:space="preserve">k</m:t>
                    </m:r>
                  </m:sub>
                  <m:sup/>
                  <m:e>
                    <m:sSubSup>
                      <m:e>
                        <m:r>
                          <m:t xml:space="preserve">BTH</m:t>
                        </m:r>
                      </m:e>
                      <m:sub>
                        <m:r>
                          <m:t xml:space="preserve">k</m:t>
                        </m:r>
                      </m:sub>
                      <m:sup>
                        <m:r>
                          <m:t xml:space="preserve">fus</m:t>
                        </m:r>
                      </m:sup>
                    </m:sSubSup>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pStyle w:val="Normal"/>
        <w:spacing w:lineRule="auto" w:line="276" w:before="200" w:after="80"/>
        <w:jc w:val="center"/>
        <w:rPr/>
      </w:pPr>
      <w:r>
        <w:rPr/>
        <w:drawing>
          <wp:inline distT="0" distB="0" distL="0" distR="0">
            <wp:extent cx="4953000" cy="3219450"/>
            <wp:effectExtent l="0" t="0" r="0" b="0"/>
            <wp:docPr id="3" name="fig_esquema_torre_tophat.png" descr="Figura 1. Esquema conceptual de la Torre Top-Hat pro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esquema_torre_tophat.png" descr="Figura 1. Esquema conceptual de la Torre Top-Hat propuest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Torre Top-Hat (método anterior).</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Torre Top-Hat (método anterior) —que emplea un único disco y reglas de selección ajustadas a mano—,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combinados por máximo por píxel.</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máximo. </w:t>
      </w:r>
      <w:r>
        <w:rPr>
          <w:rFonts w:eastAsia="Times New Roman" w:cs="Times New Roman"/>
        </w:rPr>
        <w:t xml:space="preserve">A diferencia de Bala et al., que suman la respuesta lineal y la del disco, la propuesta las combina tomando el máximo por píxel: en cada punto se conserva la respuesta más fuerte, provenga de una estructura orientada o isótropa.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r>
                  <m:rPr>
                    <m:nor/>
                  </m:rPr>
                  <m:t>max</m:t>
                </m:r>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r>
                  <m:rPr>
                    <m:nor/>
                  </m:rPr>
                  <m:t>max</m:t>
                </m:r>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máximo frente al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implementación emplea 30 partículas durante 50 iteraciones,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12</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enjambre convergió de forma estable al óptimo r = 12 y m = 0,127, configuración con la que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máximo frente al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30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12];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12; m = 0,127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Algoritmos de referencia (baselines)</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tres baselines:</w:t>
      </w:r>
    </w:p>
    <w:p>
      <w:pPr>
        <w:pStyle w:val="Normal"/>
        <w:spacing w:lineRule="auto" w:line="276"/>
        <w:jc w:val="start"/>
        <w:rPr/>
      </w:pPr>
      <w:r>
        <w:rPr>
          <w:rFonts w:eastAsia="Times New Roman" w:cs="Times New Roman"/>
          <w:i/>
          <w:sz w:val="18"/>
        </w:rPr>
        <w:t>Tabla 3. Algoritmos de referencia utilizados como línea base.</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Promedio simple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0,5·I_VIS + 0,5·I_IR; cota inferior de complejidad y desempeño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máximo</w:t>
      </w:r>
    </w:p>
    <w:p>
      <w:pPr>
        <w:pStyle w:val="Normal"/>
        <w:spacing w:lineRule="auto" w:line="360"/>
        <w:ind w:firstLine="709"/>
        <w:jc w:val="both"/>
        <w:rPr/>
      </w:pPr>
      <w:r>
        <w:rPr>
          <w:rFonts w:eastAsia="Times New Roman" w:cs="Times New Roman"/>
        </w:rPr>
        <w:t>Regla que, dadas varias transformadas Top-Hat obtenidas con distintos elementos estructurantes sobre la misma imagen, conserva en cada píxel el valor máximo. Selecciona localmente el SE que mejor capta el detalle, sin privilegiar a priori ninguna geometría ni orientación.</w:t>
      </w:r>
    </w:p>
    <w:p>
      <w:pPr>
        <w:pStyle w:val="Heading2"/>
        <w:jc w:val="start"/>
        <w:rPr/>
      </w:pPr>
      <w:r>
        <w:rPr>
          <w:rFonts w:eastAsia="Times New Roman" w:cs="Times New Roman"/>
          <w:b/>
          <w:color w:val="000000"/>
          <w:sz w:val="24"/>
        </w:rPr>
        <w:t>3.13 Descomposición multiescala en cascada</w:t>
      </w:r>
    </w:p>
    <w:p>
      <w:pPr>
        <w:pStyle w:val="Normal"/>
        <w:spacing w:lineRule="auto" w:line="360"/>
        <w:ind w:firstLine="709"/>
        <w:jc w:val="both"/>
        <w:rPr/>
      </w:pPr>
      <w:r>
        <w:rPr>
          <w:rFonts w:eastAsia="Times New Roman" w:cs="Times New Roman"/>
        </w:rPr>
        <w:t xml:space="preserve">Esquema que evalúa la Top-Hat en escalas crecientes (radios r_i = r·i) y calcula diferencias entre escalas consecutivas (WTHS_i, BTHS_i) para separar el detalle fino del grueso, agregando después cada familia por máximo. Es una técnica clásica de descomposición multiescala; la Propuesta Novedosa de esta tesis no la emplea, pues opera sobre una sola escala.</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factorial 3 × 4 × 3 sobre el método anterior (Torre Top-Hat)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 (las cuatro métricas complementarias del review —FMI, Q0, QW y QE— se reportan de forma descriptiva en la Tabla 5b). La propuesta central, la Propuesta Novedosa, se evalúa de forma específica: sus dos hiperparámetros (el radio r del banco de elementos estructurantes y el peso de contraste m) se ajustan mediante PSO (30 partículas × 50 iteraciones) maximizando una aptitud orientada a la fusión evaluada sobre un subconjunto de tres escenas representativas, y la configuración óptima resultante se compara con el método anterior y los baselines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Tipo de SE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Geometría del elemento estructurante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disco, cuadrado, cruz</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Niveles (L)</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Profundidad de la torre Top-Hat</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2, 3, 4, 5</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Radio base (r₀)</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Radio del SE en el primer nivel</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2, 3, 5 píxeles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11 métodos (§4.3) + Propuesta Novedosa</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1–12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5.7.1)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80" w:type="dxa"/>
          <w:start w:w="120" w:type="dxa"/>
          <w:bottom w:w="80" w:type="dxa"/>
          <w:end w:w="120" w:type="dxa"/>
        </w:tblCellMar>
      </w:tblPr>
      <w:tblGrid>
        <w:gridCol w:w="2398"/>
        <w:gridCol w:w="1161"/>
        <w:gridCol w:w="1161"/>
        <w:gridCol w:w="1159"/>
        <w:gridCol w:w="1160"/>
        <w:gridCol w:w="1162"/>
        <w:gridCol w:w="1159"/>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Método</w:t>
            </w:r>
          </w:p>
        </w:tc>
        <w:tc>
          <w:tcPr>
            <w:tcW w:w="11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EN</w:t>
            </w:r>
          </w:p>
        </w:tc>
        <w:tc>
          <w:tcPr>
            <w:tcW w:w="11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SD</w:t>
            </w:r>
          </w:p>
        </w:tc>
        <w:tc>
          <w:tcPr>
            <w:tcW w:w="115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FE</w:t>
            </w:r>
          </w:p>
        </w:tc>
        <w:tc>
          <w:tcPr>
            <w:tcW w:w="116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MG</w:t>
            </w:r>
          </w:p>
        </w:tc>
        <w:tc>
          <w:tcPr>
            <w:tcW w:w="11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MI_vis</w:t>
            </w:r>
          </w:p>
        </w:tc>
        <w:tc>
          <w:tcPr>
            <w:tcW w:w="115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MI_ir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Promedio</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6.5178</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0.1092</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1.0290</w:t>
            </w:r>
          </w:p>
        </w:tc>
        <w:tc>
          <w:tcPr>
            <w:tcW w:w="116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0.0144</w:t>
            </w:r>
          </w:p>
        </w:tc>
        <w:tc>
          <w:tcPr>
            <w:tcW w:w="11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1.5119</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1.0637</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Pirámide Laplace</w:t>
            </w:r>
          </w:p>
        </w:tc>
        <w:tc>
          <w:tcPr>
            <w:tcW w:w="11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6.8350</w:t>
            </w:r>
          </w:p>
        </w:tc>
        <w:tc>
          <w:tcPr>
            <w:tcW w:w="11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0.1548</w:t>
            </w:r>
          </w:p>
        </w:tc>
        <w:tc>
          <w:tcPr>
            <w:tcW w:w="115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1.0792</w:t>
            </w:r>
          </w:p>
        </w:tc>
        <w:tc>
          <w:tcPr>
            <w:tcW w:w="116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0.0248</w:t>
            </w:r>
          </w:p>
        </w:tc>
        <w:tc>
          <w:tcPr>
            <w:tcW w:w="11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2.1183</w:t>
            </w:r>
          </w:p>
        </w:tc>
        <w:tc>
          <w:tcPr>
            <w:tcW w:w="115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1.0717</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Curvelet</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6.6645</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0.1167</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1.0529</w:t>
            </w:r>
          </w:p>
        </w:tc>
        <w:tc>
          <w:tcPr>
            <w:tcW w:w="116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0.0256</w:t>
            </w:r>
          </w:p>
        </w:tc>
        <w:tc>
          <w:tcPr>
            <w:tcW w:w="11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1.3038</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0.8843</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Top-Hat disco L3 (WTH)</w:t>
            </w:r>
          </w:p>
        </w:tc>
        <w:tc>
          <w:tcPr>
            <w:tcW w:w="11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6.6765</w:t>
            </w:r>
          </w:p>
        </w:tc>
        <w:tc>
          <w:tcPr>
            <w:tcW w:w="11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0.1197</w:t>
            </w:r>
          </w:p>
        </w:tc>
        <w:tc>
          <w:tcPr>
            <w:tcW w:w="115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1.0546</w:t>
            </w:r>
          </w:p>
        </w:tc>
        <w:tc>
          <w:tcPr>
            <w:tcW w:w="116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0.0230</w:t>
            </w:r>
          </w:p>
        </w:tc>
        <w:tc>
          <w:tcPr>
            <w:tcW w:w="11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1.3954</w:t>
            </w:r>
          </w:p>
        </w:tc>
        <w:tc>
          <w:tcPr>
            <w:tcW w:w="115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0.9182</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Top-Hat cuadrado L3 (WTH)</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6.6901</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0.1209</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1.0568</w:t>
            </w:r>
          </w:p>
        </w:tc>
        <w:tc>
          <w:tcPr>
            <w:tcW w:w="116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0.0231</w:t>
            </w:r>
          </w:p>
        </w:tc>
        <w:tc>
          <w:tcPr>
            <w:tcW w:w="11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1.3906</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0.9145</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Top-Hat cruz L3 (WTH)</w:t>
            </w:r>
          </w:p>
        </w:tc>
        <w:tc>
          <w:tcPr>
            <w:tcW w:w="11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6.6632</w:t>
            </w:r>
          </w:p>
        </w:tc>
        <w:tc>
          <w:tcPr>
            <w:tcW w:w="11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0.1187</w:t>
            </w:r>
          </w:p>
        </w:tc>
        <w:tc>
          <w:tcPr>
            <w:tcW w:w="115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1.0525</w:t>
            </w:r>
          </w:p>
        </w:tc>
        <w:tc>
          <w:tcPr>
            <w:tcW w:w="116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0.0226</w:t>
            </w:r>
          </w:p>
        </w:tc>
        <w:tc>
          <w:tcPr>
            <w:tcW w:w="11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1.3830</w:t>
            </w:r>
          </w:p>
        </w:tc>
        <w:tc>
          <w:tcPr>
            <w:tcW w:w="115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0.9381</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Top-Hat disco L5 (WTH)</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6.7217</w:t>
            </w:r>
          </w:p>
        </w:tc>
        <w:tc>
          <w:tcPr>
            <w:tcW w:w="11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0.1246</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1.0618</w:t>
            </w:r>
          </w:p>
        </w:tc>
        <w:tc>
          <w:tcPr>
            <w:tcW w:w="116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0.0235</w:t>
            </w:r>
          </w:p>
        </w:tc>
        <w:tc>
          <w:tcPr>
            <w:tcW w:w="11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1.3628</w:t>
            </w:r>
          </w:p>
        </w:tc>
        <w:tc>
          <w:tcPr>
            <w:tcW w:w="115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0.9140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Top-Hat disco L3 +BTH</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6.9721</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0.1430</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1.1022</w:t>
            </w:r>
          </w:p>
        </w:tc>
        <w:tc>
          <w:tcPr>
            <w:tcW w:w="116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0.0444</w:t>
            </w:r>
          </w:p>
        </w:tc>
        <w:tc>
          <w:tcPr>
            <w:tcW w:w="11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0.8758</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0.6181</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Top-Hat cuadrado L3 +BTH</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6.9970</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0.1459</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1.1062</w:t>
            </w:r>
          </w:p>
        </w:tc>
        <w:tc>
          <w:tcPr>
            <w:tcW w:w="116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0.0440</w:t>
            </w:r>
          </w:p>
        </w:tc>
        <w:tc>
          <w:tcPr>
            <w:tcW w:w="11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0.8578</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0.6123</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Top-Hat cruz L3 +BTH</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6.9762</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0.1433</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1.1031</w:t>
            </w:r>
          </w:p>
        </w:tc>
        <w:tc>
          <w:tcPr>
            <w:tcW w:w="116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0.0444</w:t>
            </w:r>
          </w:p>
        </w:tc>
        <w:tc>
          <w:tcPr>
            <w:tcW w:w="11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0.8859</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0.6336</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Top-Hat disco L5 +BTH</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7.1065</w:t>
            </w:r>
          </w:p>
        </w:tc>
        <w:tc>
          <w:tcPr>
            <w:tcW w:w="11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0.1610</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1.1240</w:t>
            </w:r>
          </w:p>
        </w:tc>
        <w:tc>
          <w:tcPr>
            <w:tcW w:w="116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0.0473</w:t>
            </w:r>
          </w:p>
        </w:tc>
        <w:tc>
          <w:tcPr>
            <w:tcW w:w="11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0.7729</w:t>
            </w:r>
          </w:p>
        </w:tc>
        <w:tc>
          <w:tcPr>
            <w:tcW w:w="115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0.5949</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1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300"/>
        <w:gridCol w:w="1299"/>
        <w:gridCol w:w="1301"/>
        <w:gridCol w:w="1299"/>
        <w:gridCol w:w="1302"/>
        <w:gridCol w:w="1298"/>
        <w:gridCol w:w="1301"/>
      </w:tblGrid>
      <w:tr>
        <w:trPr/>
        <w:tc>
          <w:tcPr>
            <w:tcW w:w="1300" w:type="dxa"/>
            <w:tcBorders/>
          </w:tcPr>
          <w:p>
            <w:pPr>
              <w:pStyle w:val="Normal"/>
              <w:widowControl w:val="false"/>
              <w:spacing w:lineRule="auto" w:line="276" w:before="0" w:after="120"/>
              <w:rPr/>
            </w:pPr>
            <w:r>
              <w:rPr>
                <w:rFonts w:eastAsia="Times New Roman" w:cs="Times New Roman"/>
                <w:b/>
              </w:rPr>
              <w:t>Método</w:t>
            </w:r>
          </w:p>
        </w:tc>
        <w:tc>
          <w:tcPr>
            <w:tcW w:w="1299" w:type="dxa"/>
            <w:tcBorders/>
          </w:tcPr>
          <w:p>
            <w:pPr>
              <w:pStyle w:val="Normal"/>
              <w:widowControl w:val="false"/>
              <w:spacing w:lineRule="auto" w:line="276" w:before="0" w:after="120"/>
              <w:rPr/>
            </w:pPr>
            <w:r>
              <w:rPr>
                <w:rFonts w:eastAsia="Times New Roman" w:cs="Times New Roman"/>
                <w:b/>
              </w:rPr>
              <w:t>SF</w:t>
            </w:r>
          </w:p>
        </w:tc>
        <w:tc>
          <w:tcPr>
            <w:tcW w:w="1301" w:type="dxa"/>
            <w:tcBorders/>
          </w:tcPr>
          <w:p>
            <w:pPr>
              <w:pStyle w:val="Normal"/>
              <w:widowControl w:val="false"/>
              <w:spacing w:lineRule="auto" w:line="276" w:before="0" w:after="120"/>
              <w:rPr/>
            </w:pPr>
            <w:r>
              <w:rPr>
                <w:rFonts w:eastAsia="Times New Roman" w:cs="Times New Roman"/>
                <w:b/>
              </w:rPr>
              <w:t>Qabf</w:t>
            </w:r>
          </w:p>
        </w:tc>
        <w:tc>
          <w:tcPr>
            <w:tcW w:w="1299" w:type="dxa"/>
            <w:tcBorders/>
          </w:tcPr>
          <w:p>
            <w:pPr>
              <w:pStyle w:val="Normal"/>
              <w:widowControl w:val="false"/>
              <w:spacing w:lineRule="auto" w:line="276" w:before="0" w:after="120"/>
              <w:rPr/>
            </w:pPr>
            <w:r>
              <w:rPr>
                <w:rFonts w:eastAsia="Times New Roman" w:cs="Times New Roman"/>
                <w:b/>
              </w:rPr>
              <w:t>Nabf</w:t>
            </w:r>
          </w:p>
        </w:tc>
        <w:tc>
          <w:tcPr>
            <w:tcW w:w="1302" w:type="dxa"/>
            <w:tcBorders/>
          </w:tcPr>
          <w:p>
            <w:pPr>
              <w:pStyle w:val="Normal"/>
              <w:widowControl w:val="false"/>
              <w:spacing w:lineRule="auto" w:line="276" w:before="0" w:after="120"/>
              <w:rPr/>
            </w:pPr>
            <w:r>
              <w:rPr>
                <w:rFonts w:eastAsia="Times New Roman" w:cs="Times New Roman"/>
                <w:b/>
              </w:rPr>
              <w:t>SSIM</w:t>
            </w:r>
          </w:p>
        </w:tc>
        <w:tc>
          <w:tcPr>
            <w:tcW w:w="1298" w:type="dxa"/>
            <w:tcBorders/>
          </w:tcPr>
          <w:p>
            <w:pPr>
              <w:pStyle w:val="Normal"/>
              <w:widowControl w:val="false"/>
              <w:spacing w:lineRule="auto" w:line="276" w:before="0" w:after="120"/>
              <w:rPr/>
            </w:pPr>
            <w:r>
              <w:rPr>
                <w:rFonts w:eastAsia="Times New Roman" w:cs="Times New Roman"/>
                <w:b/>
              </w:rPr>
              <w:t>SCD</w:t>
            </w:r>
          </w:p>
        </w:tc>
        <w:tc>
          <w:tcPr>
            <w:tcW w:w="1301" w:type="dxa"/>
            <w:tcBorders/>
          </w:tcPr>
          <w:p>
            <w:pPr>
              <w:pStyle w:val="Normal"/>
              <w:widowControl w:val="false"/>
              <w:spacing w:lineRule="auto" w:line="276" w:before="0" w:after="120"/>
              <w:rPr/>
            </w:pPr>
            <w:r>
              <w:rPr>
                <w:rFonts w:eastAsia="Times New Roman" w:cs="Times New Roman"/>
                <w:b/>
              </w:rPr>
              <w:t>VIF</w:t>
            </w:r>
          </w:p>
        </w:tc>
      </w:tr>
      <w:tr>
        <w:trPr/>
        <w:tc>
          <w:tcPr>
            <w:tcW w:w="1300" w:type="dxa"/>
            <w:tcBorders/>
          </w:tcPr>
          <w:p>
            <w:pPr>
              <w:pStyle w:val="Normal"/>
              <w:widowControl w:val="false"/>
              <w:spacing w:lineRule="auto" w:line="276" w:before="0" w:after="120"/>
              <w:rPr/>
            </w:pPr>
            <w:r>
              <w:rPr>
                <w:rFonts w:eastAsia="Times New Roman" w:cs="Times New Roman"/>
              </w:rPr>
              <w:t>Promedio</w:t>
            </w:r>
          </w:p>
        </w:tc>
        <w:tc>
          <w:tcPr>
            <w:tcW w:w="1299" w:type="dxa"/>
            <w:tcBorders/>
          </w:tcPr>
          <w:p>
            <w:pPr>
              <w:pStyle w:val="Normal"/>
              <w:widowControl w:val="false"/>
              <w:spacing w:lineRule="auto" w:line="276" w:before="0" w:after="120"/>
              <w:rPr/>
            </w:pPr>
            <w:r>
              <w:rPr>
                <w:rFonts w:eastAsia="Times New Roman" w:cs="Times New Roman"/>
              </w:rPr>
              <w:t>7.1120</w:t>
            </w:r>
          </w:p>
        </w:tc>
        <w:tc>
          <w:tcPr>
            <w:tcW w:w="1301" w:type="dxa"/>
            <w:tcBorders/>
          </w:tcPr>
          <w:p>
            <w:pPr>
              <w:pStyle w:val="Normal"/>
              <w:widowControl w:val="false"/>
              <w:spacing w:lineRule="auto" w:line="276" w:before="0" w:after="120"/>
              <w:rPr/>
            </w:pPr>
            <w:r>
              <w:rPr>
                <w:rFonts w:eastAsia="Times New Roman" w:cs="Times New Roman"/>
              </w:rPr>
              <w:t>0.3098</w:t>
            </w:r>
          </w:p>
        </w:tc>
        <w:tc>
          <w:tcPr>
            <w:tcW w:w="1299" w:type="dxa"/>
            <w:tcBorders/>
          </w:tcPr>
          <w:p>
            <w:pPr>
              <w:pStyle w:val="Normal"/>
              <w:widowControl w:val="false"/>
              <w:spacing w:lineRule="auto" w:line="276" w:before="0" w:after="120"/>
              <w:rPr/>
            </w:pPr>
            <w:r>
              <w:rPr>
                <w:rFonts w:eastAsia="Times New Roman" w:cs="Times New Roman"/>
              </w:rPr>
              <w:t>0.0000</w:t>
            </w:r>
          </w:p>
        </w:tc>
        <w:tc>
          <w:tcPr>
            <w:tcW w:w="1302" w:type="dxa"/>
            <w:tcBorders/>
          </w:tcPr>
          <w:p>
            <w:pPr>
              <w:pStyle w:val="Normal"/>
              <w:widowControl w:val="false"/>
              <w:spacing w:lineRule="auto" w:line="276" w:before="0" w:after="120"/>
              <w:rPr/>
            </w:pPr>
            <w:r>
              <w:rPr>
                <w:rFonts w:eastAsia="Times New Roman" w:cs="Times New Roman"/>
              </w:rPr>
              <w:t>0.7921</w:t>
            </w:r>
          </w:p>
        </w:tc>
        <w:tc>
          <w:tcPr>
            <w:tcW w:w="1298" w:type="dxa"/>
            <w:tcBorders/>
          </w:tcPr>
          <w:p>
            <w:pPr>
              <w:pStyle w:val="Normal"/>
              <w:widowControl w:val="false"/>
              <w:spacing w:lineRule="auto" w:line="276" w:before="0" w:after="120"/>
              <w:rPr/>
            </w:pPr>
            <w:r>
              <w:rPr>
                <w:rFonts w:eastAsia="Times New Roman" w:cs="Times New Roman"/>
              </w:rPr>
              <w:t>1.3247</w:t>
            </w:r>
          </w:p>
        </w:tc>
        <w:tc>
          <w:tcPr>
            <w:tcW w:w="1301" w:type="dxa"/>
            <w:tcBorders/>
          </w:tcPr>
          <w:p>
            <w:pPr>
              <w:pStyle w:val="Normal"/>
              <w:widowControl w:val="false"/>
              <w:spacing w:lineRule="auto" w:line="276" w:before="0" w:after="120"/>
              <w:rPr/>
            </w:pPr>
            <w:r>
              <w:rPr>
                <w:rFonts w:eastAsia="Times New Roman" w:cs="Times New Roman"/>
              </w:rPr>
              <w:t>0.3305</w:t>
            </w:r>
          </w:p>
        </w:tc>
      </w:tr>
      <w:tr>
        <w:trPr/>
        <w:tc>
          <w:tcPr>
            <w:tcW w:w="1300" w:type="dxa"/>
            <w:tcBorders/>
          </w:tcPr>
          <w:p>
            <w:pPr>
              <w:pStyle w:val="Normal"/>
              <w:widowControl w:val="false"/>
              <w:spacing w:lineRule="auto" w:line="276" w:before="0" w:after="120"/>
              <w:rPr/>
            </w:pPr>
            <w:r>
              <w:rPr>
                <w:rFonts w:eastAsia="Times New Roman" w:cs="Times New Roman"/>
              </w:rPr>
              <w:t>Pirámide Laplace</w:t>
            </w:r>
          </w:p>
        </w:tc>
        <w:tc>
          <w:tcPr>
            <w:tcW w:w="1299" w:type="dxa"/>
            <w:tcBorders/>
          </w:tcPr>
          <w:p>
            <w:pPr>
              <w:pStyle w:val="Normal"/>
              <w:widowControl w:val="false"/>
              <w:spacing w:lineRule="auto" w:line="276" w:before="0" w:after="120"/>
              <w:rPr/>
            </w:pPr>
            <w:r>
              <w:rPr>
                <w:rFonts w:eastAsia="Times New Roman" w:cs="Times New Roman"/>
              </w:rPr>
              <w:t>13.0400</w:t>
            </w:r>
          </w:p>
        </w:tc>
        <w:tc>
          <w:tcPr>
            <w:tcW w:w="1301" w:type="dxa"/>
            <w:tcBorders/>
          </w:tcPr>
          <w:p>
            <w:pPr>
              <w:pStyle w:val="Normal"/>
              <w:widowControl w:val="false"/>
              <w:spacing w:lineRule="auto" w:line="276" w:before="0" w:after="120"/>
              <w:rPr/>
            </w:pPr>
            <w:r>
              <w:rPr>
                <w:rFonts w:eastAsia="Times New Roman" w:cs="Times New Roman"/>
              </w:rPr>
              <w:t>0.4419</w:t>
            </w:r>
          </w:p>
        </w:tc>
        <w:tc>
          <w:tcPr>
            <w:tcW w:w="1299" w:type="dxa"/>
            <w:tcBorders/>
          </w:tcPr>
          <w:p>
            <w:pPr>
              <w:pStyle w:val="Normal"/>
              <w:widowControl w:val="false"/>
              <w:spacing w:lineRule="auto" w:line="276" w:before="0" w:after="120"/>
              <w:rPr/>
            </w:pPr>
            <w:r>
              <w:rPr>
                <w:rFonts w:eastAsia="Times New Roman" w:cs="Times New Roman"/>
              </w:rPr>
              <w:t>0.1080</w:t>
            </w:r>
          </w:p>
        </w:tc>
        <w:tc>
          <w:tcPr>
            <w:tcW w:w="1302" w:type="dxa"/>
            <w:tcBorders/>
          </w:tcPr>
          <w:p>
            <w:pPr>
              <w:pStyle w:val="Normal"/>
              <w:widowControl w:val="false"/>
              <w:spacing w:lineRule="auto" w:line="276" w:before="0" w:after="120"/>
              <w:rPr/>
            </w:pPr>
            <w:r>
              <w:rPr>
                <w:rFonts w:eastAsia="Times New Roman" w:cs="Times New Roman"/>
              </w:rPr>
              <w:t>0.7208</w:t>
            </w:r>
          </w:p>
        </w:tc>
        <w:tc>
          <w:tcPr>
            <w:tcW w:w="1298" w:type="dxa"/>
            <w:tcBorders/>
          </w:tcPr>
          <w:p>
            <w:pPr>
              <w:pStyle w:val="Normal"/>
              <w:widowControl w:val="false"/>
              <w:spacing w:lineRule="auto" w:line="276" w:before="0" w:after="120"/>
              <w:rPr/>
            </w:pPr>
            <w:r>
              <w:rPr>
                <w:rFonts w:eastAsia="Times New Roman" w:cs="Times New Roman"/>
              </w:rPr>
              <w:t>1.3217</w:t>
            </w:r>
          </w:p>
        </w:tc>
        <w:tc>
          <w:tcPr>
            <w:tcW w:w="1301" w:type="dxa"/>
            <w:tcBorders/>
          </w:tcPr>
          <w:p>
            <w:pPr>
              <w:pStyle w:val="Normal"/>
              <w:widowControl w:val="false"/>
              <w:spacing w:lineRule="auto" w:line="276" w:before="0" w:after="120"/>
              <w:rPr/>
            </w:pPr>
            <w:r>
              <w:rPr>
                <w:rFonts w:eastAsia="Times New Roman" w:cs="Times New Roman"/>
              </w:rPr>
              <w:t>0.4101</w:t>
            </w:r>
          </w:p>
        </w:tc>
      </w:tr>
      <w:tr>
        <w:trPr/>
        <w:tc>
          <w:tcPr>
            <w:tcW w:w="1300" w:type="dxa"/>
            <w:tcBorders/>
          </w:tcPr>
          <w:p>
            <w:pPr>
              <w:pStyle w:val="Normal"/>
              <w:widowControl w:val="false"/>
              <w:spacing w:lineRule="auto" w:line="276" w:before="0" w:after="120"/>
              <w:rPr/>
            </w:pPr>
            <w:r>
              <w:rPr>
                <w:rFonts w:eastAsia="Times New Roman" w:cs="Times New Roman"/>
              </w:rPr>
              <w:t>Curvelet</w:t>
            </w:r>
          </w:p>
        </w:tc>
        <w:tc>
          <w:tcPr>
            <w:tcW w:w="1299" w:type="dxa"/>
            <w:tcBorders/>
          </w:tcPr>
          <w:p>
            <w:pPr>
              <w:pStyle w:val="Normal"/>
              <w:widowControl w:val="false"/>
              <w:spacing w:lineRule="auto" w:line="276" w:before="0" w:after="120"/>
              <w:rPr/>
            </w:pPr>
            <w:r>
              <w:rPr>
                <w:rFonts w:eastAsia="Times New Roman" w:cs="Times New Roman"/>
              </w:rPr>
              <w:t>13.1510</w:t>
            </w:r>
          </w:p>
        </w:tc>
        <w:tc>
          <w:tcPr>
            <w:tcW w:w="1301" w:type="dxa"/>
            <w:tcBorders/>
          </w:tcPr>
          <w:p>
            <w:pPr>
              <w:pStyle w:val="Normal"/>
              <w:widowControl w:val="false"/>
              <w:spacing w:lineRule="auto" w:line="276" w:before="0" w:after="120"/>
              <w:rPr/>
            </w:pPr>
            <w:r>
              <w:rPr>
                <w:rFonts w:eastAsia="Times New Roman" w:cs="Times New Roman"/>
              </w:rPr>
              <w:t>0.4762</w:t>
            </w:r>
          </w:p>
        </w:tc>
        <w:tc>
          <w:tcPr>
            <w:tcW w:w="1299" w:type="dxa"/>
            <w:tcBorders/>
          </w:tcPr>
          <w:p>
            <w:pPr>
              <w:pStyle w:val="Normal"/>
              <w:widowControl w:val="false"/>
              <w:spacing w:lineRule="auto" w:line="276" w:before="0" w:after="120"/>
              <w:rPr/>
            </w:pPr>
            <w:r>
              <w:rPr>
                <w:rFonts w:eastAsia="Times New Roman" w:cs="Times New Roman"/>
              </w:rPr>
              <w:t>0.1915</w:t>
            </w:r>
          </w:p>
        </w:tc>
        <w:tc>
          <w:tcPr>
            <w:tcW w:w="1302" w:type="dxa"/>
            <w:tcBorders/>
          </w:tcPr>
          <w:p>
            <w:pPr>
              <w:pStyle w:val="Normal"/>
              <w:widowControl w:val="false"/>
              <w:spacing w:lineRule="auto" w:line="276" w:before="0" w:after="120"/>
              <w:rPr/>
            </w:pPr>
            <w:r>
              <w:rPr>
                <w:rFonts w:eastAsia="Times New Roman" w:cs="Times New Roman"/>
              </w:rPr>
              <w:t>0.7305</w:t>
            </w:r>
          </w:p>
        </w:tc>
        <w:tc>
          <w:tcPr>
            <w:tcW w:w="1298" w:type="dxa"/>
            <w:tcBorders/>
          </w:tcPr>
          <w:p>
            <w:pPr>
              <w:pStyle w:val="Normal"/>
              <w:widowControl w:val="false"/>
              <w:spacing w:lineRule="auto" w:line="276" w:before="0" w:after="120"/>
              <w:rPr/>
            </w:pPr>
            <w:r>
              <w:rPr>
                <w:rFonts w:eastAsia="Times New Roman" w:cs="Times New Roman"/>
              </w:rPr>
              <w:t>1.3208</w:t>
            </w:r>
          </w:p>
        </w:tc>
        <w:tc>
          <w:tcPr>
            <w:tcW w:w="1301" w:type="dxa"/>
            <w:tcBorders/>
          </w:tcPr>
          <w:p>
            <w:pPr>
              <w:pStyle w:val="Normal"/>
              <w:widowControl w:val="false"/>
              <w:spacing w:lineRule="auto" w:line="276" w:before="0" w:after="120"/>
              <w:rPr/>
            </w:pPr>
            <w:r>
              <w:rPr>
                <w:rFonts w:eastAsia="Times New Roman" w:cs="Times New Roman"/>
              </w:rPr>
              <w:t>0.3067</w:t>
            </w:r>
          </w:p>
        </w:tc>
      </w:tr>
      <w:tr>
        <w:trPr/>
        <w:tc>
          <w:tcPr>
            <w:tcW w:w="1300" w:type="dxa"/>
            <w:tcBorders/>
          </w:tcPr>
          <w:p>
            <w:pPr>
              <w:pStyle w:val="Normal"/>
              <w:widowControl w:val="false"/>
              <w:spacing w:lineRule="auto" w:line="276" w:before="0" w:after="120"/>
              <w:rPr/>
            </w:pPr>
            <w:r>
              <w:rPr>
                <w:rFonts w:eastAsia="Times New Roman" w:cs="Times New Roman"/>
              </w:rPr>
              <w:t>Top-Hat disco L3 (WTH)</w:t>
            </w:r>
          </w:p>
        </w:tc>
        <w:tc>
          <w:tcPr>
            <w:tcW w:w="1299" w:type="dxa"/>
            <w:tcBorders/>
          </w:tcPr>
          <w:p>
            <w:pPr>
              <w:pStyle w:val="Normal"/>
              <w:widowControl w:val="false"/>
              <w:spacing w:lineRule="auto" w:line="276" w:before="0" w:after="120"/>
              <w:rPr/>
            </w:pPr>
            <w:r>
              <w:rPr>
                <w:rFonts w:eastAsia="Times New Roman" w:cs="Times New Roman"/>
              </w:rPr>
              <w:t>11.6270</w:t>
            </w:r>
          </w:p>
        </w:tc>
        <w:tc>
          <w:tcPr>
            <w:tcW w:w="1301" w:type="dxa"/>
            <w:tcBorders/>
          </w:tcPr>
          <w:p>
            <w:pPr>
              <w:pStyle w:val="Normal"/>
              <w:widowControl w:val="false"/>
              <w:spacing w:lineRule="auto" w:line="276" w:before="0" w:after="120"/>
              <w:rPr/>
            </w:pPr>
            <w:r>
              <w:rPr>
                <w:rFonts w:eastAsia="Times New Roman" w:cs="Times New Roman"/>
              </w:rPr>
              <w:t>0.4559</w:t>
            </w:r>
          </w:p>
        </w:tc>
        <w:tc>
          <w:tcPr>
            <w:tcW w:w="1299" w:type="dxa"/>
            <w:tcBorders/>
          </w:tcPr>
          <w:p>
            <w:pPr>
              <w:pStyle w:val="Normal"/>
              <w:widowControl w:val="false"/>
              <w:spacing w:lineRule="auto" w:line="276" w:before="0" w:after="120"/>
              <w:rPr/>
            </w:pPr>
            <w:r>
              <w:rPr>
                <w:rFonts w:eastAsia="Times New Roman" w:cs="Times New Roman"/>
              </w:rPr>
              <w:t>0.1019</w:t>
            </w:r>
          </w:p>
        </w:tc>
        <w:tc>
          <w:tcPr>
            <w:tcW w:w="1302" w:type="dxa"/>
            <w:tcBorders/>
          </w:tcPr>
          <w:p>
            <w:pPr>
              <w:pStyle w:val="Normal"/>
              <w:widowControl w:val="false"/>
              <w:spacing w:lineRule="auto" w:line="276" w:before="0" w:after="120"/>
              <w:rPr/>
            </w:pPr>
            <w:r>
              <w:rPr>
                <w:rFonts w:eastAsia="Times New Roman" w:cs="Times New Roman"/>
              </w:rPr>
              <w:t>0.7441</w:t>
            </w:r>
          </w:p>
        </w:tc>
        <w:tc>
          <w:tcPr>
            <w:tcW w:w="1298" w:type="dxa"/>
            <w:tcBorders/>
          </w:tcPr>
          <w:p>
            <w:pPr>
              <w:pStyle w:val="Normal"/>
              <w:widowControl w:val="false"/>
              <w:spacing w:lineRule="auto" w:line="276" w:before="0" w:after="120"/>
              <w:rPr/>
            </w:pPr>
            <w:r>
              <w:rPr>
                <w:rFonts w:eastAsia="Times New Roman" w:cs="Times New Roman"/>
              </w:rPr>
              <w:t>1.3967</w:t>
            </w:r>
          </w:p>
        </w:tc>
        <w:tc>
          <w:tcPr>
            <w:tcW w:w="1301" w:type="dxa"/>
            <w:tcBorders/>
          </w:tcPr>
          <w:p>
            <w:pPr>
              <w:pStyle w:val="Normal"/>
              <w:widowControl w:val="false"/>
              <w:spacing w:lineRule="auto" w:line="276" w:before="0" w:after="120"/>
              <w:rPr/>
            </w:pPr>
            <w:r>
              <w:rPr>
                <w:rFonts w:eastAsia="Times New Roman" w:cs="Times New Roman"/>
              </w:rPr>
              <w:t>0.3523</w:t>
            </w:r>
          </w:p>
        </w:tc>
      </w:tr>
      <w:tr>
        <w:trPr/>
        <w:tc>
          <w:tcPr>
            <w:tcW w:w="1300" w:type="dxa"/>
            <w:tcBorders/>
          </w:tcPr>
          <w:p>
            <w:pPr>
              <w:pStyle w:val="Normal"/>
              <w:widowControl w:val="false"/>
              <w:spacing w:lineRule="auto" w:line="276" w:before="0" w:after="120"/>
              <w:rPr/>
            </w:pPr>
            <w:r>
              <w:rPr>
                <w:rFonts w:eastAsia="Times New Roman" w:cs="Times New Roman"/>
              </w:rPr>
              <w:t>Top-Hat cuadrado L3 (WTH)</w:t>
            </w:r>
          </w:p>
        </w:tc>
        <w:tc>
          <w:tcPr>
            <w:tcW w:w="1299" w:type="dxa"/>
            <w:tcBorders/>
          </w:tcPr>
          <w:p>
            <w:pPr>
              <w:pStyle w:val="Normal"/>
              <w:widowControl w:val="false"/>
              <w:spacing w:lineRule="auto" w:line="276" w:before="0" w:after="120"/>
              <w:rPr/>
            </w:pPr>
            <w:r>
              <w:rPr>
                <w:rFonts w:eastAsia="Times New Roman" w:cs="Times New Roman"/>
              </w:rPr>
              <w:t>11.5761</w:t>
            </w:r>
          </w:p>
        </w:tc>
        <w:tc>
          <w:tcPr>
            <w:tcW w:w="1301" w:type="dxa"/>
            <w:tcBorders/>
          </w:tcPr>
          <w:p>
            <w:pPr>
              <w:pStyle w:val="Normal"/>
              <w:widowControl w:val="false"/>
              <w:spacing w:lineRule="auto" w:line="276" w:before="0" w:after="120"/>
              <w:rPr/>
            </w:pPr>
            <w:r>
              <w:rPr>
                <w:rFonts w:eastAsia="Times New Roman" w:cs="Times New Roman"/>
              </w:rPr>
              <w:t>0.4392</w:t>
            </w:r>
          </w:p>
        </w:tc>
        <w:tc>
          <w:tcPr>
            <w:tcW w:w="1299" w:type="dxa"/>
            <w:tcBorders/>
          </w:tcPr>
          <w:p>
            <w:pPr>
              <w:pStyle w:val="Normal"/>
              <w:widowControl w:val="false"/>
              <w:spacing w:lineRule="auto" w:line="276" w:before="0" w:after="120"/>
              <w:rPr/>
            </w:pPr>
            <w:r>
              <w:rPr>
                <w:rFonts w:eastAsia="Times New Roman" w:cs="Times New Roman"/>
              </w:rPr>
              <w:t>0.1040</w:t>
            </w:r>
          </w:p>
        </w:tc>
        <w:tc>
          <w:tcPr>
            <w:tcW w:w="1302" w:type="dxa"/>
            <w:tcBorders/>
          </w:tcPr>
          <w:p>
            <w:pPr>
              <w:pStyle w:val="Normal"/>
              <w:widowControl w:val="false"/>
              <w:spacing w:lineRule="auto" w:line="276" w:before="0" w:after="120"/>
              <w:rPr/>
            </w:pPr>
            <w:r>
              <w:rPr>
                <w:rFonts w:eastAsia="Times New Roman" w:cs="Times New Roman"/>
              </w:rPr>
              <w:t>0.7414</w:t>
            </w:r>
          </w:p>
        </w:tc>
        <w:tc>
          <w:tcPr>
            <w:tcW w:w="1298" w:type="dxa"/>
            <w:tcBorders/>
          </w:tcPr>
          <w:p>
            <w:pPr>
              <w:pStyle w:val="Normal"/>
              <w:widowControl w:val="false"/>
              <w:spacing w:lineRule="auto" w:line="276" w:before="0" w:after="120"/>
              <w:rPr/>
            </w:pPr>
            <w:r>
              <w:rPr>
                <w:rFonts w:eastAsia="Times New Roman" w:cs="Times New Roman"/>
              </w:rPr>
              <w:t>1.4042</w:t>
            </w:r>
          </w:p>
        </w:tc>
        <w:tc>
          <w:tcPr>
            <w:tcW w:w="1301" w:type="dxa"/>
            <w:tcBorders/>
          </w:tcPr>
          <w:p>
            <w:pPr>
              <w:pStyle w:val="Normal"/>
              <w:widowControl w:val="false"/>
              <w:spacing w:lineRule="auto" w:line="276" w:before="0" w:after="120"/>
              <w:rPr/>
            </w:pPr>
            <w:r>
              <w:rPr>
                <w:rFonts w:eastAsia="Times New Roman" w:cs="Times New Roman"/>
              </w:rPr>
              <w:t>0.3528</w:t>
            </w:r>
          </w:p>
        </w:tc>
      </w:tr>
      <w:tr>
        <w:trPr/>
        <w:tc>
          <w:tcPr>
            <w:tcW w:w="1300" w:type="dxa"/>
            <w:tcBorders/>
          </w:tcPr>
          <w:p>
            <w:pPr>
              <w:pStyle w:val="Normal"/>
              <w:widowControl w:val="false"/>
              <w:spacing w:lineRule="auto" w:line="276" w:before="0" w:after="120"/>
              <w:rPr/>
            </w:pPr>
            <w:r>
              <w:rPr>
                <w:rFonts w:eastAsia="Times New Roman" w:cs="Times New Roman"/>
              </w:rPr>
              <w:t>Top-Hat cruz L3 (WTH)</w:t>
            </w:r>
          </w:p>
        </w:tc>
        <w:tc>
          <w:tcPr>
            <w:tcW w:w="1299" w:type="dxa"/>
            <w:tcBorders/>
          </w:tcPr>
          <w:p>
            <w:pPr>
              <w:pStyle w:val="Normal"/>
              <w:widowControl w:val="false"/>
              <w:spacing w:lineRule="auto" w:line="276" w:before="0" w:after="120"/>
              <w:rPr/>
            </w:pPr>
            <w:r>
              <w:rPr>
                <w:rFonts w:eastAsia="Times New Roman" w:cs="Times New Roman"/>
              </w:rPr>
              <w:t>11.4187</w:t>
            </w:r>
          </w:p>
        </w:tc>
        <w:tc>
          <w:tcPr>
            <w:tcW w:w="1301" w:type="dxa"/>
            <w:tcBorders/>
          </w:tcPr>
          <w:p>
            <w:pPr>
              <w:pStyle w:val="Normal"/>
              <w:widowControl w:val="false"/>
              <w:spacing w:lineRule="auto" w:line="276" w:before="0" w:after="120"/>
              <w:rPr/>
            </w:pPr>
            <w:r>
              <w:rPr>
                <w:rFonts w:eastAsia="Times New Roman" w:cs="Times New Roman"/>
              </w:rPr>
              <w:t>0.4556</w:t>
            </w:r>
          </w:p>
        </w:tc>
        <w:tc>
          <w:tcPr>
            <w:tcW w:w="1299" w:type="dxa"/>
            <w:tcBorders/>
          </w:tcPr>
          <w:p>
            <w:pPr>
              <w:pStyle w:val="Normal"/>
              <w:widowControl w:val="false"/>
              <w:spacing w:lineRule="auto" w:line="276" w:before="0" w:after="120"/>
              <w:rPr/>
            </w:pPr>
            <w:r>
              <w:rPr>
                <w:rFonts w:eastAsia="Times New Roman" w:cs="Times New Roman"/>
              </w:rPr>
              <w:t>0.1071</w:t>
            </w:r>
          </w:p>
        </w:tc>
        <w:tc>
          <w:tcPr>
            <w:tcW w:w="1302" w:type="dxa"/>
            <w:tcBorders/>
          </w:tcPr>
          <w:p>
            <w:pPr>
              <w:pStyle w:val="Normal"/>
              <w:widowControl w:val="false"/>
              <w:spacing w:lineRule="auto" w:line="276" w:before="0" w:after="120"/>
              <w:rPr/>
            </w:pPr>
            <w:r>
              <w:rPr>
                <w:rFonts w:eastAsia="Times New Roman" w:cs="Times New Roman"/>
              </w:rPr>
              <w:t>0.7494</w:t>
            </w:r>
          </w:p>
        </w:tc>
        <w:tc>
          <w:tcPr>
            <w:tcW w:w="1298" w:type="dxa"/>
            <w:tcBorders/>
          </w:tcPr>
          <w:p>
            <w:pPr>
              <w:pStyle w:val="Normal"/>
              <w:widowControl w:val="false"/>
              <w:spacing w:lineRule="auto" w:line="276" w:before="0" w:after="120"/>
              <w:rPr/>
            </w:pPr>
            <w:r>
              <w:rPr>
                <w:rFonts w:eastAsia="Times New Roman" w:cs="Times New Roman"/>
              </w:rPr>
              <w:t>1.3917</w:t>
            </w:r>
          </w:p>
        </w:tc>
        <w:tc>
          <w:tcPr>
            <w:tcW w:w="1301" w:type="dxa"/>
            <w:tcBorders/>
          </w:tcPr>
          <w:p>
            <w:pPr>
              <w:pStyle w:val="Normal"/>
              <w:widowControl w:val="false"/>
              <w:spacing w:lineRule="auto" w:line="276" w:before="0" w:after="120"/>
              <w:rPr/>
            </w:pPr>
            <w:r>
              <w:rPr>
                <w:rFonts w:eastAsia="Times New Roman" w:cs="Times New Roman"/>
              </w:rPr>
              <w:t>0.3440</w:t>
            </w:r>
          </w:p>
        </w:tc>
      </w:tr>
      <w:tr>
        <w:trPr/>
        <w:tc>
          <w:tcPr>
            <w:tcW w:w="1300" w:type="dxa"/>
            <w:tcBorders/>
          </w:tcPr>
          <w:p>
            <w:pPr>
              <w:pStyle w:val="Normal"/>
              <w:widowControl w:val="false"/>
              <w:spacing w:lineRule="auto" w:line="276" w:before="0" w:after="120"/>
              <w:rPr/>
            </w:pPr>
            <w:r>
              <w:rPr>
                <w:rFonts w:eastAsia="Times New Roman" w:cs="Times New Roman"/>
              </w:rPr>
              <w:t>Top-Hat disco L5 (WTH)</w:t>
            </w:r>
          </w:p>
        </w:tc>
        <w:tc>
          <w:tcPr>
            <w:tcW w:w="1299" w:type="dxa"/>
            <w:tcBorders/>
          </w:tcPr>
          <w:p>
            <w:pPr>
              <w:pStyle w:val="Normal"/>
              <w:widowControl w:val="false"/>
              <w:spacing w:lineRule="auto" w:line="276" w:before="0" w:after="120"/>
              <w:rPr/>
            </w:pPr>
            <w:r>
              <w:rPr>
                <w:rFonts w:eastAsia="Times New Roman" w:cs="Times New Roman"/>
              </w:rPr>
              <w:t>11.9234</w:t>
            </w:r>
          </w:p>
        </w:tc>
        <w:tc>
          <w:tcPr>
            <w:tcW w:w="1301" w:type="dxa"/>
            <w:tcBorders/>
          </w:tcPr>
          <w:p>
            <w:pPr>
              <w:pStyle w:val="Normal"/>
              <w:widowControl w:val="false"/>
              <w:spacing w:lineRule="auto" w:line="276" w:before="0" w:after="120"/>
              <w:rPr/>
            </w:pPr>
            <w:r>
              <w:rPr>
                <w:rFonts w:eastAsia="Times New Roman" w:cs="Times New Roman"/>
              </w:rPr>
              <w:t>0.4583</w:t>
            </w:r>
          </w:p>
        </w:tc>
        <w:tc>
          <w:tcPr>
            <w:tcW w:w="1299" w:type="dxa"/>
            <w:tcBorders/>
          </w:tcPr>
          <w:p>
            <w:pPr>
              <w:pStyle w:val="Normal"/>
              <w:widowControl w:val="false"/>
              <w:spacing w:lineRule="auto" w:line="276" w:before="0" w:after="120"/>
              <w:rPr/>
            </w:pPr>
            <w:r>
              <w:rPr>
                <w:rFonts w:eastAsia="Times New Roman" w:cs="Times New Roman"/>
              </w:rPr>
              <w:t>0.1168</w:t>
            </w:r>
          </w:p>
        </w:tc>
        <w:tc>
          <w:tcPr>
            <w:tcW w:w="1302" w:type="dxa"/>
            <w:tcBorders/>
          </w:tcPr>
          <w:p>
            <w:pPr>
              <w:pStyle w:val="Normal"/>
              <w:widowControl w:val="false"/>
              <w:spacing w:lineRule="auto" w:line="276" w:before="0" w:after="120"/>
              <w:rPr/>
            </w:pPr>
            <w:r>
              <w:rPr>
                <w:rFonts w:eastAsia="Times New Roman" w:cs="Times New Roman"/>
              </w:rPr>
              <w:t>0.7392</w:t>
            </w:r>
          </w:p>
        </w:tc>
        <w:tc>
          <w:tcPr>
            <w:tcW w:w="1298" w:type="dxa"/>
            <w:tcBorders/>
          </w:tcPr>
          <w:p>
            <w:pPr>
              <w:pStyle w:val="Normal"/>
              <w:widowControl w:val="false"/>
              <w:spacing w:lineRule="auto" w:line="276" w:before="0" w:after="120"/>
              <w:rPr/>
            </w:pPr>
            <w:r>
              <w:rPr>
                <w:rFonts w:eastAsia="Times New Roman" w:cs="Times New Roman"/>
              </w:rPr>
              <w:t>1.4302</w:t>
            </w:r>
          </w:p>
        </w:tc>
        <w:tc>
          <w:tcPr>
            <w:tcW w:w="1301" w:type="dxa"/>
            <w:tcBorders/>
          </w:tcPr>
          <w:p>
            <w:pPr>
              <w:pStyle w:val="Normal"/>
              <w:widowControl w:val="false"/>
              <w:spacing w:lineRule="auto" w:line="276" w:before="0" w:after="120"/>
              <w:rPr/>
            </w:pPr>
            <w:r>
              <w:rPr>
                <w:rFonts w:eastAsia="Times New Roman" w:cs="Times New Roman"/>
              </w:rPr>
              <w:t>0.3564</w:t>
            </w:r>
          </w:p>
        </w:tc>
      </w:tr>
      <w:tr>
        <w:trPr/>
        <w:tc>
          <w:tcPr>
            <w:tcW w:w="1300" w:type="dxa"/>
            <w:tcBorders/>
          </w:tcPr>
          <w:p>
            <w:pPr>
              <w:pStyle w:val="Normal"/>
              <w:widowControl w:val="false"/>
              <w:spacing w:lineRule="auto" w:line="276" w:before="0" w:after="120"/>
              <w:rPr/>
            </w:pPr>
            <w:r>
              <w:rPr>
                <w:rFonts w:eastAsia="Times New Roman" w:cs="Times New Roman"/>
              </w:rPr>
              <w:t>Top-Hat disco L3 +BTH</w:t>
            </w:r>
          </w:p>
        </w:tc>
        <w:tc>
          <w:tcPr>
            <w:tcW w:w="1299" w:type="dxa"/>
            <w:tcBorders/>
          </w:tcPr>
          <w:p>
            <w:pPr>
              <w:pStyle w:val="Normal"/>
              <w:widowControl w:val="false"/>
              <w:spacing w:lineRule="auto" w:line="276" w:before="0" w:after="120"/>
              <w:rPr/>
            </w:pPr>
            <w:r>
              <w:rPr>
                <w:rFonts w:eastAsia="Times New Roman" w:cs="Times New Roman"/>
              </w:rPr>
              <w:t>21.7436</w:t>
            </w:r>
          </w:p>
        </w:tc>
        <w:tc>
          <w:tcPr>
            <w:tcW w:w="1301" w:type="dxa"/>
            <w:tcBorders/>
          </w:tcPr>
          <w:p>
            <w:pPr>
              <w:pStyle w:val="Normal"/>
              <w:widowControl w:val="false"/>
              <w:spacing w:lineRule="auto" w:line="276" w:before="0" w:after="120"/>
              <w:rPr/>
            </w:pPr>
            <w:r>
              <w:rPr>
                <w:rFonts w:eastAsia="Times New Roman" w:cs="Times New Roman"/>
              </w:rPr>
              <w:t>0.3259</w:t>
            </w:r>
          </w:p>
        </w:tc>
        <w:tc>
          <w:tcPr>
            <w:tcW w:w="1299" w:type="dxa"/>
            <w:tcBorders/>
          </w:tcPr>
          <w:p>
            <w:pPr>
              <w:pStyle w:val="Normal"/>
              <w:widowControl w:val="false"/>
              <w:spacing w:lineRule="auto" w:line="276" w:before="0" w:after="120"/>
              <w:rPr/>
            </w:pPr>
            <w:r>
              <w:rPr>
                <w:rFonts w:eastAsia="Times New Roman" w:cs="Times New Roman"/>
              </w:rPr>
              <w:t>0.5368</w:t>
            </w:r>
          </w:p>
        </w:tc>
        <w:tc>
          <w:tcPr>
            <w:tcW w:w="1302" w:type="dxa"/>
            <w:tcBorders/>
          </w:tcPr>
          <w:p>
            <w:pPr>
              <w:pStyle w:val="Normal"/>
              <w:widowControl w:val="false"/>
              <w:spacing w:lineRule="auto" w:line="276" w:before="0" w:after="120"/>
              <w:rPr/>
            </w:pPr>
            <w:r>
              <w:rPr>
                <w:rFonts w:eastAsia="Times New Roman" w:cs="Times New Roman"/>
              </w:rPr>
              <w:t>0.5765</w:t>
            </w:r>
          </w:p>
        </w:tc>
        <w:tc>
          <w:tcPr>
            <w:tcW w:w="1298" w:type="dxa"/>
            <w:tcBorders/>
          </w:tcPr>
          <w:p>
            <w:pPr>
              <w:pStyle w:val="Normal"/>
              <w:widowControl w:val="false"/>
              <w:spacing w:lineRule="auto" w:line="276" w:before="0" w:after="120"/>
              <w:rPr/>
            </w:pPr>
            <w:r>
              <w:rPr>
                <w:rFonts w:eastAsia="Times New Roman" w:cs="Times New Roman"/>
              </w:rPr>
              <w:t>1.3408</w:t>
            </w:r>
          </w:p>
        </w:tc>
        <w:tc>
          <w:tcPr>
            <w:tcW w:w="1301" w:type="dxa"/>
            <w:tcBorders/>
          </w:tcPr>
          <w:p>
            <w:pPr>
              <w:pStyle w:val="Normal"/>
              <w:widowControl w:val="false"/>
              <w:spacing w:lineRule="auto" w:line="276" w:before="0" w:after="120"/>
              <w:rPr/>
            </w:pPr>
            <w:r>
              <w:rPr>
                <w:rFonts w:eastAsia="Times New Roman" w:cs="Times New Roman"/>
              </w:rPr>
              <w:t>0.3137</w:t>
            </w:r>
          </w:p>
        </w:tc>
      </w:tr>
      <w:tr>
        <w:trPr/>
        <w:tc>
          <w:tcPr>
            <w:tcW w:w="1300" w:type="dxa"/>
            <w:tcBorders/>
          </w:tcPr>
          <w:p>
            <w:pPr>
              <w:pStyle w:val="Normal"/>
              <w:widowControl w:val="false"/>
              <w:spacing w:lineRule="auto" w:line="276" w:before="0" w:after="120"/>
              <w:rPr/>
            </w:pPr>
            <w:r>
              <w:rPr>
                <w:rFonts w:eastAsia="Times New Roman" w:cs="Times New Roman"/>
              </w:rPr>
              <w:t>Top-Hat cuadrado L3 +BTH</w:t>
            </w:r>
          </w:p>
        </w:tc>
        <w:tc>
          <w:tcPr>
            <w:tcW w:w="1299" w:type="dxa"/>
            <w:tcBorders/>
          </w:tcPr>
          <w:p>
            <w:pPr>
              <w:pStyle w:val="Normal"/>
              <w:widowControl w:val="false"/>
              <w:spacing w:lineRule="auto" w:line="276" w:before="0" w:after="120"/>
              <w:rPr/>
            </w:pPr>
            <w:r>
              <w:rPr>
                <w:rFonts w:eastAsia="Times New Roman" w:cs="Times New Roman"/>
              </w:rPr>
              <w:t>21.3473</w:t>
            </w:r>
          </w:p>
        </w:tc>
        <w:tc>
          <w:tcPr>
            <w:tcW w:w="1301" w:type="dxa"/>
            <w:tcBorders/>
          </w:tcPr>
          <w:p>
            <w:pPr>
              <w:pStyle w:val="Normal"/>
              <w:widowControl w:val="false"/>
              <w:spacing w:lineRule="auto" w:line="276" w:before="0" w:after="120"/>
              <w:rPr/>
            </w:pPr>
            <w:r>
              <w:rPr>
                <w:rFonts w:eastAsia="Times New Roman" w:cs="Times New Roman"/>
              </w:rPr>
              <w:t>0.3287</w:t>
            </w:r>
          </w:p>
        </w:tc>
        <w:tc>
          <w:tcPr>
            <w:tcW w:w="1299" w:type="dxa"/>
            <w:tcBorders/>
          </w:tcPr>
          <w:p>
            <w:pPr>
              <w:pStyle w:val="Normal"/>
              <w:widowControl w:val="false"/>
              <w:spacing w:lineRule="auto" w:line="276" w:before="0" w:after="120"/>
              <w:rPr/>
            </w:pPr>
            <w:r>
              <w:rPr>
                <w:rFonts w:eastAsia="Times New Roman" w:cs="Times New Roman"/>
              </w:rPr>
              <w:t>0.5319</w:t>
            </w:r>
          </w:p>
        </w:tc>
        <w:tc>
          <w:tcPr>
            <w:tcW w:w="1302" w:type="dxa"/>
            <w:tcBorders/>
          </w:tcPr>
          <w:p>
            <w:pPr>
              <w:pStyle w:val="Normal"/>
              <w:widowControl w:val="false"/>
              <w:spacing w:lineRule="auto" w:line="276" w:before="0" w:after="120"/>
              <w:rPr/>
            </w:pPr>
            <w:r>
              <w:rPr>
                <w:rFonts w:eastAsia="Times New Roman" w:cs="Times New Roman"/>
              </w:rPr>
              <w:t>0.5750</w:t>
            </w:r>
          </w:p>
        </w:tc>
        <w:tc>
          <w:tcPr>
            <w:tcW w:w="1298" w:type="dxa"/>
            <w:tcBorders/>
          </w:tcPr>
          <w:p>
            <w:pPr>
              <w:pStyle w:val="Normal"/>
              <w:widowControl w:val="false"/>
              <w:spacing w:lineRule="auto" w:line="276" w:before="0" w:after="120"/>
              <w:rPr/>
            </w:pPr>
            <w:r>
              <w:rPr>
                <w:rFonts w:eastAsia="Times New Roman" w:cs="Times New Roman"/>
              </w:rPr>
              <w:t>1.3386</w:t>
            </w:r>
          </w:p>
        </w:tc>
        <w:tc>
          <w:tcPr>
            <w:tcW w:w="1301" w:type="dxa"/>
            <w:tcBorders/>
          </w:tcPr>
          <w:p>
            <w:pPr>
              <w:pStyle w:val="Normal"/>
              <w:widowControl w:val="false"/>
              <w:spacing w:lineRule="auto" w:line="276" w:before="0" w:after="120"/>
              <w:rPr/>
            </w:pPr>
            <w:r>
              <w:rPr>
                <w:rFonts w:eastAsia="Times New Roman" w:cs="Times New Roman"/>
              </w:rPr>
              <w:t>0.3182</w:t>
            </w:r>
          </w:p>
        </w:tc>
      </w:tr>
      <w:tr>
        <w:trPr/>
        <w:tc>
          <w:tcPr>
            <w:tcW w:w="1300" w:type="dxa"/>
            <w:tcBorders/>
          </w:tcPr>
          <w:p>
            <w:pPr>
              <w:pStyle w:val="Normal"/>
              <w:widowControl w:val="false"/>
              <w:spacing w:lineRule="auto" w:line="276" w:before="0" w:after="120"/>
              <w:rPr/>
            </w:pPr>
            <w:r>
              <w:rPr>
                <w:rFonts w:eastAsia="Times New Roman" w:cs="Times New Roman"/>
              </w:rPr>
              <w:t>Top-Hat cruz L3 +BTH</w:t>
            </w:r>
          </w:p>
        </w:tc>
        <w:tc>
          <w:tcPr>
            <w:tcW w:w="1299" w:type="dxa"/>
            <w:tcBorders/>
          </w:tcPr>
          <w:p>
            <w:pPr>
              <w:pStyle w:val="Normal"/>
              <w:widowControl w:val="false"/>
              <w:spacing w:lineRule="auto" w:line="276" w:before="0" w:after="120"/>
              <w:rPr/>
            </w:pPr>
            <w:r>
              <w:rPr>
                <w:rFonts w:eastAsia="Times New Roman" w:cs="Times New Roman"/>
              </w:rPr>
              <w:t>21.8316</w:t>
            </w:r>
          </w:p>
        </w:tc>
        <w:tc>
          <w:tcPr>
            <w:tcW w:w="1301" w:type="dxa"/>
            <w:tcBorders/>
          </w:tcPr>
          <w:p>
            <w:pPr>
              <w:pStyle w:val="Normal"/>
              <w:widowControl w:val="false"/>
              <w:spacing w:lineRule="auto" w:line="276" w:before="0" w:after="120"/>
              <w:rPr/>
            </w:pPr>
            <w:r>
              <w:rPr>
                <w:rFonts w:eastAsia="Times New Roman" w:cs="Times New Roman"/>
              </w:rPr>
              <w:t>0.3109</w:t>
            </w:r>
          </w:p>
        </w:tc>
        <w:tc>
          <w:tcPr>
            <w:tcW w:w="1299" w:type="dxa"/>
            <w:tcBorders/>
          </w:tcPr>
          <w:p>
            <w:pPr>
              <w:pStyle w:val="Normal"/>
              <w:widowControl w:val="false"/>
              <w:spacing w:lineRule="auto" w:line="276" w:before="0" w:after="120"/>
              <w:rPr/>
            </w:pPr>
            <w:r>
              <w:rPr>
                <w:rFonts w:eastAsia="Times New Roman" w:cs="Times New Roman"/>
              </w:rPr>
              <w:t>0.5369</w:t>
            </w:r>
          </w:p>
        </w:tc>
        <w:tc>
          <w:tcPr>
            <w:tcW w:w="1302" w:type="dxa"/>
            <w:tcBorders/>
          </w:tcPr>
          <w:p>
            <w:pPr>
              <w:pStyle w:val="Normal"/>
              <w:widowControl w:val="false"/>
              <w:spacing w:lineRule="auto" w:line="276" w:before="0" w:after="120"/>
              <w:rPr/>
            </w:pPr>
            <w:r>
              <w:rPr>
                <w:rFonts w:eastAsia="Times New Roman" w:cs="Times New Roman"/>
              </w:rPr>
              <w:t>0.5724</w:t>
            </w:r>
          </w:p>
        </w:tc>
        <w:tc>
          <w:tcPr>
            <w:tcW w:w="1298" w:type="dxa"/>
            <w:tcBorders/>
          </w:tcPr>
          <w:p>
            <w:pPr>
              <w:pStyle w:val="Normal"/>
              <w:widowControl w:val="false"/>
              <w:spacing w:lineRule="auto" w:line="276" w:before="0" w:after="120"/>
              <w:rPr/>
            </w:pPr>
            <w:r>
              <w:rPr>
                <w:rFonts w:eastAsia="Times New Roman" w:cs="Times New Roman"/>
              </w:rPr>
              <w:t>1.3378</w:t>
            </w:r>
          </w:p>
        </w:tc>
        <w:tc>
          <w:tcPr>
            <w:tcW w:w="1301" w:type="dxa"/>
            <w:tcBorders/>
          </w:tcPr>
          <w:p>
            <w:pPr>
              <w:pStyle w:val="Normal"/>
              <w:widowControl w:val="false"/>
              <w:spacing w:lineRule="auto" w:line="276" w:before="0" w:after="120"/>
              <w:rPr/>
            </w:pPr>
            <w:r>
              <w:rPr>
                <w:rFonts w:eastAsia="Times New Roman" w:cs="Times New Roman"/>
              </w:rPr>
              <w:t>0.3004</w:t>
            </w:r>
          </w:p>
        </w:tc>
      </w:tr>
      <w:tr>
        <w:trPr/>
        <w:tc>
          <w:tcPr>
            <w:tcW w:w="1300" w:type="dxa"/>
            <w:tcBorders/>
          </w:tcPr>
          <w:p>
            <w:pPr>
              <w:pStyle w:val="Normal"/>
              <w:widowControl w:val="false"/>
              <w:spacing w:lineRule="auto" w:line="276" w:before="0" w:after="120"/>
              <w:rPr/>
            </w:pPr>
            <w:r>
              <w:rPr>
                <w:rFonts w:eastAsia="Times New Roman" w:cs="Times New Roman"/>
              </w:rPr>
              <w:t>Top-Hat disco L5 +BTH</w:t>
            </w:r>
          </w:p>
        </w:tc>
        <w:tc>
          <w:tcPr>
            <w:tcW w:w="1299" w:type="dxa"/>
            <w:tcBorders/>
          </w:tcPr>
          <w:p>
            <w:pPr>
              <w:pStyle w:val="Normal"/>
              <w:widowControl w:val="false"/>
              <w:spacing w:lineRule="auto" w:line="276" w:before="0" w:after="120"/>
              <w:rPr/>
            </w:pPr>
            <w:r>
              <w:rPr>
                <w:rFonts w:eastAsia="Times New Roman" w:cs="Times New Roman"/>
              </w:rPr>
              <w:t>22.9396</w:t>
            </w:r>
          </w:p>
        </w:tc>
        <w:tc>
          <w:tcPr>
            <w:tcW w:w="1301" w:type="dxa"/>
            <w:tcBorders/>
          </w:tcPr>
          <w:p>
            <w:pPr>
              <w:pStyle w:val="Normal"/>
              <w:widowControl w:val="false"/>
              <w:spacing w:lineRule="auto" w:line="276" w:before="0" w:after="120"/>
              <w:rPr/>
            </w:pPr>
            <w:r>
              <w:rPr>
                <w:rFonts w:eastAsia="Times New Roman" w:cs="Times New Roman"/>
              </w:rPr>
              <w:t>0.2913</w:t>
            </w:r>
          </w:p>
        </w:tc>
        <w:tc>
          <w:tcPr>
            <w:tcW w:w="1299" w:type="dxa"/>
            <w:tcBorders/>
          </w:tcPr>
          <w:p>
            <w:pPr>
              <w:pStyle w:val="Normal"/>
              <w:widowControl w:val="false"/>
              <w:spacing w:lineRule="auto" w:line="276" w:before="0" w:after="120"/>
              <w:rPr/>
            </w:pPr>
            <w:r>
              <w:rPr>
                <w:rFonts w:eastAsia="Times New Roman" w:cs="Times New Roman"/>
              </w:rPr>
              <w:t>0.5745</w:t>
            </w:r>
          </w:p>
        </w:tc>
        <w:tc>
          <w:tcPr>
            <w:tcW w:w="1302" w:type="dxa"/>
            <w:tcBorders/>
          </w:tcPr>
          <w:p>
            <w:pPr>
              <w:pStyle w:val="Normal"/>
              <w:widowControl w:val="false"/>
              <w:spacing w:lineRule="auto" w:line="276" w:before="0" w:after="120"/>
              <w:rPr/>
            </w:pPr>
            <w:r>
              <w:rPr>
                <w:rFonts w:eastAsia="Times New Roman" w:cs="Times New Roman"/>
              </w:rPr>
              <w:t>0.5338</w:t>
            </w:r>
          </w:p>
        </w:tc>
        <w:tc>
          <w:tcPr>
            <w:tcW w:w="1298" w:type="dxa"/>
            <w:tcBorders/>
          </w:tcPr>
          <w:p>
            <w:pPr>
              <w:pStyle w:val="Normal"/>
              <w:widowControl w:val="false"/>
              <w:spacing w:lineRule="auto" w:line="276" w:before="0" w:after="120"/>
              <w:rPr/>
            </w:pPr>
            <w:r>
              <w:rPr>
                <w:rFonts w:eastAsia="Times New Roman" w:cs="Times New Roman"/>
              </w:rPr>
              <w:t>1.2791</w:t>
            </w:r>
          </w:p>
        </w:tc>
        <w:tc>
          <w:tcPr>
            <w:tcW w:w="1301" w:type="dxa"/>
            <w:tcBorders/>
          </w:tcPr>
          <w:p>
            <w:pPr>
              <w:pStyle w:val="Normal"/>
              <w:widowControl w:val="false"/>
              <w:spacing w:lineRule="auto" w:line="276" w:before="0" w:after="120"/>
              <w:rPr/>
            </w:pPr>
            <w:r>
              <w:rPr>
                <w:rFonts w:eastAsia="Times New Roman" w:cs="Times New Roman"/>
              </w:rPr>
              <w:t>0.2977</w:t>
            </w:r>
          </w:p>
        </w:tc>
      </w:tr>
    </w:tbl>
    <w:p>
      <w:pPr>
        <w:pStyle w:val="Normal"/>
        <w:spacing w:lineRule="auto" w:line="276"/>
        <w:jc w:val="both"/>
        <w:rPr/>
      </w:pPr>
      <w:r>
        <w:rPr>
          <w:rFonts w:eastAsia="Times New Roman" w:cs="Times New Roman"/>
          <w:i/>
          <w:sz w:val="18"/>
        </w:rPr>
        <w:t>Tabla 5b.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FMI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Q0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QW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QE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Promedio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0,215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0,691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0,727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0,341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0,276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0,744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0,404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0,197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0,727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0,369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Torre TH disco L5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0,213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0,810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0,360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Multiescala (prelim.)</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0,207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0,767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0,379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9"/>
              </w:rPr>
              <w:t>Propuesta Novedosa</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0,208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0,753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0,799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0,363</w:t>
            </w:r>
          </w:p>
        </w:tc>
      </w:tr>
    </w:tbl>
    <w:p>
      <w:pPr>
        <w:pStyle w:val="Normal"/>
        <w:spacing w:lineRule="auto" w:line="360"/>
        <w:ind w:firstLine="709"/>
        <w:jc w:val="both"/>
        <w:rPr/>
      </w:pPr>
      <w:r>
        <w:rPr>
          <w:rFonts w:eastAsia="Times New Roman" w:cs="Times New Roman"/>
          <w:sz w:val="18"/>
        </w:rPr>
        <w:t>Estas métricas, ponderadas por bordes y estructura local, favorecen a los métodos de mayor contraste: la pirámide de Laplace lidera FMI, QW y QE, y la Propuesta Novedosa lidera Q0. La propuesta novedosa se mantiene competitiva, en coherencia con su perfil orientado a la limpieza (Nabf) y la fidelidad estructural (SSIM).</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80" w:type="dxa"/>
          <w:start w:w="120" w:type="dxa"/>
          <w:bottom w:w="80" w:type="dxa"/>
          <w:end w:w="120" w:type="dxa"/>
        </w:tblCellMar>
      </w:tblPr>
      <w:tblGrid>
        <w:gridCol w:w="1798"/>
        <w:gridCol w:w="2401"/>
        <w:gridCol w:w="2400"/>
        <w:gridCol w:w="2761"/>
      </w:tblGrid>
      <w:tr>
        <w:trPr>
          <w:tblHeader w:val="true"/>
        </w:trPr>
        <w:tc>
          <w:tcPr>
            <w:tcW w:w="17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Métrica</w:t>
            </w:r>
          </w:p>
        </w:tc>
        <w:tc>
          <w:tcPr>
            <w:tcW w:w="240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χ² de Friedman</w:t>
            </w:r>
          </w:p>
        </w:tc>
        <w:tc>
          <w:tcPr>
            <w:tcW w:w="24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p-valor</w:t>
            </w:r>
          </w:p>
        </w:tc>
        <w:tc>
          <w:tcPr>
            <w:tcW w:w="27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Significativo (α = 0,05)</w:t>
            </w:r>
          </w:p>
        </w:tc>
      </w:tr>
      <w:tr>
        <w:trPr/>
        <w:tc>
          <w:tcPr>
            <w:tcW w:w="17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EN</w:t>
            </w:r>
          </w:p>
        </w:tc>
        <w:tc>
          <w:tcPr>
            <w:tcW w:w="24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158.00</w:t>
            </w:r>
          </w:p>
        </w:tc>
        <w:tc>
          <w:tcPr>
            <w:tcW w:w="24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8.37e-29</w:t>
            </w:r>
          </w:p>
        </w:tc>
        <w:tc>
          <w:tcPr>
            <w:tcW w:w="27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SD</w:t>
            </w:r>
          </w:p>
        </w:tc>
        <w:tc>
          <w:tcPr>
            <w:tcW w:w="240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179.41</w:t>
            </w:r>
          </w:p>
        </w:tc>
        <w:tc>
          <w:tcPr>
            <w:tcW w:w="24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3.11e-33</w:t>
            </w:r>
          </w:p>
        </w:tc>
        <w:tc>
          <w:tcPr>
            <w:tcW w:w="27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FE</w:t>
            </w:r>
          </w:p>
        </w:tc>
        <w:tc>
          <w:tcPr>
            <w:tcW w:w="24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158.00</w:t>
            </w:r>
          </w:p>
        </w:tc>
        <w:tc>
          <w:tcPr>
            <w:tcW w:w="24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8.37e-29</w:t>
            </w:r>
          </w:p>
        </w:tc>
        <w:tc>
          <w:tcPr>
            <w:tcW w:w="27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MG</w:t>
            </w:r>
          </w:p>
        </w:tc>
        <w:tc>
          <w:tcPr>
            <w:tcW w:w="240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192.66</w:t>
            </w:r>
          </w:p>
        </w:tc>
        <w:tc>
          <w:tcPr>
            <w:tcW w:w="24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5.46e-36</w:t>
            </w:r>
          </w:p>
        </w:tc>
        <w:tc>
          <w:tcPr>
            <w:tcW w:w="27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MI_vis</w:t>
            </w:r>
          </w:p>
        </w:tc>
        <w:tc>
          <w:tcPr>
            <w:tcW w:w="24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159.67</w:t>
            </w:r>
          </w:p>
        </w:tc>
        <w:tc>
          <w:tcPr>
            <w:tcW w:w="24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3.79e-29</w:t>
            </w:r>
          </w:p>
        </w:tc>
        <w:tc>
          <w:tcPr>
            <w:tcW w:w="27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MI_ir</w:t>
            </w:r>
          </w:p>
        </w:tc>
        <w:tc>
          <w:tcPr>
            <w:tcW w:w="240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147.37</w:t>
            </w:r>
          </w:p>
        </w:tc>
        <w:tc>
          <w:tcPr>
            <w:tcW w:w="24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1.29e-26</w:t>
            </w:r>
          </w:p>
        </w:tc>
        <w:tc>
          <w:tcPr>
            <w:tcW w:w="27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240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194.17</w:t>
            </w:r>
          </w:p>
        </w:tc>
        <w:tc>
          <w:tcPr>
            <w:tcW w:w="240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2.65e-36</w:t>
            </w:r>
          </w:p>
        </w:tc>
        <w:tc>
          <w:tcPr>
            <w:tcW w:w="27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240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148.59</w:t>
            </w:r>
          </w:p>
        </w:tc>
        <w:tc>
          <w:tcPr>
            <w:tcW w:w="240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7.26e-27</w:t>
            </w:r>
          </w:p>
        </w:tc>
        <w:tc>
          <w:tcPr>
            <w:tcW w:w="27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240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187.84</w:t>
            </w:r>
          </w:p>
        </w:tc>
        <w:tc>
          <w:tcPr>
            <w:tcW w:w="240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5.51e-35</w:t>
            </w:r>
          </w:p>
        </w:tc>
        <w:tc>
          <w:tcPr>
            <w:tcW w:w="27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240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195.34</w:t>
            </w:r>
          </w:p>
        </w:tc>
        <w:tc>
          <w:tcPr>
            <w:tcW w:w="240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1.51e-36</w:t>
            </w:r>
          </w:p>
        </w:tc>
        <w:tc>
          <w:tcPr>
            <w:tcW w:w="27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240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97.32</w:t>
            </w:r>
          </w:p>
        </w:tc>
        <w:tc>
          <w:tcPr>
            <w:tcW w:w="240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1.87e-16</w:t>
            </w:r>
          </w:p>
        </w:tc>
        <w:tc>
          <w:tcPr>
            <w:tcW w:w="27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Sí</w:t>
            </w:r>
          </w:p>
        </w:tc>
      </w:tr>
      <w:tr>
        <w:trPr/>
        <w:tc>
          <w:tcPr>
            <w:tcW w:w="17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240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170.10</w:t>
            </w:r>
          </w:p>
        </w:tc>
        <w:tc>
          <w:tcPr>
            <w:tcW w:w="240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2.64e-31</w:t>
            </w:r>
          </w:p>
        </w:tc>
        <w:tc>
          <w:tcPr>
            <w:tcW w:w="276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80" w:type="dxa"/>
          <w:start w:w="120" w:type="dxa"/>
          <w:bottom w:w="80" w:type="dxa"/>
          <w:end w:w="120" w:type="dxa"/>
        </w:tblCellMar>
      </w:tblPr>
      <w:tblGrid>
        <w:gridCol w:w="2298"/>
        <w:gridCol w:w="1011"/>
        <w:gridCol w:w="1010"/>
        <w:gridCol w:w="1010"/>
        <w:gridCol w:w="1011"/>
        <w:gridCol w:w="1010"/>
        <w:gridCol w:w="1011"/>
        <w:gridCol w:w="999"/>
      </w:tblGrid>
      <w:tr>
        <w:trPr>
          <w:tblHeader w:val="true"/>
        </w:trPr>
        <w:tc>
          <w:tcPr>
            <w:tcW w:w="22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Método</w:t>
            </w:r>
          </w:p>
        </w:tc>
        <w:tc>
          <w:tcPr>
            <w:tcW w:w="101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SD</w:t>
            </w:r>
          </w:p>
        </w:tc>
        <w:tc>
          <w:tcPr>
            <w:tcW w:w="101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MG</w:t>
            </w:r>
          </w:p>
        </w:tc>
        <w:tc>
          <w:tcPr>
            <w:tcW w:w="101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Qabf</w:t>
            </w:r>
          </w:p>
        </w:tc>
        <w:tc>
          <w:tcPr>
            <w:tcW w:w="101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Nabf</w:t>
            </w:r>
          </w:p>
        </w:tc>
        <w:tc>
          <w:tcPr>
            <w:tcW w:w="101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SSIM</w:t>
            </w:r>
          </w:p>
        </w:tc>
        <w:tc>
          <w:tcPr>
            <w:tcW w:w="101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VIF</w:t>
            </w:r>
          </w:p>
        </w:tc>
        <w:tc>
          <w:tcPr>
            <w:tcW w:w="9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rPr>
              <w:t>Global</w:t>
            </w:r>
          </w:p>
        </w:tc>
      </w:tr>
      <w:tr>
        <w:trPr/>
        <w:tc>
          <w:tcPr>
            <w:tcW w:w="22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Pirámide Laplace</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2.00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5.00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5.00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7.00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1.00</w:t>
            </w:r>
          </w:p>
        </w:tc>
        <w:tc>
          <w:tcPr>
            <w:tcW w:w="9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4.42</w:t>
            </w:r>
          </w:p>
        </w:tc>
      </w:tr>
      <w:tr>
        <w:trPr/>
        <w:tc>
          <w:tcPr>
            <w:tcW w:w="22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Top-Hat disco L5 (WTH)</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7.00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2.00</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5.00</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2.00</w:t>
            </w:r>
          </w:p>
        </w:tc>
        <w:tc>
          <w:tcPr>
            <w:tcW w:w="9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5.00</w:t>
            </w:r>
          </w:p>
        </w:tc>
      </w:tr>
      <w:tr>
        <w:trPr/>
        <w:tc>
          <w:tcPr>
            <w:tcW w:w="22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Top-Hat disco L3 (WTH)</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8.00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9.00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3.00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2.00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3.00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4.00</w:t>
            </w:r>
          </w:p>
        </w:tc>
        <w:tc>
          <w:tcPr>
            <w:tcW w:w="9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5.25</w:t>
            </w:r>
          </w:p>
        </w:tc>
      </w:tr>
      <w:tr>
        <w:trPr/>
        <w:tc>
          <w:tcPr>
            <w:tcW w:w="22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Top-Hat cuadrado L3 (WTH)</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7.00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8.00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6.00</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3.00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4.00</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3.00</w:t>
            </w:r>
          </w:p>
        </w:tc>
        <w:tc>
          <w:tcPr>
            <w:tcW w:w="9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5.42</w:t>
            </w:r>
          </w:p>
        </w:tc>
      </w:tr>
      <w:tr>
        <w:trPr/>
        <w:tc>
          <w:tcPr>
            <w:tcW w:w="22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Top-Hat cuadrado L3 +BTH</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3.00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4.00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7.00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8.00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9.00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7.00</w:t>
            </w:r>
          </w:p>
        </w:tc>
        <w:tc>
          <w:tcPr>
            <w:tcW w:w="9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6.00</w:t>
            </w:r>
          </w:p>
        </w:tc>
      </w:tr>
      <w:tr>
        <w:trPr/>
        <w:tc>
          <w:tcPr>
            <w:tcW w:w="22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rPr>
              <w:t>Top-Hat disco L3 +BTH</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5.00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2.50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8.00</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9.00</w:t>
            </w:r>
          </w:p>
        </w:tc>
        <w:tc>
          <w:tcPr>
            <w:tcW w:w="101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8.00</w:t>
            </w:r>
          </w:p>
        </w:tc>
        <w:tc>
          <w:tcPr>
            <w:tcW w:w="101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8.00</w:t>
            </w:r>
          </w:p>
        </w:tc>
        <w:tc>
          <w:tcPr>
            <w:tcW w:w="9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rPr>
              <w:t>6.21</w:t>
            </w:r>
          </w:p>
        </w:tc>
      </w:tr>
      <w:tr>
        <w:trPr/>
        <w:tc>
          <w:tcPr>
            <w:tcW w:w="22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rPr>
              <w:t>Top-Hat cruz L3 (WTH)</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9.00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10.00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4.00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4.00</w:t>
            </w:r>
          </w:p>
        </w:tc>
        <w:tc>
          <w:tcPr>
            <w:tcW w:w="101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2.00</w:t>
            </w:r>
          </w:p>
        </w:tc>
        <w:tc>
          <w:tcPr>
            <w:tcW w:w="101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5.00</w:t>
            </w:r>
          </w:p>
        </w:tc>
        <w:tc>
          <w:tcPr>
            <w:tcW w:w="9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rPr>
              <w:t>6.33</w:t>
            </w:r>
          </w:p>
        </w:tc>
      </w:tr>
      <w:tr>
        <w:trPr/>
        <w:tc>
          <w:tcPr>
            <w:tcW w:w="22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Top-Hat cruz L3 +BTH</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4.00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2.50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9.00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10.00</w:t>
            </w:r>
          </w:p>
        </w:tc>
        <w:tc>
          <w:tcPr>
            <w:tcW w:w="99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6.38</w:t>
            </w:r>
          </w:p>
        </w:tc>
      </w:tr>
      <w:tr>
        <w:trPr/>
        <w:tc>
          <w:tcPr>
            <w:tcW w:w="22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Top-Hat disco L5 +BTH</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11.00</w:t>
            </w:r>
          </w:p>
        </w:tc>
        <w:tc>
          <w:tcPr>
            <w:tcW w:w="99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6.83</w:t>
            </w:r>
          </w:p>
        </w:tc>
      </w:tr>
      <w:tr>
        <w:trPr/>
        <w:tc>
          <w:tcPr>
            <w:tcW w:w="22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Promedio</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11.00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6.00</w:t>
            </w:r>
          </w:p>
        </w:tc>
        <w:tc>
          <w:tcPr>
            <w:tcW w:w="99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7.08</w:t>
            </w:r>
          </w:p>
        </w:tc>
      </w:tr>
      <w:tr>
        <w:trPr/>
        <w:tc>
          <w:tcPr>
            <w:tcW w:w="22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Curvelet</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5.00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1.00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7.00</w:t>
            </w:r>
          </w:p>
        </w:tc>
        <w:tc>
          <w:tcPr>
            <w:tcW w:w="1010"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6.00</w:t>
            </w:r>
          </w:p>
        </w:tc>
        <w:tc>
          <w:tcPr>
            <w:tcW w:w="1011"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9.00</w:t>
            </w:r>
          </w:p>
        </w:tc>
        <w:tc>
          <w:tcPr>
            <w:tcW w:w="999"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7.08</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spacing w:before="240" w:after="120"/>
        <w:jc w:val="start"/>
        <w:rPr/>
      </w:pPr>
      <w:r>
        <w:rPr>
          <w:rFonts w:eastAsia="Times New Roman" w:cs="Times New Roman"/>
          <w:b/>
          <w:bCs/>
          <w:color w:val="000000"/>
          <w:sz w:val="24"/>
          <w:szCs w:val="26"/>
        </w:rPr>
        <w:t>5.5 Análisis del benchmark exhaustivo de la Torre Top-Hat</w:t>
      </w:r>
    </w:p>
    <w:p>
      <w:pPr>
        <w:pStyle w:val="Normal"/>
        <w:spacing w:lineRule="auto" w:line="360" w:before="0" w:after="160"/>
        <w:ind w:firstLine="709"/>
        <w:jc w:val="both"/>
        <w:rPr/>
      </w:pPr>
      <w:r>
        <w:rPr>
          <w:rFonts w:eastAsia="Times New Roman" w:cs="Times New Roman"/>
        </w:rPr>
        <w:t>Más allá de la comparación inter-método, se ejecutó un benchmark exhaustivo de las 36 configuraciones de la Torre Top-Hat. La figura 9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pStyle w:val="Normal"/>
        <w:spacing w:lineRule="auto" w:line="276" w:before="200" w:after="80"/>
        <w:jc w:val="center"/>
        <w:rPr/>
      </w:pPr>
      <w:r>
        <w:rPr/>
        <w:drawing>
          <wp:inline distT="0" distB="0" distL="0" distR="0">
            <wp:extent cx="4953000" cy="3219450"/>
            <wp:effectExtent l="0" t="0" r="0" b="0"/>
            <wp:docPr id="10" name="fig_heatmap_tophat.png" descr="Figura 5. Mapas de calor de las seis métricas para las 36 configuraciones de la Torre Top-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heatmap_tophat.png" descr="Figura 5. Mapas de calor de las seis métricas para las 36 configuraciones de la Torre Top-Hat."/>
                    <pic:cNvPicPr>
                      <a:picLocks noChangeAspect="1" noChangeArrowheads="1"/>
                    </pic:cNvPicPr>
                  </pic:nvPicPr>
                  <pic:blipFill>
                    <a:blip r:embed="rId11"/>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9. Mapas de calor de las seis métricas para las 36 configuraciones de la Torre Top-Hat.</w:t>
      </w:r>
    </w:p>
    <w:p>
      <w:pPr>
        <w:pStyle w:val="Heading2"/>
        <w:jc w:val="start"/>
        <w:rPr/>
      </w:pPr>
      <w:r>
        <w:rPr>
          <w:rFonts w:eastAsia="Times New Roman" w:cs="Times New Roman"/>
          <w:b/>
          <w:color w:val="000000"/>
          <w:sz w:val="24"/>
        </w:rPr>
        <w:t>5.6 Efecto de la variante Black Top-Hat</w:t>
      </w:r>
    </w:p>
    <w:p>
      <w:pPr>
        <w:pStyle w:val="Normal"/>
        <w:spacing w:lineRule="auto" w:line="360"/>
        <w:ind w:firstLine="709"/>
        <w:jc w:val="both"/>
        <w:rPr/>
      </w:pPr>
      <w:r>
        <w:rPr>
          <w:rFonts w:eastAsia="Times New Roman" w:cs="Times New Roman"/>
        </w:rP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7). La variante WTH+BTH sólo sería preferible en aplicaciones cuyo objetivo explícito es maximizar el realce de contraste aceptando artefactos, no la fusión fiel; el punto de operación recomendado del método propuesto es el modo White Top-Hat con disco y L = 5.</w:t>
      </w:r>
    </w:p>
    <w:p>
      <w:pPr>
        <w:pStyle w:val="Normal"/>
        <w:spacing w:lineRule="auto" w:line="276"/>
        <w:rPr/>
      </w:pPr>
      <w:r>
        <w:rPr/>
        <w:drawing>
          <wp:inline distT="0" distB="0" distL="0" distR="0">
            <wp:extent cx="5486400" cy="201168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12"/>
                    <a:stretch>
                      <a:fillRect/>
                    </a:stretch>
                  </pic:blipFill>
                  <pic:spPr bwMode="auto">
                    <a:xfrm>
                      <a:off x="0" y="0"/>
                      <a:ext cx="5486400" cy="2011680"/>
                    </a:xfrm>
                    <a:prstGeom prst="rect">
                      <a:avLst/>
                    </a:prstGeom>
                    <a:noFill/>
                  </pic:spPr>
                </pic:pic>
              </a:graphicData>
            </a:graphic>
          </wp:inline>
        </w:drawing>
      </w:r>
    </w:p>
    <w:p>
      <w:pPr>
        <w:pStyle w:val="Normal"/>
        <w:spacing w:lineRule="auto" w:line="276"/>
        <w:jc w:val="both"/>
        <w:rPr/>
      </w:pPr>
      <w:r>
        <w:rPr>
          <w:rFonts w:eastAsia="Times New Roman" w:cs="Times New Roman"/>
          <w:sz w:val="18"/>
        </w:rPr>
        <w:t>Figura 10. Impacto de añadir Black Top-Hat sobre las configuraciones disco L3 y L5: cambio relativo por métrica (verde = mejora, rojo = empeora).</w:t>
      </w:r>
    </w:p>
    <w:p>
      <w:pPr>
        <w:pStyle w:val="Heading2"/>
        <w:jc w:val="start"/>
        <w:rPr/>
      </w:pPr>
      <w:r>
        <w:rPr>
          <w:rFonts w:eastAsia="Times New Roman" w:cs="Times New Roman"/>
          <w:b/>
          <w:color w:val="000000"/>
          <w:sz w:val="24"/>
        </w:rPr>
        <w:t>5.7 Evaluación orientada a tarea: detección con YOLO</w:t>
      </w:r>
    </w:p>
    <w:p>
      <w:pPr>
        <w:pStyle w:val="Normal"/>
        <w:spacing w:lineRule="auto" w:line="360"/>
        <w:ind w:firstLine="709"/>
        <w:jc w:val="both"/>
        <w:rPr/>
      </w:pPr>
      <w:r>
        <w:rPr>
          <w:rFonts w:eastAsia="Times New Roman" w:cs="Times New Roman"/>
        </w:rPr>
        <w:t xml:space="preserve">Para evaluar la utilidad de la fusión más allá de la calidad de imagen se realizó una evaluación orientada a tarea con un detector YOLOv8n preentrenado (clases COCO). Sin reentrenar ni anotar, se ejecutó inferencia sobre las 20 imágenes en cada modalidad —VIS, IR y las cinco fusiones (promedio, pirámide de Laplace, curvelet, Torre Top-Hat y Propuesta Novedosa)— y se contabilizó la detectabilidad: número de detecciones, clase (persona/vehículo) y confianza. La Tabla 8 resume los resultados por método.</w:t>
      </w:r>
    </w:p>
    <w:p>
      <w:pPr>
        <w:pStyle w:val="Normal"/>
        <w:spacing w:lineRule="auto" w:line="276"/>
        <w:rPr/>
      </w:pPr>
      <w:commentRangeStart w:id="1"/>
      <w:r>
        <w:rPr>
          <w:rFonts w:eastAsia="Times New Roman" w:cs="Times New Roman"/>
          <w:i/>
          <w:sz w:val="18"/>
        </w:rPr>
        <w:t>Tabla 8. Detectabilidad de YOLOv8n por método (suma sobre 20 imágenes; inferencia en GPU).</w:t>
      </w:r>
      <w:commentRangeEnd w:id="1"/>
      <w:r>
        <w:commentReference w:id="1"/>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rPr>
              <w:t>Fuente</w:t>
            </w:r>
          </w:p>
        </w:tc>
        <w:tc>
          <w:tcPr>
            <w:tcW w:w="1516" w:type="dxa"/>
            <w:tcBorders/>
          </w:tcPr>
          <w:p>
            <w:pPr>
              <w:pStyle w:val="Normal"/>
              <w:widowControl w:val="false"/>
              <w:spacing w:lineRule="auto" w:line="276" w:before="0" w:after="120"/>
              <w:rPr/>
            </w:pPr>
            <w:r>
              <w:rPr>
                <w:rFonts w:eastAsia="Times New Roman" w:cs="Times New Roman"/>
                <w:b/>
              </w:rPr>
              <w:t>Detecciones</w:t>
            </w:r>
          </w:p>
        </w:tc>
        <w:tc>
          <w:tcPr>
            <w:tcW w:w="1518" w:type="dxa"/>
            <w:tcBorders/>
          </w:tcPr>
          <w:p>
            <w:pPr>
              <w:pStyle w:val="Normal"/>
              <w:widowControl w:val="false"/>
              <w:spacing w:lineRule="auto" w:line="276" w:before="0" w:after="120"/>
              <w:rPr/>
            </w:pPr>
            <w:r>
              <w:rPr>
                <w:rFonts w:eastAsia="Times New Roman" w:cs="Times New Roman"/>
                <w:b/>
              </w:rPr>
              <w:t>Personas</w:t>
            </w:r>
          </w:p>
        </w:tc>
        <w:tc>
          <w:tcPr>
            <w:tcW w:w="1517" w:type="dxa"/>
            <w:tcBorders/>
          </w:tcPr>
          <w:p>
            <w:pPr>
              <w:pStyle w:val="Normal"/>
              <w:widowControl w:val="false"/>
              <w:spacing w:lineRule="auto" w:line="276" w:before="0" w:after="120"/>
              <w:rPr/>
            </w:pPr>
            <w:r>
              <w:rPr>
                <w:rFonts w:eastAsia="Times New Roman" w:cs="Times New Roman"/>
                <w:b/>
              </w:rPr>
              <w:t>Vehículos</w:t>
            </w:r>
          </w:p>
        </w:tc>
        <w:tc>
          <w:tcPr>
            <w:tcW w:w="1516" w:type="dxa"/>
            <w:tcBorders/>
          </w:tcPr>
          <w:p>
            <w:pPr>
              <w:pStyle w:val="Normal"/>
              <w:widowControl w:val="false"/>
              <w:spacing w:lineRule="auto" w:line="276" w:before="0" w:after="120"/>
              <w:rPr/>
            </w:pPr>
            <w:r>
              <w:rPr>
                <w:rFonts w:eastAsia="Times New Roman" w:cs="Times New Roman"/>
                <w:b/>
              </w:rPr>
              <w:t>Confianza media</w:t>
            </w:r>
          </w:p>
        </w:tc>
        <w:tc>
          <w:tcPr>
            <w:tcW w:w="1518" w:type="dxa"/>
            <w:tcBorders/>
          </w:tcPr>
          <w:p>
            <w:pPr>
              <w:pStyle w:val="Normal"/>
              <w:widowControl w:val="false"/>
              <w:spacing w:lineRule="auto" w:line="276" w:before="0" w:after="120"/>
              <w:rPr/>
            </w:pPr>
            <w:r>
              <w:rPr>
                <w:rFonts w:eastAsia="Times New Roman" w:cs="Times New Roman"/>
                <w:b/>
              </w:rPr>
              <w:t>FPS</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VIS</w:t>
            </w:r>
          </w:p>
        </w:tc>
        <w:tc>
          <w:tcPr>
            <w:tcW w:w="1516" w:type="dxa"/>
            <w:tcBorders/>
          </w:tcPr>
          <w:p>
            <w:pPr>
              <w:pStyle w:val="Normal"/>
              <w:widowControl w:val="false"/>
              <w:spacing w:lineRule="auto" w:line="276" w:before="0" w:after="120"/>
              <w:rPr/>
            </w:pPr>
            <w:r>
              <w:rPr>
                <w:rFonts w:eastAsia="Times New Roman" w:cs="Times New Roman"/>
                <w:b w:val="false"/>
              </w:rPr>
              <w:t xml:space="preserve">7</w:t>
            </w:r>
          </w:p>
        </w:tc>
        <w:tc>
          <w:tcPr>
            <w:tcW w:w="1518" w:type="dxa"/>
            <w:tcBorders/>
          </w:tcPr>
          <w:p>
            <w:pPr>
              <w:pStyle w:val="Normal"/>
              <w:widowControl w:val="false"/>
              <w:spacing w:lineRule="auto" w:line="276" w:before="0" w:after="120"/>
              <w:rPr/>
            </w:pPr>
            <w:r>
              <w:rPr>
                <w:rFonts w:eastAsia="Times New Roman" w:cs="Times New Roman"/>
                <w:b w:val="false"/>
              </w:rPr>
              <w:t xml:space="preserve">1</w:t>
            </w:r>
          </w:p>
        </w:tc>
        <w:tc>
          <w:tcPr>
            <w:tcW w:w="1517" w:type="dxa"/>
            <w:tcBorders/>
          </w:tcPr>
          <w:p>
            <w:pPr>
              <w:pStyle w:val="Normal"/>
              <w:widowControl w:val="false"/>
              <w:spacing w:lineRule="auto" w:line="276" w:before="0" w:after="120"/>
              <w:rPr/>
            </w:pPr>
            <w:r>
              <w:rPr>
                <w:rFonts w:eastAsia="Times New Roman" w:cs="Times New Roman"/>
                <w:b w:val="false"/>
              </w:rPr>
              <w:t xml:space="preserve">4</w:t>
            </w:r>
          </w:p>
        </w:tc>
        <w:tc>
          <w:tcPr>
            <w:tcW w:w="1516" w:type="dxa"/>
            <w:tcBorders/>
          </w:tcPr>
          <w:p>
            <w:pPr>
              <w:pStyle w:val="Normal"/>
              <w:widowControl w:val="false"/>
              <w:spacing w:lineRule="auto" w:line="276" w:before="0" w:after="120"/>
              <w:rPr/>
            </w:pPr>
            <w:r>
              <w:rPr>
                <w:rFonts w:eastAsia="Times New Roman" w:cs="Times New Roman"/>
                <w:b w:val="false"/>
              </w:rPr>
              <w:t xml:space="preserve">0,37</w:t>
            </w:r>
          </w:p>
        </w:tc>
        <w:tc>
          <w:tcPr>
            <w:tcW w:w="1518" w:type="dxa"/>
            <w:tcBorders/>
          </w:tcPr>
          <w:p>
            <w:pPr>
              <w:pStyle w:val="Normal"/>
              <w:widowControl w:val="false"/>
              <w:spacing w:lineRule="auto" w:line="276" w:before="0" w:after="120"/>
              <w:rPr/>
            </w:pPr>
            <w:r>
              <w:rPr>
                <w:rFonts w:eastAsia="Times New Roman" w:cs="Times New Roman"/>
                <w:b w:val="false"/>
              </w:rPr>
              <w:t xml:space="preserve">75,7</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IR</w:t>
            </w:r>
          </w:p>
        </w:tc>
        <w:tc>
          <w:tcPr>
            <w:tcW w:w="1516" w:type="dxa"/>
            <w:tcBorders/>
          </w:tcPr>
          <w:p>
            <w:pPr>
              <w:pStyle w:val="Normal"/>
              <w:widowControl w:val="false"/>
              <w:spacing w:lineRule="auto" w:line="276" w:before="0" w:after="120"/>
              <w:rPr/>
            </w:pPr>
            <w:r>
              <w:rPr>
                <w:rFonts w:eastAsia="Times New Roman" w:cs="Times New Roman"/>
                <w:b w:val="false"/>
              </w:rPr>
              <w:t xml:space="preserve">14</w:t>
            </w:r>
          </w:p>
        </w:tc>
        <w:tc>
          <w:tcPr>
            <w:tcW w:w="1518" w:type="dxa"/>
            <w:tcBorders/>
          </w:tcPr>
          <w:p>
            <w:pPr>
              <w:pStyle w:val="Normal"/>
              <w:widowControl w:val="false"/>
              <w:spacing w:lineRule="auto" w:line="276" w:before="0" w:after="120"/>
              <w:rPr/>
            </w:pPr>
            <w:r>
              <w:rPr>
                <w:rFonts w:eastAsia="Times New Roman" w:cs="Times New Roman"/>
                <w:b w:val="false"/>
              </w:rPr>
              <w:t xml:space="preserve">5</w:t>
            </w:r>
          </w:p>
        </w:tc>
        <w:tc>
          <w:tcPr>
            <w:tcW w:w="1517" w:type="dxa"/>
            <w:tcBorders/>
          </w:tcPr>
          <w:p>
            <w:pPr>
              <w:pStyle w:val="Normal"/>
              <w:widowControl w:val="false"/>
              <w:spacing w:lineRule="auto" w:line="276" w:before="0" w:after="120"/>
              <w:rPr/>
            </w:pPr>
            <w:r>
              <w:rPr>
                <w:rFonts w:eastAsia="Times New Roman" w:cs="Times New Roman"/>
                <w:b w:val="false"/>
              </w:rPr>
              <w:t xml:space="preserve">4</w:t>
            </w:r>
          </w:p>
        </w:tc>
        <w:tc>
          <w:tcPr>
            <w:tcW w:w="1516" w:type="dxa"/>
            <w:tcBorders/>
          </w:tcPr>
          <w:p>
            <w:pPr>
              <w:pStyle w:val="Normal"/>
              <w:widowControl w:val="false"/>
              <w:spacing w:lineRule="auto" w:line="276" w:before="0" w:after="120"/>
              <w:rPr/>
            </w:pPr>
            <w:r>
              <w:rPr>
                <w:rFonts w:eastAsia="Times New Roman" w:cs="Times New Roman"/>
                <w:b w:val="false"/>
              </w:rPr>
              <w:t xml:space="preserve">0,47</w:t>
            </w:r>
          </w:p>
        </w:tc>
        <w:tc>
          <w:tcPr>
            <w:tcW w:w="1518" w:type="dxa"/>
            <w:tcBorders/>
          </w:tcPr>
          <w:p>
            <w:pPr>
              <w:pStyle w:val="Normal"/>
              <w:widowControl w:val="false"/>
              <w:spacing w:lineRule="auto" w:line="276" w:before="0" w:after="120"/>
              <w:rPr/>
            </w:pPr>
            <w:r>
              <w:rPr>
                <w:rFonts w:eastAsia="Times New Roman" w:cs="Times New Roman"/>
                <w:b w:val="false"/>
              </w:rPr>
              <w:t xml:space="preserve">97,1</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Promedio</w:t>
            </w:r>
          </w:p>
        </w:tc>
        <w:tc>
          <w:tcPr>
            <w:tcW w:w="1516" w:type="dxa"/>
            <w:tcBorders/>
          </w:tcPr>
          <w:p>
            <w:pPr>
              <w:pStyle w:val="Normal"/>
              <w:widowControl w:val="false"/>
              <w:spacing w:lineRule="auto" w:line="276" w:before="0" w:after="120"/>
              <w:rPr/>
            </w:pPr>
            <w:r>
              <w:rPr>
                <w:rFonts w:eastAsia="Times New Roman" w:cs="Times New Roman"/>
                <w:b w:val="false"/>
              </w:rPr>
              <w:t xml:space="preserve">7</w:t>
            </w:r>
          </w:p>
        </w:tc>
        <w:tc>
          <w:tcPr>
            <w:tcW w:w="1518" w:type="dxa"/>
            <w:tcBorders/>
          </w:tcPr>
          <w:p>
            <w:pPr>
              <w:pStyle w:val="Normal"/>
              <w:widowControl w:val="false"/>
              <w:spacing w:lineRule="auto" w:line="276" w:before="0" w:after="120"/>
              <w:rPr/>
            </w:pPr>
            <w:r>
              <w:rPr>
                <w:rFonts w:eastAsia="Times New Roman" w:cs="Times New Roman"/>
                <w:b w:val="false"/>
              </w:rPr>
              <w:t xml:space="preserve">4</w:t>
            </w:r>
          </w:p>
        </w:tc>
        <w:tc>
          <w:tcPr>
            <w:tcW w:w="1517" w:type="dxa"/>
            <w:tcBorders/>
          </w:tcPr>
          <w:p>
            <w:pPr>
              <w:pStyle w:val="Normal"/>
              <w:widowControl w:val="false"/>
              <w:spacing w:lineRule="auto" w:line="276" w:before="0" w:after="120"/>
              <w:rPr/>
            </w:pPr>
            <w:r>
              <w:rPr>
                <w:rFonts w:eastAsia="Times New Roman" w:cs="Times New Roman"/>
                <w:b w:val="false"/>
              </w:rPr>
              <w:t xml:space="preserve">2</w:t>
            </w:r>
          </w:p>
        </w:tc>
        <w:tc>
          <w:tcPr>
            <w:tcW w:w="1516" w:type="dxa"/>
            <w:tcBorders/>
          </w:tcPr>
          <w:p>
            <w:pPr>
              <w:pStyle w:val="Normal"/>
              <w:widowControl w:val="false"/>
              <w:spacing w:lineRule="auto" w:line="276" w:before="0" w:after="120"/>
              <w:rPr/>
            </w:pPr>
            <w:r>
              <w:rPr>
                <w:rFonts w:eastAsia="Times New Roman" w:cs="Times New Roman"/>
                <w:b w:val="false"/>
              </w:rPr>
              <w:t xml:space="preserve">0,49</w:t>
            </w:r>
          </w:p>
        </w:tc>
        <w:tc>
          <w:tcPr>
            <w:tcW w:w="1518" w:type="dxa"/>
            <w:tcBorders/>
          </w:tcPr>
          <w:p>
            <w:pPr>
              <w:pStyle w:val="Normal"/>
              <w:widowControl w:val="false"/>
              <w:spacing w:lineRule="auto" w:line="276" w:before="0" w:after="120"/>
              <w:rPr/>
            </w:pPr>
            <w:r>
              <w:rPr>
                <w:rFonts w:eastAsia="Times New Roman" w:cs="Times New Roman"/>
                <w:b w:val="false"/>
              </w:rPr>
              <w:t xml:space="preserve">109,5</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Pirámide de Laplace</w:t>
            </w:r>
          </w:p>
        </w:tc>
        <w:tc>
          <w:tcPr>
            <w:tcW w:w="1516" w:type="dxa"/>
            <w:tcBorders/>
          </w:tcPr>
          <w:p>
            <w:pPr>
              <w:pStyle w:val="Normal"/>
              <w:widowControl w:val="false"/>
              <w:spacing w:lineRule="auto" w:line="276" w:before="0" w:after="120"/>
              <w:rPr/>
            </w:pPr>
            <w:r>
              <w:rPr>
                <w:rFonts w:eastAsia="Times New Roman" w:cs="Times New Roman"/>
                <w:b w:val="false"/>
              </w:rPr>
              <w:t xml:space="preserve">6</w:t>
            </w:r>
          </w:p>
        </w:tc>
        <w:tc>
          <w:tcPr>
            <w:tcW w:w="1518" w:type="dxa"/>
            <w:tcBorders/>
          </w:tcPr>
          <w:p>
            <w:pPr>
              <w:pStyle w:val="Normal"/>
              <w:widowControl w:val="false"/>
              <w:spacing w:lineRule="auto" w:line="276" w:before="0" w:after="120"/>
              <w:rPr/>
            </w:pPr>
            <w:r>
              <w:rPr>
                <w:rFonts w:eastAsia="Times New Roman" w:cs="Times New Roman"/>
                <w:b w:val="false"/>
              </w:rPr>
              <w:t xml:space="preserve">2</w:t>
            </w:r>
          </w:p>
        </w:tc>
        <w:tc>
          <w:tcPr>
            <w:tcW w:w="1517" w:type="dxa"/>
            <w:tcBorders/>
          </w:tcPr>
          <w:p>
            <w:pPr>
              <w:pStyle w:val="Normal"/>
              <w:widowControl w:val="false"/>
              <w:spacing w:lineRule="auto" w:line="276" w:before="0" w:after="120"/>
              <w:rPr/>
            </w:pPr>
            <w:r>
              <w:rPr>
                <w:rFonts w:eastAsia="Times New Roman" w:cs="Times New Roman"/>
                <w:b w:val="false"/>
              </w:rPr>
              <w:t xml:space="preserve">2</w:t>
            </w:r>
          </w:p>
        </w:tc>
        <w:tc>
          <w:tcPr>
            <w:tcW w:w="1516" w:type="dxa"/>
            <w:tcBorders/>
          </w:tcPr>
          <w:p>
            <w:pPr>
              <w:pStyle w:val="Normal"/>
              <w:widowControl w:val="false"/>
              <w:spacing w:lineRule="auto" w:line="276" w:before="0" w:after="120"/>
              <w:rPr/>
            </w:pPr>
            <w:r>
              <w:rPr>
                <w:rFonts w:eastAsia="Times New Roman" w:cs="Times New Roman"/>
                <w:b w:val="false"/>
              </w:rPr>
              <w:t xml:space="preserve">0,54</w:t>
            </w:r>
          </w:p>
        </w:tc>
        <w:tc>
          <w:tcPr>
            <w:tcW w:w="1518" w:type="dxa"/>
            <w:tcBorders/>
          </w:tcPr>
          <w:p>
            <w:pPr>
              <w:pStyle w:val="Normal"/>
              <w:widowControl w:val="false"/>
              <w:spacing w:lineRule="auto" w:line="276" w:before="0" w:after="120"/>
              <w:rPr/>
            </w:pPr>
            <w:r>
              <w:rPr>
                <w:rFonts w:eastAsia="Times New Roman" w:cs="Times New Roman"/>
                <w:b w:val="false"/>
              </w:rPr>
              <w:t xml:space="preserve">113,7</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Curvelet</w:t>
            </w:r>
          </w:p>
        </w:tc>
        <w:tc>
          <w:tcPr>
            <w:tcW w:w="1516" w:type="dxa"/>
            <w:tcBorders/>
          </w:tcPr>
          <w:p>
            <w:pPr>
              <w:pStyle w:val="Normal"/>
              <w:widowControl w:val="false"/>
              <w:spacing w:lineRule="auto" w:line="276" w:before="0" w:after="120"/>
              <w:rPr/>
            </w:pPr>
            <w:r>
              <w:rPr>
                <w:rFonts w:eastAsia="Times New Roman" w:cs="Times New Roman"/>
                <w:b w:val="false"/>
              </w:rPr>
              <w:t xml:space="preserve">7</w:t>
            </w:r>
          </w:p>
        </w:tc>
        <w:tc>
          <w:tcPr>
            <w:tcW w:w="1518" w:type="dxa"/>
            <w:tcBorders/>
          </w:tcPr>
          <w:p>
            <w:pPr>
              <w:pStyle w:val="Normal"/>
              <w:widowControl w:val="false"/>
              <w:spacing w:lineRule="auto" w:line="276" w:before="0" w:after="120"/>
              <w:rPr/>
            </w:pPr>
            <w:r>
              <w:rPr>
                <w:rFonts w:eastAsia="Times New Roman" w:cs="Times New Roman"/>
                <w:b w:val="false"/>
              </w:rPr>
              <w:t xml:space="preserve">3</w:t>
            </w:r>
          </w:p>
        </w:tc>
        <w:tc>
          <w:tcPr>
            <w:tcW w:w="1517" w:type="dxa"/>
            <w:tcBorders/>
          </w:tcPr>
          <w:p>
            <w:pPr>
              <w:pStyle w:val="Normal"/>
              <w:widowControl w:val="false"/>
              <w:spacing w:lineRule="auto" w:line="276" w:before="0" w:after="120"/>
              <w:rPr/>
            </w:pPr>
            <w:r>
              <w:rPr>
                <w:rFonts w:eastAsia="Times New Roman" w:cs="Times New Roman"/>
                <w:b w:val="false"/>
              </w:rPr>
              <w:t xml:space="preserve">0</w:t>
            </w:r>
          </w:p>
        </w:tc>
        <w:tc>
          <w:tcPr>
            <w:tcW w:w="1516" w:type="dxa"/>
            <w:tcBorders/>
          </w:tcPr>
          <w:p>
            <w:pPr>
              <w:pStyle w:val="Normal"/>
              <w:widowControl w:val="false"/>
              <w:spacing w:lineRule="auto" w:line="276" w:before="0" w:after="120"/>
              <w:rPr/>
            </w:pPr>
            <w:r>
              <w:rPr>
                <w:rFonts w:eastAsia="Times New Roman" w:cs="Times New Roman"/>
                <w:b w:val="false"/>
              </w:rPr>
              <w:t xml:space="preserve">0,45</w:t>
            </w:r>
          </w:p>
        </w:tc>
        <w:tc>
          <w:tcPr>
            <w:tcW w:w="1518" w:type="dxa"/>
            <w:tcBorders/>
          </w:tcPr>
          <w:p>
            <w:pPr>
              <w:pStyle w:val="Normal"/>
              <w:widowControl w:val="false"/>
              <w:spacing w:lineRule="auto" w:line="276" w:before="0" w:after="120"/>
              <w:rPr/>
            </w:pPr>
            <w:r>
              <w:rPr>
                <w:rFonts w:eastAsia="Times New Roman" w:cs="Times New Roman"/>
                <w:b w:val="false"/>
              </w:rPr>
              <w:t xml:space="preserve">112,2</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Torre Top-Hat (disco L5)</w:t>
            </w:r>
          </w:p>
        </w:tc>
        <w:tc>
          <w:tcPr>
            <w:tcW w:w="1516" w:type="dxa"/>
            <w:tcBorders/>
          </w:tcPr>
          <w:p>
            <w:pPr>
              <w:pStyle w:val="Normal"/>
              <w:widowControl w:val="false"/>
              <w:spacing w:lineRule="auto" w:line="276" w:before="0" w:after="120"/>
              <w:rPr/>
            </w:pPr>
            <w:r>
              <w:rPr>
                <w:rFonts w:eastAsia="Times New Roman" w:cs="Times New Roman"/>
                <w:b w:val="false"/>
              </w:rPr>
              <w:t xml:space="preserve">8</w:t>
            </w:r>
          </w:p>
        </w:tc>
        <w:tc>
          <w:tcPr>
            <w:tcW w:w="1518" w:type="dxa"/>
            <w:tcBorders/>
          </w:tcPr>
          <w:p>
            <w:pPr>
              <w:pStyle w:val="Normal"/>
              <w:widowControl w:val="false"/>
              <w:spacing w:lineRule="auto" w:line="276" w:before="0" w:after="120"/>
              <w:rPr/>
            </w:pPr>
            <w:r>
              <w:rPr>
                <w:rFonts w:eastAsia="Times New Roman" w:cs="Times New Roman"/>
                <w:b w:val="false"/>
              </w:rPr>
              <w:t xml:space="preserve">4</w:t>
            </w:r>
          </w:p>
        </w:tc>
        <w:tc>
          <w:tcPr>
            <w:tcW w:w="1517" w:type="dxa"/>
            <w:tcBorders/>
          </w:tcPr>
          <w:p>
            <w:pPr>
              <w:pStyle w:val="Normal"/>
              <w:widowControl w:val="false"/>
              <w:spacing w:lineRule="auto" w:line="276" w:before="0" w:after="120"/>
              <w:rPr/>
            </w:pPr>
            <w:r>
              <w:rPr>
                <w:rFonts w:eastAsia="Times New Roman" w:cs="Times New Roman"/>
                <w:b w:val="false"/>
              </w:rPr>
              <w:t xml:space="preserve">2</w:t>
            </w:r>
          </w:p>
        </w:tc>
        <w:tc>
          <w:tcPr>
            <w:tcW w:w="1516" w:type="dxa"/>
            <w:tcBorders/>
          </w:tcPr>
          <w:p>
            <w:pPr>
              <w:pStyle w:val="Normal"/>
              <w:widowControl w:val="false"/>
              <w:spacing w:lineRule="auto" w:line="276" w:before="0" w:after="120"/>
              <w:rPr/>
            </w:pPr>
            <w:r>
              <w:rPr>
                <w:rFonts w:eastAsia="Times New Roman" w:cs="Times New Roman"/>
                <w:b w:val="false"/>
              </w:rPr>
              <w:t xml:space="preserve">0,52</w:t>
            </w:r>
          </w:p>
        </w:tc>
        <w:tc>
          <w:tcPr>
            <w:tcW w:w="1518" w:type="dxa"/>
            <w:tcBorders/>
          </w:tcPr>
          <w:p>
            <w:pPr>
              <w:pStyle w:val="Normal"/>
              <w:widowControl w:val="false"/>
              <w:spacing w:lineRule="auto" w:line="276" w:before="0" w:after="120"/>
              <w:rPr/>
            </w:pPr>
            <w:r>
              <w:rPr>
                <w:rFonts w:eastAsia="Times New Roman" w:cs="Times New Roman"/>
                <w:b w:val="false"/>
              </w:rPr>
              <w:t xml:space="preserve">115,1</w:t>
            </w:r>
          </w:p>
        </w:tc>
      </w:tr>
      <w:tr>
        <w:trPr/>
        <w:tc>
          <w:tcPr>
            <w:tcW w:w="1517" w:type="dxa"/>
            <w:tcBorders/>
          </w:tcPr>
          <w:p>
            <w:pPr>
              <w:pStyle w:val="Normal"/>
              <w:widowControl w:val="false"/>
              <w:spacing w:lineRule="auto" w:line="276" w:before="0" w:after="120"/>
              <w:rPr/>
            </w:pPr>
            <w:r>
              <w:rPr>
                <w:rFonts w:eastAsia="Times New Roman" w:cs="Times New Roman"/>
                <w:b w:val="false"/>
              </w:rPr>
              <w:t xml:space="preserve">Propuesta Novedosa</w:t>
            </w:r>
          </w:p>
        </w:tc>
        <w:tc>
          <w:tcPr>
            <w:tcW w:w="1516" w:type="dxa"/>
            <w:tcBorders/>
          </w:tcPr>
          <w:p>
            <w:pPr>
              <w:pStyle w:val="Normal"/>
              <w:widowControl w:val="false"/>
              <w:spacing w:lineRule="auto" w:line="276" w:before="0" w:after="120"/>
              <w:rPr/>
            </w:pPr>
            <w:r>
              <w:rPr>
                <w:rFonts w:eastAsia="Times New Roman" w:cs="Times New Roman"/>
                <w:b w:val="false"/>
              </w:rPr>
              <w:t xml:space="preserve">8</w:t>
            </w:r>
          </w:p>
        </w:tc>
        <w:tc>
          <w:tcPr>
            <w:tcW w:w="1518" w:type="dxa"/>
            <w:tcBorders/>
          </w:tcPr>
          <w:p>
            <w:pPr>
              <w:pStyle w:val="Normal"/>
              <w:widowControl w:val="false"/>
              <w:spacing w:lineRule="auto" w:line="276" w:before="0" w:after="120"/>
              <w:rPr/>
            </w:pPr>
            <w:r>
              <w:rPr>
                <w:rFonts w:eastAsia="Times New Roman" w:cs="Times New Roman"/>
                <w:b w:val="false"/>
              </w:rPr>
              <w:t xml:space="preserve">4</w:t>
            </w:r>
          </w:p>
        </w:tc>
        <w:tc>
          <w:tcPr>
            <w:tcW w:w="1517" w:type="dxa"/>
            <w:tcBorders/>
          </w:tcPr>
          <w:p>
            <w:pPr>
              <w:pStyle w:val="Normal"/>
              <w:widowControl w:val="false"/>
              <w:spacing w:lineRule="auto" w:line="276" w:before="0" w:after="120"/>
              <w:rPr/>
            </w:pPr>
            <w:r>
              <w:rPr>
                <w:rFonts w:eastAsia="Times New Roman" w:cs="Times New Roman"/>
                <w:b w:val="false"/>
              </w:rPr>
              <w:t xml:space="preserve">2</w:t>
            </w:r>
          </w:p>
        </w:tc>
        <w:tc>
          <w:tcPr>
            <w:tcW w:w="1516" w:type="dxa"/>
            <w:tcBorders/>
          </w:tcPr>
          <w:p>
            <w:pPr>
              <w:pStyle w:val="Normal"/>
              <w:widowControl w:val="false"/>
              <w:spacing w:lineRule="auto" w:line="276" w:before="0" w:after="120"/>
              <w:rPr/>
            </w:pPr>
            <w:r>
              <w:rPr>
                <w:rFonts w:eastAsia="Times New Roman" w:cs="Times New Roman"/>
                <w:b w:val="false"/>
              </w:rPr>
              <w:t xml:space="preserve">0,50</w:t>
            </w:r>
          </w:p>
        </w:tc>
        <w:tc>
          <w:tcPr>
            <w:tcW w:w="1518" w:type="dxa"/>
            <w:tcBorders/>
          </w:tcPr>
          <w:p>
            <w:pPr>
              <w:pStyle w:val="Normal"/>
              <w:widowControl w:val="false"/>
              <w:spacing w:lineRule="auto" w:line="276" w:before="0" w:after="120"/>
              <w:rPr/>
            </w:pPr>
            <w:r>
              <w:rPr>
                <w:rFonts w:eastAsia="Times New Roman" w:cs="Times New Roman"/>
                <w:b w:val="false"/>
              </w:rPr>
              <w:t xml:space="preserve">111,8</w:t>
            </w:r>
          </w:p>
        </w:tc>
      </w:tr>
    </w:tbl>
    <w:p>
      <w:pPr>
        <w:pStyle w:val="Normal"/>
        <w:spacing w:lineRule="auto" w:line="360"/>
        <w:ind w:firstLine="709"/>
        <w:jc w:val="both"/>
        <w:rPr/>
      </w:pPr>
      <w:r>
        <w:rPr>
          <w:rFonts w:eastAsia="Times New Roman" w:cs="Times New Roman"/>
        </w:rPr>
        <w:t xml:space="preserve">El hallazgo principal respalda la utilidad de la fusión: sobre la VIS sola el detector apenas encuentra una (1) persona en todo el conjunto, mientras que la información infrarroja eleva la detección de personas —el infrarrojo solo alcanza cinco (5) personas y catorce detecciones totales, la cifra más alta, coherente con su dominancia térmica—. Entre las fusiones, la Propuesta Novedosa y la Torre Top-Hat encabezan con ocho detecciones cada una (cuatro personas y dos vehículos, detección en 8 de 20 escenas) y una confianza media alta (0,50 y 0,52); los baselines quedan algo por detrás (promedio y curvelet, siete detecciones; pirámide de Laplace, seis). Persiste el patrón complementario: la VIS favorece los vehículos y la IR y las fusiones las personas.</w:t>
      </w:r>
    </w:p>
    <w:p>
      <w:pPr>
        <w:pStyle w:val="Normal"/>
        <w:spacing w:lineRule="auto" w:line="276"/>
        <w:rPr/>
      </w:pPr>
      <w:r>
        <w:rPr/>
        <w:drawing>
          <wp:inline distT="0" distB="0" distL="0" distR="0">
            <wp:extent cx="5760720" cy="2150745"/>
            <wp:effectExtent l="0" t="0" r="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noChangeArrowheads="1"/>
                    </pic:cNvPicPr>
                  </pic:nvPicPr>
                  <pic:blipFill>
                    <a:blip r:embed="rId13"/>
                    <a:stretch>
                      <a:fillRect/>
                    </a:stretch>
                  </pic:blipFill>
                  <pic:spPr bwMode="auto">
                    <a:xfrm>
                      <a:off x="0" y="0"/>
                      <a:ext cx="5760720" cy="2150745"/>
                    </a:xfrm>
                    <a:prstGeom prst="rect">
                      <a:avLst/>
                    </a:prstGeom>
                    <a:noFill/>
                  </pic:spPr>
                </pic:pic>
              </a:graphicData>
            </a:graphic>
          </wp:inline>
        </w:drawing>
      </w:r>
    </w:p>
    <w:p>
      <w:pPr>
        <w:pStyle w:val="Normal"/>
        <w:spacing w:lineRule="auto" w:line="276"/>
        <w:jc w:val="both"/>
        <w:rPr/>
      </w:pPr>
      <w:r>
        <w:rPr>
          <w:rFonts w:eastAsia="Times New Roman" w:cs="Times New Roman"/>
          <w:sz w:val="18"/>
        </w:rPr>
        <w:t>Figura 11. Detectabilidad de YOLOv8n preentrenado por método (izq.: personas vs vehículos por método; der.: detecciones por método; la Propuesta Novedosa resaltada).</w:t>
      </w:r>
    </w:p>
    <w:p>
      <w:pPr>
        <w:pStyle w:val="Normal"/>
        <w:spacing w:lineRule="auto" w:line="360"/>
        <w:ind w:firstLine="709"/>
        <w:jc w:val="both"/>
        <w:rPr/>
      </w:pPr>
      <w:r>
        <w:rPr>
          <w:rFonts w:eastAsia="Times New Roman" w:cs="Times New Roman"/>
        </w:rPr>
        <w:t xml:space="preserve">Esta evaluación debe leerse con cautela. Se trata de detectabilidad sin verdad de campo (ground truth): un mayor número de detecciones no equivale necesariamente a mayor exactitud, pues podría incluir falsos positivos. Con solo 20 imágenes sin etiquetar, la prueba de Friedman sobre las métricas de detección no resultó significativa (p = 0,34 para el número de detecciones; p = 0,35 para la confianza), por lo que no es posible declarar un método de fusión ganador en términos de detección. La inferencia se ejecutó en GPU (~75–115 FPS). Para una comparación concluyente en términos de mAP se reentrenó un detector sobre un conjunto etiquetado, como se detalla a continuación.</w:t>
      </w:r>
    </w:p>
    <w:p>
      <w:pPr>
        <w:pStyle w:val="Heading3"/>
        <w:jc w:val="start"/>
        <w:rPr/>
      </w:pPr>
      <w:r>
        <w:rPr>
          <w:rFonts w:eastAsia="Times New Roman" w:cs="Times New Roman"/>
          <w:b/>
          <w:color w:val="000000"/>
          <w:sz w:val="24"/>
        </w:rPr>
        <w:t>5.7.1 Evaluación con dataset etiquetado: mAP en LLVIP</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8b reporta mAP@0,5 y mAP@0,5:0,95.</w:t>
      </w:r>
    </w:p>
    <w:p>
      <w:pPr>
        <w:pStyle w:val="Normal"/>
        <w:spacing w:lineRule="auto" w:line="276"/>
        <w:jc w:val="both"/>
        <w:rPr/>
      </w:pPr>
      <w:r>
        <w:rPr>
          <w:rFonts w:eastAsia="Times New Roman" w:cs="Times New Roman"/>
          <w:i/>
          <w:sz w:val="18"/>
        </w:rPr>
        <w:t>Tabla 8b.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jc w:val="center"/>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Promedio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9"/>
              </w:rPr>
              <w:t>Propuesta Novedosa</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0,905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0,618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0,958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b/>
                <w:sz w:val="19"/>
              </w:rPr>
              <w:t>0,795</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Multiescala (prelim.)</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0,899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0,628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0,788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bl>
    <w:p>
      <w:pPr>
        <w:pStyle w:val="Normal"/>
        <w:spacing w:lineRule="auto" w:line="360"/>
        <w:ind w:firstLine="709"/>
        <w:jc w:val="both"/>
        <w:rPr/>
      </w:pPr>
      <w:r>
        <w:rPr>
          <w:rFonts w:eastAsia="Times New Roman" w:cs="Times New Roman"/>
        </w:rPr>
        <w:t>Tres lecturas se desprenden de la Tabla 8b. Primero, la fusión mejora con claridad sobre el visible solo (mAP@0,5 de 0,808 a 0,90–0,95): cuando el canal visible es débil —escenas nocturnas—, fusionar aporta. Segundo, el infrarrojo solo es la modalidad más fuerte (mAP@0,5 = 0,957; mAP@0,5:0,95 = 0,663), coherente con que LLVIP es detección de peatones en baja luz, donde el térmico domina; ninguna fusión lo supera. Tercero, entre las fusiones, las simples (promedio, Laplace) preservan mejor la detección que las morfológicas: la propuesta novedosa resulta competitiva (mAP@0,5 = 0,905) pero no líder. La conclusión es matizada y relevante: la superioridad en métricas de calidad de imagen (Nabf, SSIM) no se traslada automáticamente a la tarea de detección, y la elección del método depende de la aplicación —en consonancia con lo señalado por Singh et al. (2023)—.</w:t>
      </w:r>
    </w:p>
    <w:p>
      <w:pPr>
        <w:pStyle w:val="Heading2"/>
        <w:jc w:val="start"/>
        <w:rPr/>
      </w:pPr>
      <w:r>
        <w:rPr>
          <w:rFonts w:eastAsia="Times New Roman" w:cs="Times New Roman"/>
          <w:b/>
          <w:color w:val="000000"/>
          <w:sz w:val="24"/>
        </w:rPr>
        <w:t>5.8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El enjambre (30 partículas, 50 iteraciones) convergió de forma estable al óptimo r = 12 y m = 0,127.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9 compara la propuesta, en su configuración óptima (r = 12, m = 0,127), con el método anterior (Torre Top-Hat, disco L = 5) y los baselines sobre las métricas estándar de calidad. La propuesta registra una tasa de artefactos muy baja (Nabf = 0,035, frente a 0,108 de Laplace y 0,117 del método anterior) y la mayor similitud estructural entre los métodos reales (SSIM = 0,783), con la mejor preservación de bordes y correlación de su familia (Qabf = 0,495; SCD = 1,421).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al método anterior (Torre disco L5), la propuesta reduce los artefactos (Nabf 0,035 vs 0,117; p_Holm &lt; 0,001; |r| = 0,99) y eleva la similitud estructural (SSIM 0,783 vs 0,739; p_Holm &lt; 0,001; |r| = 0,99) y la información mutua con ambas fuentes (p_Holm ≤ 0,039); iguala estadísticamente —con medias iguales o superiores— en preservación de bordes (Qabf 0,495 vs 0,458; p_Holm = 0,90), correlación (SCD 1,421 vs 1,430; p_Holm = 0,18) y fidelidad perceptual (VIF; p_Holm = 0,19), y cede en las métricas de actividad (EN, SD, SF, MG, FE; p_Holm &lt; 0,001). Frente a la pirámide de Laplace gana en Nabf y SSIM (p_Holm &lt; 0,001), iguala en Qabf (p_Holm = 0,90) y SCD (p_Holm = 0,18) y cede en VIF y SD (p_Holm ≤ 0,001). Frente a Curvelet gana de forma estadísticamente significativa en Nabf, SSIM, Qabf, SCD y VIF (p_Holm ≤ 0,001). Con ello, la ventaja de la propuesta en limpieza (Nabf) y fidelidad estructural (SSIM) frente al método anterior y a los baselines resulta estadísticamente significativa, quedando sostenidas H1 y H2.</w:t>
      </w:r>
    </w:p>
    <w:p>
      <w:pPr>
        <w:pStyle w:val="Normal"/>
        <w:spacing w:lineRule="auto" w:line="360"/>
        <w:ind w:firstLine="709"/>
        <w:jc w:val="both"/>
        <w:rPr/>
      </w:pPr>
      <w:r>
        <w:rPr>
          <w:rFonts w:eastAsia="Times New Roman" w:cs="Times New Roman"/>
        </w:rPr>
        <w:t xml:space="preserve">La configuración óptima es robusta al radio: un barrido de r muestra que la aptitud crece de forma marginal y monótona al aumentar r (meseta de saturación), incrementando ligeramente la preservación de bordes (Qabf) y la correlación (SCD) a costa de una leve pérdida de similitud estructural (SSIM) y un pequeño aumento de artefactos (Nabf); r = 12 constituye un punto de operación equilibrado que mantiene un tamaño de elemento estructurante razonable.</w:t>
      </w:r>
    </w:p>
    <w:p>
      <w:pPr>
        <w:pStyle w:val="Normal"/>
        <w:spacing w:lineRule="auto" w:line="276"/>
        <w:jc w:val="both"/>
        <w:rPr/>
      </w:pPr>
      <w:commentRangeStart w:id="3"/>
      <w:r>
        <w:rPr>
          <w:rFonts w:eastAsia="Times New Roman" w:cs="Times New Roman"/>
          <w:i/>
          <w:sz w:val="18"/>
        </w:rPr>
        <w:t>Tabla 9. Propuesta Novedosa frente al método anterior y a los baselines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(r=12, m=0,127)</w:t>
            </w:r>
          </w:p>
        </w:tc>
        <w:tc>
          <w:tcPr>
            <w:tcW w:w="1518" w:type="dxa"/>
            <w:tcBorders/>
          </w:tcPr>
          <w:p>
            <w:pPr>
              <w:pStyle w:val="Normal"/>
              <w:widowControl w:val="false"/>
              <w:spacing w:lineRule="auto" w:line="276" w:before="0" w:after="120"/>
              <w:rPr/>
            </w:pPr>
            <w:r>
              <w:rPr>
                <w:rFonts w:eastAsia="Times New Roman" w:cs="Times New Roman"/>
                <w:b/>
                <w:color w:val="FFFFFF"/>
                <w:sz w:val="19"/>
              </w:rPr>
              <w:t>Método anterior (disco L5)</w:t>
            </w:r>
          </w:p>
        </w:tc>
        <w:tc>
          <w:tcPr>
            <w:tcW w:w="1517" w:type="dxa"/>
            <w:tcBorders/>
          </w:tcPr>
          <w:p>
            <w:pPr>
              <w:pStyle w:val="Normal"/>
              <w:widowControl w:val="false"/>
              <w:spacing w:lineRule="auto" w:line="276" w:before="0" w:after="120"/>
              <w:rPr/>
            </w:pPr>
            <w:r>
              <w:rPr>
                <w:rFonts w:eastAsia="Times New Roman" w:cs="Times New Roman"/>
                <w:b/>
                <w:color w:val="FFFFFF"/>
                <w:sz w:val="19"/>
              </w:rPr>
              <w:t>Laplace</w:t>
            </w:r>
          </w:p>
        </w:tc>
        <w:tc>
          <w:tcPr>
            <w:tcW w:w="1516" w:type="dxa"/>
            <w:tcBorders/>
          </w:tcPr>
          <w:p>
            <w:pPr>
              <w:pStyle w:val="Normal"/>
              <w:widowControl w:val="false"/>
              <w:spacing w:lineRule="auto" w:line="276" w:before="0" w:after="120"/>
              <w:rPr/>
            </w:pPr>
            <w:r>
              <w:rPr>
                <w:rFonts w:eastAsia="Times New Roman" w:cs="Times New Roman"/>
                <w:b/>
                <w:color w:val="FFFFFF"/>
                <w:sz w:val="19"/>
              </w:rPr>
              <w:t>Promedio</w:t>
            </w:r>
          </w:p>
        </w:tc>
        <w:tc>
          <w:tcPr>
            <w:tcW w:w="1518" w:type="dxa"/>
            <w:tcBorders/>
          </w:tcPr>
          <w:p>
            <w:pPr>
              <w:pStyle w:val="Normal"/>
              <w:widowControl w:val="false"/>
              <w:spacing w:lineRule="auto" w:line="276" w:before="0" w:after="120"/>
              <w:rPr/>
            </w:pPr>
            <w:r>
              <w:rPr>
                <w:rFonts w:eastAsia="Times New Roman" w:cs="Times New Roman"/>
                <w:b/>
                <w:color w:val="FFFFFF"/>
                <w:sz w:val="19"/>
              </w:rPr>
              <w:t>Curvelet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0,783</w:t>
            </w:r>
          </w:p>
        </w:tc>
        <w:tc>
          <w:tcPr>
            <w:tcW w:w="1518" w:type="dxa"/>
            <w:tcBorders/>
          </w:tcPr>
          <w:p>
            <w:pPr>
              <w:pStyle w:val="Normal"/>
              <w:widowControl w:val="false"/>
              <w:spacing w:lineRule="auto" w:line="276" w:before="0" w:after="120"/>
              <w:rPr/>
            </w:pPr>
            <w:r>
              <w:rPr>
                <w:rFonts w:eastAsia="Times New Roman" w:cs="Times New Roman"/>
                <w:sz w:val="19"/>
              </w:rPr>
              <w:t>0,739</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0,792</w:t>
            </w:r>
          </w:p>
        </w:tc>
        <w:tc>
          <w:tcPr>
            <w:tcW w:w="1518" w:type="dxa"/>
            <w:tcBorders/>
          </w:tcPr>
          <w:p>
            <w:pPr>
              <w:pStyle w:val="Normal"/>
              <w:widowControl w:val="false"/>
              <w:spacing w:lineRule="auto" w:line="276" w:before="0" w:after="120"/>
              <w:rPr/>
            </w:pPr>
            <w:r>
              <w:rPr>
                <w:rFonts w:eastAsia="Times New Roman" w:cs="Times New Roman"/>
                <w:sz w:val="19"/>
              </w:rPr>
              <w:t>0,731</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1,421</w:t>
            </w:r>
          </w:p>
        </w:tc>
        <w:tc>
          <w:tcPr>
            <w:tcW w:w="1518" w:type="dxa"/>
            <w:tcBorders/>
          </w:tcPr>
          <w:p>
            <w:pPr>
              <w:pStyle w:val="Normal"/>
              <w:widowControl w:val="false"/>
              <w:spacing w:lineRule="auto" w:line="276" w:before="0" w:after="120"/>
              <w:rPr/>
            </w:pPr>
            <w:r>
              <w:rPr>
                <w:rFonts w:eastAsia="Times New Roman" w:cs="Times New Roman"/>
                <w:sz w:val="19"/>
              </w:rPr>
              <w:t>1,430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1,325</w:t>
            </w:r>
          </w:p>
        </w:tc>
        <w:tc>
          <w:tcPr>
            <w:tcW w:w="1518" w:type="dxa"/>
            <w:tcBorders/>
          </w:tcPr>
          <w:p>
            <w:pPr>
              <w:pStyle w:val="Normal"/>
              <w:widowControl w:val="false"/>
              <w:spacing w:lineRule="auto" w:line="276" w:before="0" w:after="120"/>
              <w:rPr/>
            </w:pPr>
            <w:r>
              <w:rPr>
                <w:rFonts w:eastAsia="Times New Roman" w:cs="Times New Roman"/>
                <w:sz w:val="19"/>
              </w:rPr>
              <w:t>1,321</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0,495</w:t>
            </w:r>
          </w:p>
        </w:tc>
        <w:tc>
          <w:tcPr>
            <w:tcW w:w="1518" w:type="dxa"/>
            <w:tcBorders/>
          </w:tcPr>
          <w:p>
            <w:pPr>
              <w:pStyle w:val="Normal"/>
              <w:widowControl w:val="false"/>
              <w:spacing w:lineRule="auto" w:line="276" w:before="0" w:after="120"/>
              <w:rPr/>
            </w:pPr>
            <w:r>
              <w:rPr>
                <w:rFonts w:eastAsia="Times New Roman" w:cs="Times New Roman"/>
                <w:sz w:val="19"/>
              </w:rPr>
              <w:t>0,458</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0,310</w:t>
            </w:r>
          </w:p>
        </w:tc>
        <w:tc>
          <w:tcPr>
            <w:tcW w:w="1518" w:type="dxa"/>
            <w:tcBorders/>
          </w:tcPr>
          <w:p>
            <w:pPr>
              <w:pStyle w:val="Normal"/>
              <w:widowControl w:val="false"/>
              <w:spacing w:lineRule="auto" w:line="276" w:before="0" w:after="120"/>
              <w:rPr/>
            </w:pPr>
            <w:r>
              <w:rPr>
                <w:rFonts w:eastAsia="Times New Roman" w:cs="Times New Roman"/>
                <w:sz w:val="19"/>
              </w:rPr>
              <w:t>0,476</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0,035</w:t>
            </w:r>
          </w:p>
        </w:tc>
        <w:tc>
          <w:tcPr>
            <w:tcW w:w="1518" w:type="dxa"/>
            <w:tcBorders/>
          </w:tcPr>
          <w:p>
            <w:pPr>
              <w:pStyle w:val="Normal"/>
              <w:widowControl w:val="false"/>
              <w:spacing w:lineRule="auto" w:line="276" w:before="0" w:after="120"/>
              <w:rPr/>
            </w:pPr>
            <w:r>
              <w:rPr>
                <w:rFonts w:eastAsia="Times New Roman" w:cs="Times New Roman"/>
                <w:sz w:val="19"/>
              </w:rPr>
              <w:t>0,117</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0,000</w:t>
            </w:r>
          </w:p>
        </w:tc>
        <w:tc>
          <w:tcPr>
            <w:tcW w:w="1518" w:type="dxa"/>
            <w:tcBorders/>
          </w:tcPr>
          <w:p>
            <w:pPr>
              <w:pStyle w:val="Normal"/>
              <w:widowControl w:val="false"/>
              <w:spacing w:lineRule="auto" w:line="276" w:before="0" w:after="120"/>
              <w:rPr/>
            </w:pPr>
            <w:r>
              <w:rPr>
                <w:rFonts w:eastAsia="Times New Roman" w:cs="Times New Roman"/>
                <w:sz w:val="19"/>
              </w:rPr>
              <w:t>0,192</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0,361</w:t>
            </w:r>
          </w:p>
        </w:tc>
        <w:tc>
          <w:tcPr>
            <w:tcW w:w="1518" w:type="dxa"/>
            <w:tcBorders/>
          </w:tcPr>
          <w:p>
            <w:pPr>
              <w:pStyle w:val="Normal"/>
              <w:widowControl w:val="false"/>
              <w:spacing w:lineRule="auto" w:line="276" w:before="0" w:after="120"/>
              <w:rPr/>
            </w:pPr>
            <w:r>
              <w:rPr>
                <w:rFonts w:eastAsia="Times New Roman" w:cs="Times New Roman"/>
                <w:sz w:val="19"/>
              </w:rPr>
              <w:t>0,356</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0,330</w:t>
            </w:r>
          </w:p>
        </w:tc>
        <w:tc>
          <w:tcPr>
            <w:tcW w:w="1518" w:type="dxa"/>
            <w:tcBorders/>
          </w:tcPr>
          <w:p>
            <w:pPr>
              <w:pStyle w:val="Normal"/>
              <w:widowControl w:val="false"/>
              <w:spacing w:lineRule="auto" w:line="276" w:before="0" w:after="120"/>
              <w:rPr/>
            </w:pPr>
            <w:r>
              <w:rPr>
                <w:rFonts w:eastAsia="Times New Roman" w:cs="Times New Roman"/>
                <w:sz w:val="19"/>
              </w:rPr>
              <w:t>0,307</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0,115</w:t>
            </w:r>
          </w:p>
        </w:tc>
        <w:tc>
          <w:tcPr>
            <w:tcW w:w="1518" w:type="dxa"/>
            <w:tcBorders/>
          </w:tcPr>
          <w:p>
            <w:pPr>
              <w:pStyle w:val="Normal"/>
              <w:widowControl w:val="false"/>
              <w:spacing w:lineRule="auto" w:line="276" w:before="0" w:after="120"/>
              <w:rPr/>
            </w:pPr>
            <w:r>
              <w:rPr>
                <w:rFonts w:eastAsia="Times New Roman" w:cs="Times New Roman"/>
                <w:sz w:val="19"/>
              </w:rPr>
              <w:t>0,125</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0,109</w:t>
            </w:r>
          </w:p>
        </w:tc>
        <w:tc>
          <w:tcPr>
            <w:tcW w:w="1518" w:type="dxa"/>
            <w:tcBorders/>
          </w:tcPr>
          <w:p>
            <w:pPr>
              <w:pStyle w:val="Normal"/>
              <w:widowControl w:val="false"/>
              <w:spacing w:lineRule="auto" w:line="276" w:before="0" w:after="120"/>
              <w:rPr/>
            </w:pPr>
            <w:r>
              <w:rPr>
                <w:rFonts w:eastAsia="Times New Roman" w:cs="Times New Roman"/>
                <w:sz w:val="19"/>
              </w:rPr>
              <w:t>0,117</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12. Propuesta Novedosa (PSO: r = 12, m = 0,127) frente al método anterior y a los baselines en las métricas estándar de calidad.</w:t>
      </w:r>
    </w:p>
    <w:p>
      <w:pPr>
        <w:pStyle w:val="Normal"/>
        <w:spacing w:lineRule="auto" w:line="360"/>
        <w:ind w:firstLine="709"/>
        <w:jc w:val="both"/>
        <w:rPr/>
      </w:pPr>
      <w:r>
        <w:rPr>
          <w:rFonts w:eastAsia="Times New Roman" w:cs="Times New Roman"/>
        </w:rPr>
        <w:t xml:space="preserve">La Figura 13 resume la optimización y el análisis de sensibilidad del método. El panel izquierdo muestra la convergencia del PSO: el enjambre (30 partículas, 50 iteraciones) alcanza una aptitud estable hacia la décima iteración, en la configuración r = 12, m = 0,127. El panel derecho y la Tabla 10 cuantifican la sensibilidad al radio r: al aumentar r, la preservación de bordes (Qabf) y la correlación (SCD) mejoran de forma marginal y saturante, mientras que la similitud estructural (SSIM) desciende levemente y los artefactos (Nabf) aumentan poco; la contribución de los elementos estructurantes lineales sobre el disco es modesta en estas métricas y su valor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13. Convergencia del PSO (izq.) y sensibilidad al radio r (der.) de la Propuesta Novedosa, sobre tres escenas representativas.</w:t>
      </w:r>
    </w:p>
    <w:p>
      <w:pPr>
        <w:pStyle w:val="Normal"/>
        <w:spacing w:lineRule="auto" w:line="276"/>
        <w:jc w:val="both"/>
        <w:rPr/>
      </w:pPr>
      <w:r>
        <w:rPr>
          <w:rFonts w:eastAsia="Times New Roman" w:cs="Times New Roman"/>
          <w:i/>
          <w:sz w:val="18"/>
        </w:rPr>
        <w:t>Tabla 10. Sensibilidad al radio r de la Propuesta Novedosa (tres escenas representativas).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Variante</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r = 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0,482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0,785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1,384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0,031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r = 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0,490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0,784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1,405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0,034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8"/>
              </w:rPr>
              <w:t>r = 12 (propuesta)</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8"/>
              </w:rPr>
              <w:t>0,495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8"/>
              </w:rPr>
              <w:t>0,783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8"/>
              </w:rPr>
              <w:t>1,421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b/>
                <w:sz w:val="18"/>
              </w:rPr>
              <w:t>0,035</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r = 15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0,497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0,783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1,432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0,036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r = 18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0,498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0,783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1,438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0,036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r = 22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0,499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0,783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1,445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8"/>
              </w:rPr>
              <w:t>0,037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5.9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siete observaciones. Primero, la Propuesta Novedosa (r = 12, m = 0,127) exhibe el mejor perfil de calidad entre los métodos reales: una tasa de artefactos muy baja (Nabf = 0,035) y la mayor similitud estructural (SSIM = 0,783), con la mejor preservación de bordes y correlación de su familia (Qabf = 0,495; SCD = 1,421), a costa de ceder contraste (SD, EN). Segundo,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Tercero, la incorporación de las métricas estándar de calidad es la que revela este reparto: bajo las métricas clásicas —todas de actividad e información— el método parecía simplemente segundo, porque esas métricas favorecen al contraste y a la combinación lineal. Cuarto, Curvelet resulta el método más débil al penalizar artefactos (Nabf), corrigiendo la impresión de las métricas de actividad. Quinto, la variante Black Top-Hat intercambia calidad por contraste: mejora EN, SD, SF y MG pero degrada Qabf, SSIM, VIF y MI y dispara el Nabf, por lo que no se recomienda por defecto. Sexto, la información mutua y, en menor medida, la SSIM están sesgadas a favor del promedio simple, lo que obliga a reportarlas junto a métricas de preservación de bordes y artefactos. Séptimo, la evaluación orientada a tarea sobre LLVIP (mAP con verdad de campo, sección 5.7.1) matiza el alcance de esas ventajas: la fusión supera con claridad al visible solo (mAP@0,5 de 0,808 a 0,90–0,95) y H3 solo se sostiene parcialmente, porque el infrarrojo solo domina (0,957) y las fusiones simples igualan a las morfológicas; la propuesta resulta competitiva (0,905) sin ser líder, evidencia de que la superioridad en calidad de imagen no se traslada automáticamente a la detección y de que la elección del método debe subordinarse a la aplicación.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el método anterior (Torre Top-Hat) y con baselines clásicos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combinadas por máximo con la del disco sobre una sola escala (PSO: r=12, m=0,127)— logra el mejor perfil de calidad entre los métodos reales: una tasa de artefactos muy baja (Nabf=0,035) y la mayor similitud estructural (SSIM=0,783), con preservación de bordes y correlación destacadas (Qabf=0,495; SCD=1,421). Supera al método anterior (Torre Top-Hat) en limpieza y fidelidad estructural —de forma estadísticamente significativa (Wilcoxon pareado con corrección de Holm: p &lt; 0,001 en Nabf y SSIM; sección 5.8)—. En la evaluación de detección sobre LLVIP (mAP con etiquetas), la fusión supera al visible solo pero no al infrarrojo solo, y la propuesta resulta competitiva sin ser la mejor: su ventaja en calidad de imagen no se traslada directamente a la tarea de detección, cuya estrategia óptima depende de la aplicación.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12, m = 0,127), que registra la menor tasa de artefactos (Nabf) y la mayor similitud estructural (SSIM) entre los métodos reales; para un balance que privilegie el contraste global, la pirámide de Laplace sigue siendo una opción sólida; y la Torre Top-Hat con disco (L = 5)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Román, J. C. M., Vázquez Noguera, J. L., y Legal-Ayala, H. (2024). Algoritmo de realce para mamografías basado en Top-Hat multiescala con elementos estructurantes circulares y lineales. (Realce de contraste local y nitidez en imágenes mamográficas).</w:t>
      </w:r>
      <w:r>
        <w:rPr>
          <w:rFonts w:eastAsia="Times New Roman" w:cs="Times New Roman"/>
          <w:sz w:val="24"/>
          <w:szCs w:val="24"/>
        </w:rPr>
        <w:t xml:space="preserve"> [COMPLETAR revista/actas, volumen(número), páginas o DOI].</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(novel_fusion.py para la propuesta definitiva, prop_top_hat.py para el método anterior —Torre Top-Hat—, optimal_top_hat.py para el óptimo monoescala del avance y comparatives.py para los baselines), src/metrics/evaluators.py (las dieciséis métricas), src/utils/ (entrada/salida y visualización), experiments/run_all_fusions.py (comparación inter-método), experiments/run_stats_analysis.py (Friedman, Wilcoxon con Holm y ranking), experiments/benchmark_fusion.py (benchmark exhaustivo), experiments/pso_novel.py (optimización PSO de la propuesta),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benchmark exhaustivo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Tipo de elemento estructurante: disco, cuadrado, cruz.</w:t>
      </w:r>
    </w:p>
    <w:p>
      <w:pPr>
        <w:pStyle w:val="ListParagraph"/>
        <w:numPr>
          <w:ilvl w:val="0"/>
          <w:numId w:val="4"/>
        </w:numPr>
        <w:spacing w:lineRule="auto" w:line="360" w:before="0" w:after="100"/>
        <w:ind w:firstLine="709"/>
        <w:jc w:val="both"/>
        <w:rPr/>
      </w:pPr>
      <w:r>
        <w:rPr>
          <w:rFonts w:eastAsia="Times New Roman" w:cs="Times New Roman"/>
          <w:sz w:val="24"/>
          <w:szCs w:val="24"/>
        </w:rPr>
        <w:t>Número de niveles de descomposición: 2, 3, 4, 5.</w:t>
      </w:r>
    </w:p>
    <w:p>
      <w:pPr>
        <w:pStyle w:val="ListParagraph"/>
        <w:numPr>
          <w:ilvl w:val="0"/>
          <w:numId w:val="4"/>
        </w:numPr>
        <w:spacing w:lineRule="auto" w:line="276" w:before="0" w:after="100"/>
        <w:jc w:val="both"/>
        <w:rPr/>
      </w:pPr>
      <w:r>
        <w:rPr>
          <w:rFonts w:eastAsia="Times New Roman" w:cs="Times New Roman"/>
          <w:sz w:val="24"/>
          <w:szCs w:val="24"/>
        </w:rPr>
        <w:t>Radio base del SE: 2, 3, 5 píxeles.</w:t>
      </w:r>
    </w:p>
    <w:p>
      <w:pPr>
        <w:pStyle w:val="Normal"/>
        <w:spacing w:lineRule="auto" w:line="360" w:before="0" w:after="160"/>
        <w:ind w:firstLine="709"/>
        <w:jc w:val="both"/>
        <w:rPr/>
      </w:pPr>
      <w:r>
        <w:rPr>
          <w:rFonts w:eastAsia="Times New Roman" w:cs="Times New Roman"/>
          <w:sz w:val="24"/>
          <w:szCs w:val="24"/>
        </w:rPr>
        <w:t>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Torre Top-Hat</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max(WTH_lin, WTH_disco)                      # ec. (9)</w:t>
      </w:r>
    </w:p>
    <w:p>
      <w:pPr>
        <w:pStyle w:val="Normal"/>
        <w:spacing w:lineRule="auto" w:line="276" w:before="0" w:after="0"/>
        <w:rPr/>
      </w:pPr>
      <w:r>
        <w:rPr>
          <w:rFonts w:eastAsia="Times New Roman" w:cs="Times New Roman"/>
          <w:sz w:val="17"/>
        </w:rPr>
        <w:t xml:space="preserve">    Iopt_bot[S] &lt;- max(BTH_lin,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-&gt;  r = 12, m = 0,127</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confronta por máximo con la del disco sobre una sola escala —sin descomposición multiescala ni diferencias en cascada— y optimiza (r, m) por PSO, con óptimo r = 12, m = 0,127. Su implementación de referencia es src/fusion/optimal_top_hat.py (función fuse_optimal, modo 'max').</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