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m=0,30)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m=0.30) the proposal leads the study in entropy and fusion efficiency (EN=6.9855; FE=1.1047) and ranks second in contrast, mean gradient and spatial frequency (SD=0.1439; MG=0.0355; SF=17.4425), with a statistically significant advantage over the five state-of-the-art methods in EN, FE, MG and SF; it yields, in turn, on the fidelity metrics (SSIM=0.6584; PSNR=16.8409) and on mutual information, led by the multiscale methods. In the aggregate ranking over the nine metrics —the average of the ranks obtained within each image pair— it ranks first (3.39), ahead of the Laplacian pyramid (3.91) and the classical Top-Hat (3.94). As a task-oriented evaluation, retraining a detector (YOLOv8n) on the labeled LLVIP dataset shows that every fusion clearly outperforms the visible modality alone (mAP@0.5 from 0.81 to 0.91–0.95), although the infrared alone remains the strongest modality (0.971) and the proposal falls at the lower end of the fusion band (0.906), evidencing that the enhancement rewarded by activity metrics does not transfer to detection. In a complementary experiment on M3FD, with two classes of opposite visibility (people/IR and lamps/VIS) and a single detector trained on both modalities, the Ratio Pyramid is the only input whose complementary-pair average (0.622) exceeds both single modalities (0.618 for the visible and 0.563 for the infrared), while the proposal reaches 0.564, on par with the infrared alone.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PSO,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62</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72</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(PSO: r = 25, m = 0,30)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el orden del ranking no cambia y la propuesta sigue primera (3,63 frente a 3,99 de la pirámide de Laplace).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 xml:space="preserve">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el orden no cambia y la propuesta sigue primera (3,63 frente a 3,99 de la pirámide de Laplace).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 maximizar las nueve métricas de evaluación y activar el banco completo de elementos estructurantes.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quedan sostenidas H1 y H2.</w:t>
      </w:r>
    </w:p>
    <w:p>
      <w:pPr>
        <w:pStyle w:val="Normal"/>
        <w:spacing w:lineRule="auto" w:line="360"/>
        <w:ind w:firstLine="709"/>
        <w:jc w:val="both"/>
        <w:rPr/>
      </w:pPr>
      <w:r>
        <w:rPr>
          <w:rFonts w:eastAsia="Times New Roman" w:cs="Times New Roman"/>
        </w:rPr>
        <w:t xml:space="preserve">La elección del peso es robusta: las 25 combinaciones del barrido convergieron al mismo valor, m* = 0,30, el límite inferior del rango publicado, porque la aptitud Fo decrece de forma monótona al aumentar el realce. El radio r = 25 se adopta por maximizar las nueve métricas de evaluación —todas de tipo «mayor es mejor»— y por activar el banco completo de cinco elementos estructurantes: a igual peso, r = 25 supera a r = 1 en entropía, contraste, eficiencia de fusión, gradiente medio y frecuencia espacial, lo que confirma que el operador aprovecha vecindarios amplios para capturar los objetivos térmicos completos.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0,30)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el orden no cambia y la propuesta sigue primera (3,631 frente a 3,994 de la pirámide de Laplace), de modo que la redundancia no explica su primer lugar.</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 xml:space="preserve">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m=0,30, seleccionado mediante un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las hipótesis H1 y H2, mientras que H3 no se sostiene para la configuración adoptada: una mejor calidad de imagen medida por actividad no implica un mejor desempeño de detección,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(SSIM=0,739), la pirámide de Laplace el contraste (SD=0,155)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la fidelidad estructural (SSIM) y la información mutua con las fuentes (MI).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commentRangeStart w:id="4"/>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(9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