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40"/>
        <w:jc w:val="center"/>
      </w:pPr>
      <w:r>
        <w:rPr>
          <w:rFonts w:ascii="Arial" w:cs="Arial" w:eastAsia="Arial" w:hAnsi="Arial"/>
          <w:b/>
          <w:bCs/>
          <w:sz w:val="28"/>
          <w:szCs w:val="28"/>
        </w:rPr>
        <w:t xml:space="preserve">UNIVERSIDAD COMUNERA – UCOM</w:t>
      </w:r>
    </w:p>
    <w:p>
      <w:pPr>
        <w:spacing w:after="120" w:line="320"/>
        <w:jc w:val="center"/>
      </w:pPr>
      <w:r>
        <w:rPr>
          <w:rFonts w:ascii="Arial" w:cs="Arial" w:eastAsia="Arial" w:hAnsi="Arial"/>
          <w:sz w:val="24"/>
          <w:szCs w:val="24"/>
        </w:rPr>
        <w:t xml:space="preserve">FACULTAD DE CIENCIAS Y TECNOLOGÍA</w:t>
      </w:r>
    </w:p>
    <w:p>
      <w:pPr>
        <w:spacing w:after="120" w:line="320"/>
        <w:jc w:val="center"/>
      </w:pPr>
      <w:r>
        <w:rPr>
          <w:rFonts w:ascii="Arial" w:cs="Arial" w:eastAsia="Arial" w:hAnsi="Arial"/>
          <w:sz w:val="24"/>
          <w:szCs w:val="24"/>
        </w:rPr>
        <w:t xml:space="preserve">MAESTRÍA EN CIENCIAS DE DATOS</w:t>
      </w:r>
    </w:p>
    <w:p>
      <w:pPr>
        <w:spacing w:after="120"/>
      </w:pPr>
      <w:r>
        <w:t xml:space="preserve"/>
      </w:r>
    </w:p>
    <w:p>
      <w:pPr>
        <w:spacing w:after="120"/>
      </w:pPr>
      <w:r>
        <w:t xml:space="preserve"/>
      </w:r>
    </w:p>
    <w:p>
      <w:pPr>
        <w:spacing w:after="120"/>
      </w:pPr>
      <w:r>
        <w:t xml:space="preserve"/>
      </w:r>
    </w:p>
    <w:p>
      <w:pPr>
        <w:spacing w:after="120"/>
      </w:pPr>
      <w:r>
        <w:t xml:space="preserve"/>
      </w:r>
    </w:p>
    <w:p>
      <w:pPr>
        <w:spacing w:after="120"/>
      </w:pPr>
      <w:r>
        <w:t xml:space="preserve"/>
      </w:r>
    </w:p>
    <w:p>
      <w:pPr>
        <w:spacing w:after="120"/>
      </w:pPr>
      <w:r>
        <w:t xml:space="preserve"/>
      </w:r>
    </w:p>
    <w:p>
      <w:pPr>
        <w:spacing w:after="240"/>
        <w:jc w:val="center"/>
      </w:pPr>
      <w:r>
        <w:rPr>
          <w:rFonts w:ascii="Arial" w:cs="Arial" w:eastAsia="Arial" w:hAnsi="Arial"/>
          <w:b/>
          <w:bCs/>
          <w:sz w:val="32"/>
          <w:szCs w:val="32"/>
        </w:rPr>
        <w:t xml:space="preserve">FUSIÓN DE IMÁGENES INFRARROJAS Y VISIBLES MEDIANTE MORFOLOGÍA MATEMÁTICA</w:t>
      </w:r>
    </w:p>
    <w:p>
      <w:pPr>
        <w:spacing w:after="120" w:line="320"/>
        <w:jc w:val="center"/>
      </w:pPr>
      <w:r>
        <w:rPr>
          <w:rFonts w:ascii="Arial" w:cs="Arial" w:eastAsia="Arial" w:hAnsi="Arial"/>
          <w:i/>
          <w:iCs/>
          <w:sz w:val="24"/>
          <w:szCs w:val="24"/>
        </w:rPr>
        <w:t xml:space="preserve">Una propuesta basada en la Torre Top-Hat multiescala</w:t>
      </w:r>
    </w:p>
    <w:p>
      <w:pPr>
        <w:spacing w:after="120"/>
      </w:pPr>
      <w:r>
        <w:t xml:space="preserve"/>
      </w:r>
    </w:p>
    <w:p>
      <w:pPr>
        <w:spacing w:after="120"/>
      </w:pPr>
      <w:r>
        <w:t xml:space="preserve"/>
      </w:r>
    </w:p>
    <w:p>
      <w:pPr>
        <w:spacing w:after="120"/>
      </w:pPr>
      <w:r>
        <w:t xml:space="preserve"/>
      </w:r>
    </w:p>
    <w:p>
      <w:pPr>
        <w:spacing w:after="120"/>
      </w:pPr>
      <w:r>
        <w:t xml:space="preserve"/>
      </w:r>
    </w:p>
    <w:p>
      <w:pPr>
        <w:spacing w:after="120"/>
      </w:pPr>
      <w:r>
        <w:t xml:space="preserve"/>
      </w:r>
    </w:p>
    <w:p>
      <w:pPr>
        <w:spacing w:after="120"/>
      </w:pPr>
      <w:r>
        <w:t xml:space="preserve"/>
      </w:r>
    </w:p>
    <w:p>
      <w:pPr>
        <w:spacing w:after="120" w:line="320"/>
        <w:jc w:val="center"/>
      </w:pPr>
      <w:r>
        <w:rPr>
          <w:rFonts w:ascii="Arial" w:cs="Arial" w:eastAsia="Arial" w:hAnsi="Arial"/>
          <w:b/>
          <w:bCs/>
          <w:sz w:val="24"/>
          <w:szCs w:val="24"/>
        </w:rPr>
        <w:t xml:space="preserve">Autores:</w:t>
      </w:r>
    </w:p>
    <w:p>
      <w:pPr>
        <w:spacing w:after="120" w:line="320"/>
        <w:jc w:val="center"/>
      </w:pPr>
      <w:r>
        <w:rPr>
          <w:rFonts w:ascii="Arial" w:cs="Arial" w:eastAsia="Arial" w:hAnsi="Arial"/>
          <w:sz w:val="24"/>
          <w:szCs w:val="24"/>
        </w:rPr>
        <w:t xml:space="preserve">Lic. Juan Pablo Bazán</w:t>
      </w:r>
    </w:p>
    <w:p>
      <w:pPr>
        <w:spacing w:after="120" w:line="320"/>
        <w:jc w:val="center"/>
      </w:pPr>
      <w:r>
        <w:rPr>
          <w:rFonts w:ascii="Arial" w:cs="Arial" w:eastAsia="Arial" w:hAnsi="Arial"/>
          <w:sz w:val="24"/>
          <w:szCs w:val="24"/>
        </w:rPr>
        <w:t xml:space="preserve">Ing. Yan Bajac</w:t>
      </w:r>
    </w:p>
    <w:p>
      <w:pPr>
        <w:spacing w:after="120"/>
      </w:pPr>
      <w:r>
        <w:t xml:space="preserve"/>
      </w:r>
    </w:p>
    <w:p>
      <w:pPr>
        <w:spacing w:after="120"/>
      </w:pPr>
      <w:r>
        <w:t xml:space="preserve"/>
      </w:r>
    </w:p>
    <w:p>
      <w:pPr>
        <w:spacing w:after="120" w:line="320"/>
        <w:jc w:val="center"/>
      </w:pPr>
      <w:r>
        <w:rPr>
          <w:rFonts w:ascii="Arial" w:cs="Arial" w:eastAsia="Arial" w:hAnsi="Arial"/>
          <w:b/>
          <w:bCs/>
          <w:sz w:val="24"/>
          <w:szCs w:val="24"/>
        </w:rPr>
        <w:t xml:space="preserve">Director:</w:t>
      </w:r>
    </w:p>
    <w:p>
      <w:pPr>
        <w:spacing w:after="120" w:line="320"/>
        <w:jc w:val="center"/>
      </w:pPr>
      <w:r>
        <w:rPr>
          <w:rFonts w:ascii="Arial" w:cs="Arial" w:eastAsia="Arial" w:hAnsi="Arial"/>
          <w:sz w:val="24"/>
          <w:szCs w:val="24"/>
        </w:rPr>
        <w:t xml:space="preserve">D.Sc. Julio César Mello</w:t>
      </w:r>
    </w:p>
    <w:p>
      <w:pPr>
        <w:spacing w:after="120"/>
      </w:pPr>
      <w:r>
        <w:t xml:space="preserve"/>
      </w:r>
    </w:p>
    <w:p>
      <w:pPr>
        <w:spacing w:after="120"/>
      </w:pPr>
      <w:r>
        <w:t xml:space="preserve"/>
      </w:r>
    </w:p>
    <w:p>
      <w:pPr>
        <w:spacing w:after="120"/>
      </w:pPr>
      <w:r>
        <w:t xml:space="preserve"/>
      </w:r>
    </w:p>
    <w:p>
      <w:pPr>
        <w:spacing w:after="120"/>
      </w:pPr>
      <w:r>
        <w:t xml:space="preserve"/>
      </w:r>
    </w:p>
    <w:p>
      <w:pPr>
        <w:spacing w:after="120"/>
      </w:pPr>
      <w:r>
        <w:t xml:space="preserve"/>
      </w:r>
    </w:p>
    <w:p>
      <w:pPr>
        <w:spacing w:after="120"/>
      </w:pPr>
      <w:r>
        <w:t xml:space="preserve"/>
      </w:r>
    </w:p>
    <w:p>
      <w:pPr>
        <w:spacing w:after="120"/>
      </w:pPr>
      <w:r>
        <w:t xml:space="preserve"/>
      </w:r>
    </w:p>
    <w:p>
      <w:pPr>
        <w:spacing w:after="120"/>
      </w:pPr>
      <w:r>
        <w:t xml:space="preserve"/>
      </w:r>
    </w:p>
    <w:p>
      <w:pPr>
        <w:spacing w:after="120" w:line="320"/>
        <w:jc w:val="center"/>
      </w:pPr>
      <w:r>
        <w:rPr>
          <w:rFonts w:ascii="Arial" w:cs="Arial" w:eastAsia="Arial" w:hAnsi="Arial"/>
          <w:sz w:val="24"/>
          <w:szCs w:val="24"/>
        </w:rPr>
        <w:t xml:space="preserve">Asunción – Paraguay</w:t>
      </w:r>
    </w:p>
    <w:p>
      <w:pPr>
        <w:spacing w:after="120" w:line="320"/>
        <w:jc w:val="center"/>
      </w:pPr>
      <w:r>
        <w:rPr>
          <w:rFonts w:ascii="Arial" w:cs="Arial" w:eastAsia="Arial" w:hAnsi="Arial"/>
          <w:b/>
          <w:bCs/>
          <w:sz w:val="24"/>
          <w:szCs w:val="24"/>
        </w:rPr>
        <w:t xml:space="preserve">2026</w:t>
      </w:r>
    </w:p>
    <w:p>
      <w:pPr>
        <w:pageBreakBefore/>
        <w:spacing w:after="240" w:before="240"/>
        <w:jc w:val="center"/>
      </w:pPr>
      <w:r>
        <w:rPr>
          <w:rFonts w:ascii="Arial" w:cs="Arial" w:eastAsia="Arial" w:hAnsi="Arial"/>
          <w:b/>
          <w:bCs/>
          <w:sz w:val="28"/>
          <w:szCs w:val="28"/>
        </w:rPr>
        <w:t xml:space="preserve">PÁGINA DE APROBACIÓN</w:t>
      </w:r>
    </w:p>
    <w:p>
      <w:pPr>
        <w:spacing w:after="120"/>
      </w:pPr>
      <w:r>
        <w:t xml:space="preserve"/>
      </w:r>
    </w:p>
    <w:p>
      <w:pPr>
        <w:spacing w:after="120"/>
      </w:pPr>
      <w:r>
        <w:t xml:space="preserve"/>
      </w:r>
    </w:p>
    <w:p>
      <w:pPr>
        <w:spacing w:after="160" w:line="360"/>
        <w:jc w:val="both"/>
      </w:pPr>
      <w:r>
        <w:rPr>
          <w:rFonts w:ascii="Arial" w:cs="Arial" w:eastAsia="Arial" w:hAnsi="Arial"/>
          <w:sz w:val="24"/>
          <w:szCs w:val="24"/>
        </w:rPr>
        <w:t xml:space="preserve">Esta tesis, titulada «Fusión de Imágenes Infrarrojas y Visibles mediante Morfología Matemática», fue presentada por Lic. Juan Pablo Bazán e Ing. Yan Bajac como requisito parcial para la obtención del título de Magíster en Ciencias de Datos, y aprobada por el siguiente tribunal examinador.</w:t>
      </w:r>
    </w:p>
    <w:p>
      <w:pPr>
        <w:spacing w:after="120"/>
      </w:pPr>
      <w:r>
        <w:t xml:space="preserve"/>
      </w:r>
    </w:p>
    <w:p>
      <w:pPr>
        <w:spacing w:after="120"/>
      </w:pPr>
      <w:r>
        <w:t xml:space="preserve"/>
      </w:r>
    </w:p>
    <w:p>
      <w:pPr>
        <w:spacing w:after="120"/>
      </w:pPr>
      <w:r>
        <w:t xml:space="preserve"/>
      </w:r>
    </w:p>
    <w:p>
      <w:pPr>
        <w:spacing w:after="120"/>
      </w:pPr>
      <w:r>
        <w:t xml:space="preserve"/>
      </w:r>
    </w:p>
    <w:p>
      <w:pPr>
        <w:spacing w:after="120" w:line="320"/>
        <w:jc w:val="center"/>
      </w:pPr>
      <w:r>
        <w:rPr>
          <w:rFonts w:ascii="Arial" w:cs="Arial" w:eastAsia="Arial" w:hAnsi="Arial"/>
          <w:sz w:val="24"/>
          <w:szCs w:val="24"/>
        </w:rPr>
        <w:t xml:space="preserve">______________________________</w:t>
      </w:r>
    </w:p>
    <w:p>
      <w:pPr>
        <w:spacing w:after="120" w:line="320"/>
        <w:jc w:val="center"/>
      </w:pPr>
      <w:r>
        <w:rPr>
          <w:rFonts w:ascii="Arial" w:cs="Arial" w:eastAsia="Arial" w:hAnsi="Arial"/>
          <w:i/>
          <w:iCs/>
          <w:sz w:val="24"/>
          <w:szCs w:val="24"/>
        </w:rPr>
        <w:t xml:space="preserve">Director de Tesis – D.Sc. Julio César Mello</w:t>
      </w:r>
    </w:p>
    <w:p>
      <w:pPr>
        <w:spacing w:after="120"/>
      </w:pPr>
      <w:r>
        <w:t xml:space="preserve"/>
      </w:r>
    </w:p>
    <w:p>
      <w:pPr>
        <w:spacing w:after="120"/>
      </w:pPr>
      <w:r>
        <w:t xml:space="preserve"/>
      </w:r>
    </w:p>
    <w:p>
      <w:pPr>
        <w:spacing w:after="120"/>
      </w:pPr>
      <w:r>
        <w:t xml:space="preserve"/>
      </w:r>
    </w:p>
    <w:p>
      <w:pPr>
        <w:spacing w:after="120" w:line="320"/>
        <w:jc w:val="center"/>
      </w:pPr>
      <w:r>
        <w:rPr>
          <w:rFonts w:ascii="Arial" w:cs="Arial" w:eastAsia="Arial" w:hAnsi="Arial"/>
          <w:sz w:val="24"/>
          <w:szCs w:val="24"/>
        </w:rPr>
        <w:t xml:space="preserve">______________________________</w:t>
      </w:r>
    </w:p>
    <w:p>
      <w:pPr>
        <w:spacing w:after="120" w:line="320"/>
        <w:jc w:val="center"/>
      </w:pPr>
      <w:r>
        <w:rPr>
          <w:rFonts w:ascii="Arial" w:cs="Arial" w:eastAsia="Arial" w:hAnsi="Arial"/>
          <w:i/>
          <w:iCs/>
          <w:sz w:val="24"/>
          <w:szCs w:val="24"/>
        </w:rPr>
        <w:t xml:space="preserve">Examinador 1</w:t>
      </w:r>
    </w:p>
    <w:p>
      <w:pPr>
        <w:spacing w:after="120"/>
      </w:pPr>
      <w:r>
        <w:t xml:space="preserve"/>
      </w:r>
    </w:p>
    <w:p>
      <w:pPr>
        <w:spacing w:after="120"/>
      </w:pPr>
      <w:r>
        <w:t xml:space="preserve"/>
      </w:r>
    </w:p>
    <w:p>
      <w:pPr>
        <w:spacing w:after="120"/>
      </w:pPr>
      <w:r>
        <w:t xml:space="preserve"/>
      </w:r>
    </w:p>
    <w:p>
      <w:pPr>
        <w:spacing w:after="120" w:line="320"/>
        <w:jc w:val="center"/>
      </w:pPr>
      <w:r>
        <w:rPr>
          <w:rFonts w:ascii="Arial" w:cs="Arial" w:eastAsia="Arial" w:hAnsi="Arial"/>
          <w:sz w:val="24"/>
          <w:szCs w:val="24"/>
        </w:rPr>
        <w:t xml:space="preserve">______________________________</w:t>
      </w:r>
    </w:p>
    <w:p>
      <w:pPr>
        <w:spacing w:after="120" w:line="320"/>
        <w:jc w:val="center"/>
      </w:pPr>
      <w:r>
        <w:rPr>
          <w:rFonts w:ascii="Arial" w:cs="Arial" w:eastAsia="Arial" w:hAnsi="Arial"/>
          <w:i/>
          <w:iCs/>
          <w:sz w:val="24"/>
          <w:szCs w:val="24"/>
        </w:rPr>
        <w:t xml:space="preserve">Examinador 2</w:t>
      </w:r>
    </w:p>
    <w:p>
      <w:pPr>
        <w:spacing w:after="120"/>
      </w:pPr>
      <w:r>
        <w:t xml:space="preserve"/>
      </w:r>
    </w:p>
    <w:p>
      <w:pPr>
        <w:spacing w:after="120"/>
      </w:pPr>
      <w:r>
        <w:t xml:space="preserve"/>
      </w:r>
    </w:p>
    <w:p>
      <w:pPr>
        <w:spacing w:after="120"/>
      </w:pPr>
      <w:r>
        <w:t xml:space="preserve"/>
      </w:r>
    </w:p>
    <w:p>
      <w:pPr>
        <w:spacing w:after="120"/>
      </w:pPr>
      <w:r>
        <w:t xml:space="preserve"/>
      </w:r>
    </w:p>
    <w:p>
      <w:pPr>
        <w:spacing w:after="120" w:line="320"/>
        <w:jc w:val="center"/>
      </w:pPr>
      <w:r>
        <w:rPr>
          <w:rFonts w:ascii="Arial" w:cs="Arial" w:eastAsia="Arial" w:hAnsi="Arial"/>
          <w:sz w:val="24"/>
          <w:szCs w:val="24"/>
        </w:rPr>
        <w:t xml:space="preserve">Asunción, Paraguay</w:t>
      </w:r>
    </w:p>
    <w:p>
      <w:pPr>
        <w:spacing w:after="120" w:line="320"/>
        <w:jc w:val="center"/>
      </w:pPr>
      <w:r>
        <w:rPr>
          <w:rFonts w:ascii="Arial" w:cs="Arial" w:eastAsia="Arial" w:hAnsi="Arial"/>
          <w:sz w:val="24"/>
          <w:szCs w:val="24"/>
        </w:rPr>
        <w:t xml:space="preserve">2026</w:t>
      </w:r>
    </w:p>
    <w:p>
      <w:pPr>
        <w:pStyle w:val="Heading1"/>
        <w:pageBreakBefore/>
        <w:spacing w:after="240" w:before="360"/>
        <w:jc w:val="center"/>
      </w:pPr>
      <w:r>
        <w:rPr>
          <w:rFonts w:ascii="Arial" w:cs="Arial" w:eastAsia="Arial" w:hAnsi="Arial"/>
          <w:b/>
          <w:bCs/>
          <w:sz w:val="28"/>
          <w:szCs w:val="28"/>
        </w:rPr>
        <w:t xml:space="preserve">DEDICATORIA</w:t>
      </w:r>
    </w:p>
    <w:p>
      <w:pPr>
        <w:spacing w:after="120"/>
      </w:pPr>
      <w:r>
        <w:t xml:space="preserve"/>
      </w:r>
    </w:p>
    <w:p>
      <w:pPr>
        <w:spacing w:after="120"/>
      </w:pPr>
      <w:r>
        <w:t xml:space="preserve"/>
      </w:r>
    </w:p>
    <w:p>
      <w:pPr>
        <w:spacing w:after="160" w:line="360"/>
        <w:jc w:val="right"/>
      </w:pPr>
      <w:r>
        <w:rPr>
          <w:rFonts w:ascii="Arial" w:cs="Arial" w:eastAsia="Arial" w:hAnsi="Arial"/>
          <w:i/>
          <w:iCs/>
          <w:sz w:val="24"/>
          <w:szCs w:val="24"/>
        </w:rPr>
        <w:t xml:space="preserve">A nuestras familias, por sostener cada noche larga y cada decisión difícil que llevó este trabajo a término.</w:t>
      </w:r>
    </w:p>
    <w:p>
      <w:pPr>
        <w:spacing w:after="160" w:line="360"/>
        <w:jc w:val="right"/>
      </w:pPr>
      <w:r>
        <w:rPr>
          <w:rFonts w:ascii="Arial" w:cs="Arial" w:eastAsia="Arial" w:hAnsi="Arial"/>
          <w:i/>
          <w:iCs/>
          <w:sz w:val="24"/>
          <w:szCs w:val="24"/>
        </w:rPr>
        <w:t xml:space="preserve">A nuestros profesores y compañeros de la Maestría en Ciencias de Datos, por las discusiones que afilaron las ideas.</w:t>
      </w:r>
    </w:p>
    <w:p>
      <w:pPr>
        <w:spacing w:after="160" w:line="360"/>
        <w:jc w:val="right"/>
      </w:pPr>
      <w:r>
        <w:rPr>
          <w:rFonts w:ascii="Arial" w:cs="Arial" w:eastAsia="Arial" w:hAnsi="Arial"/>
          <w:i/>
          <w:iCs/>
          <w:sz w:val="24"/>
          <w:szCs w:val="24"/>
        </w:rPr>
        <w:t xml:space="preserve">Y a la comunidad de software libre, sin la cual una tesis empírica como esta sería materialmente imposible.</w:t>
      </w:r>
    </w:p>
    <w:p>
      <w:pPr>
        <w:pStyle w:val="Heading1"/>
        <w:pageBreakBefore/>
        <w:spacing w:after="240" w:before="360"/>
        <w:jc w:val="center"/>
      </w:pPr>
      <w:r>
        <w:rPr>
          <w:rFonts w:ascii="Arial" w:cs="Arial" w:eastAsia="Arial" w:hAnsi="Arial"/>
          <w:b/>
          <w:bCs/>
          <w:sz w:val="28"/>
          <w:szCs w:val="28"/>
        </w:rPr>
        <w:t xml:space="preserve">AGRADECIMIENTOS</w:t>
      </w:r>
    </w:p>
    <w:p>
      <w:pPr>
        <w:spacing w:after="160" w:line="360"/>
        <w:jc w:val="both"/>
      </w:pPr>
      <w:r>
        <w:rPr>
          <w:rFonts w:ascii="Arial" w:cs="Arial" w:eastAsia="Arial" w:hAnsi="Arial"/>
          <w:sz w:val="24"/>
          <w:szCs w:val="24"/>
        </w:rPr>
        <w:t xml:space="preserve">A la Universidad Comunera (UCOM) y a la Facultad de Ciencias y Tecnología, por brindar el marco académico de la Maestría en Ciencias de Datos.</w:t>
      </w:r>
    </w:p>
    <w:p>
      <w:pPr>
        <w:spacing w:after="160" w:line="360"/>
        <w:jc w:val="both"/>
      </w:pPr>
      <w:r>
        <w:rPr>
          <w:rFonts w:ascii="Arial" w:cs="Arial" w:eastAsia="Arial" w:hAnsi="Arial"/>
          <w:sz w:val="24"/>
          <w:szCs w:val="24"/>
        </w:rPr>
        <w:t xml:space="preserve">A nuestro director de tesis, D.Sc. Julio César Mello, por el rigor metodológico, la paciencia y la orientación constante a lo largo del desarrollo de este trabajo.</w:t>
      </w:r>
    </w:p>
    <w:p>
      <w:pPr>
        <w:spacing w:after="160" w:line="360"/>
        <w:jc w:val="both"/>
      </w:pPr>
      <w:r>
        <w:rPr>
          <w:rFonts w:ascii="Arial" w:cs="Arial" w:eastAsia="Arial" w:hAnsi="Arial"/>
          <w:sz w:val="24"/>
          <w:szCs w:val="24"/>
        </w:rPr>
        <w:t xml:space="preserve">A los autores y mantenedores del dataset TNO Image Fusion Dataset, cuyo material puesto a disposición pública hizo posible la evaluación experimental.</w:t>
      </w:r>
    </w:p>
    <w:p>
      <w:pPr>
        <w:spacing w:after="160" w:line="360"/>
        <w:jc w:val="both"/>
      </w:pPr>
      <w:r>
        <w:rPr>
          <w:rFonts w:ascii="Arial" w:cs="Arial" w:eastAsia="Arial" w:hAnsi="Arial"/>
          <w:sz w:val="24"/>
          <w:szCs w:val="24"/>
        </w:rPr>
        <w:t xml:space="preserve">A los desarrolladores de las bibliotecas científicas de Python (NumPy, OpenCV, scikit-image, SciPy, PyWavelets, Matplotlib, Pandas), pilares de toda la implementación.</w:t>
      </w:r>
    </w:p>
    <w:p>
      <w:pPr>
        <w:spacing w:after="160" w:line="360"/>
        <w:jc w:val="both"/>
      </w:pPr>
      <w:r>
        <w:rPr>
          <w:rFonts w:ascii="Arial" w:cs="Arial" w:eastAsia="Arial" w:hAnsi="Arial"/>
          <w:sz w:val="24"/>
          <w:szCs w:val="24"/>
        </w:rPr>
        <w:t xml:space="preserve">A nuestros colegas y compañeros de cohorte, por las revisiones cruzadas y los comentarios que mejoraron tanto el código como la redacción.</w:t>
      </w:r>
    </w:p>
    <w:p>
      <w:pPr>
        <w:pStyle w:val="Heading1"/>
        <w:pageBreakBefore/>
        <w:spacing w:after="240" w:before="360"/>
        <w:jc w:val="center"/>
      </w:pPr>
      <w:r>
        <w:rPr>
          <w:rFonts w:ascii="Arial" w:cs="Arial" w:eastAsia="Arial" w:hAnsi="Arial"/>
          <w:b/>
          <w:bCs/>
          <w:sz w:val="28"/>
          <w:szCs w:val="28"/>
        </w:rPr>
        <w:t xml:space="preserve">RESUMEN</w:t>
      </w:r>
    </w:p>
    <w:p>
      <w:pPr>
        <w:spacing w:after="160" w:line="360"/>
        <w:jc w:val="both"/>
      </w:pPr>
      <w:r>
        <w:t>La fusión de imágenes en los espectros visible (VIS) e infrarrojo (IR) es una técnica clave para la percepción computacional en condiciones adversas, con aplicaciones en vigilancia, conducción autónoma e inspección industrial. Este trabajo propone y evalúa la Torre Top-Hat: una descomposición morfológica multiescala con elementos estructurantes (SE) configurables (disco, cuadrado, cruz), múltiples niveles y radios variables, en dos modos: White Top-Hat (WTH) y White+Black Top-Hat (WTH+BTH). Las capas de detalle se fusionan por máxima actividad local y la base de baja frecuencia se promedia. Se realizaron estudios experimentales sobre veinte (20) pares VIS/IR del TNO Image Fusion Dataset, comparando la Torre Top-Hat frente a tres baselines (promedio, pirámide de Laplace y curvelet). La calidad se midió con doce métricas sin referencia: seis clásicas de actividad e información (EN, SD, FE, MG, MI_vis, MI_ir) y seis estándar de calidad de fusión (SF, Qabf, Nabf, SSIM, SCD, VIF). El análisis no paramétrico (Friedman, Wilcoxon pareado con corrección de Holm y tamaño de efecto, ranking promedio) reveló diferencias significativas (p &lt; 0,001 en las doce métricas). La pirámide de Laplace encabeza el ranking global agregado (rango 4,42) por su ventaja en contraste y fidelidad perceptual, pero la mejor configuración Top-Hat WTH (disco, L = 5; rango 5,00) la supera de forma estadísticamente significativa en fidelidad estructural (SSIM, SCD) y la iguala en preservación de bordes (Qabf) y artefactos (Nabf): ningún método domina, sino que cada uno es óptimo en criterios complementarios. La variante con Black Top-Hat aumenta el contraste (EN, SD, SF, MG) pero degrada la calidad (Qabf, SSIM, VIF) y multiplica los artefactos (Nabf), por lo que no se recomienda por defecto. Se concluye que la Torre Top-Hat es un método clásico, interpretable, computacionalmente liviano y superior a la pirámide de Laplace en fidelidad estructural a las fuentes.</w:t>
      </w:r>
    </w:p>
    <w:p>
      <w:pPr>
        <w:spacing w:after="160" w:line="360"/>
        <w:jc w:val="both"/>
      </w:pPr>
      <w:r>
        <w:rPr>
          <w:rFonts w:ascii="Arial" w:cs="Arial" w:eastAsia="Arial" w:hAnsi="Arial"/>
          <w:i/>
          <w:iCs/>
          <w:sz w:val="24"/>
          <w:szCs w:val="24"/>
        </w:rPr>
        <w:t xml:space="preserve">Palabras clave: fusión de imágenes, morfología matemática, top-hat, infrarrojo, visible, multiescala, métricas sin referencia.</w:t>
      </w:r>
    </w:p>
    <w:p>
      <w:pPr>
        <w:pStyle w:val="Heading1"/>
        <w:pageBreakBefore/>
        <w:spacing w:after="240" w:before="360"/>
        <w:jc w:val="center"/>
      </w:pPr>
      <w:r>
        <w:rPr>
          <w:rFonts w:ascii="Arial" w:cs="Arial" w:eastAsia="Arial" w:hAnsi="Arial"/>
          <w:b/>
          <w:bCs/>
          <w:sz w:val="28"/>
          <w:szCs w:val="28"/>
        </w:rPr>
        <w:t xml:space="preserve">SUMMARY</w:t>
      </w:r>
    </w:p>
    <w:p>
      <w:pPr>
        <w:spacing w:after="160" w:line="360"/>
        <w:jc w:val="both"/>
      </w:pPr>
      <w:r>
        <w:t>Image fusion in the visible (VIS) and infrared (IR) spectra is a key technique for computer perception under adverse conditions, with applications in surveillance, autonomous driving and industrial inspection. This work proposes and evaluates the Top-Hat Tower: a multi-scale morphological decomposition with configurable structuring elements (disk, square, cross), variable number of levels and base radii, in two modes: White Top-Hat (WTH) and White+Black Top-Hat (WTH+BTH). Detail layers are fused via local-activity selection while the low-frequency base is averaged. Experiments were carried out over twenty (20) VIS/IR pairs from the TNO Image Fusion Dataset, comparing the Top-Hat Tower against three baselines (average, Laplacian pyramid and curvelet). Quality was measured with twelve no-reference metrics: six classical metrics of activity and information (EN, SD, FE, MG, MI_vis, MI_ir) and six standard fusion-quality metrics (SF, Qabf, Nabf, SSIM, SCD, VIF). Non-parametric analysis (Friedman, paired Wilcoxon with Holm correction and effect size, mean rank) revealed significant differences (p &lt; 0.001 in all twelve metrics). The Laplacian pyramid leads the aggregate ranking (4.42) thanks to its advantage in contrast and perceptual fidelity, but the best Top-Hat WTH configuration (disk, L = 5; rank 5.00) significantly outperforms it in structural fidelity (SSIM, SCD) and matches it in edge preservation (Qabf) and artifacts (Nabf): no single method dominates, each being optimal under complementary criteria. The Black Top-Hat variant increases contrast (EN, SD, SF, MG) but degrades quality (Qabf, SSIM, VIF) and multiplies artifacts (Nabf), and is therefore not recommended by default. The Top-Hat Tower is concluded to be a classical, interpretable, computationally light method, superior to the Laplacian pyramid in structural fidelity to the sources.</w:t>
      </w:r>
    </w:p>
    <w:p>
      <w:pPr>
        <w:spacing w:after="160" w:line="360"/>
        <w:jc w:val="both"/>
      </w:pPr>
      <w:r>
        <w:rPr>
          <w:rFonts w:ascii="Arial" w:cs="Arial" w:eastAsia="Arial" w:hAnsi="Arial"/>
          <w:i/>
          <w:iCs/>
          <w:sz w:val="24"/>
          <w:szCs w:val="24"/>
        </w:rPr>
        <w:t xml:space="preserve">Keywords: image fusion, mathematical morphology, top-hat, infrared, visible, multi-scale, no-reference metrics.</w:t>
      </w:r>
    </w:p>
    <w:p>
      <w:pPr>
        <w:pStyle w:val="Heading1"/>
        <w:pageBreakBefore/>
        <w:spacing w:after="240" w:before="360"/>
        <w:jc w:val="center"/>
      </w:pPr>
      <w:r>
        <w:rPr>
          <w:rFonts w:ascii="Arial" w:cs="Arial" w:eastAsia="Arial" w:hAnsi="Arial"/>
          <w:b/>
          <w:bCs/>
          <w:sz w:val="28"/>
          <w:szCs w:val="28"/>
        </w:rPr>
        <w:t xml:space="preserve">LISTA DE SIGLAS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5E8F0" w:color="auto" w:val="clear"/>
            <w:tcMar>
              <w:top w:type="dxa" w:w="80"/>
              <w:left w:type="dxa" w:w="120"/>
              <w:bottom w:type="dxa" w:w="80"/>
              <w:right w:type="dxa" w:w="120"/>
            </w:tcMar>
          </w:tcPr>
          <w:p>
            <w:pPr>
              <w:jc w:val="center"/>
            </w:pPr>
            <w:r>
              <w:rPr>
                <w:rFonts w:ascii="Arial" w:cs="Arial" w:eastAsia="Arial" w:hAnsi="Arial"/>
                <w:b/>
                <w:bCs/>
                <w:sz w:val="22"/>
                <w:szCs w:val="22"/>
              </w:rPr>
              <w:t xml:space="preserve">Sigla</w:t>
            </w:r>
          </w:p>
        </w:tc>
        <w:tc>
          <w:tcPr>
            <w:tcW w:type="dxa" w:w="6960"/>
            <w:shd w:fill="D5E8F0" w:color="auto" w:val="clear"/>
            <w:tcMar>
              <w:top w:type="dxa" w:w="80"/>
              <w:left w:type="dxa" w:w="120"/>
              <w:bottom w:type="dxa" w:w="80"/>
              <w:right w:type="dxa" w:w="120"/>
            </w:tcMar>
          </w:tcPr>
          <w:p>
            <w:pPr>
              <w:jc w:val="center"/>
            </w:pPr>
            <w:r>
              <w:rPr>
                <w:rFonts w:ascii="Arial" w:cs="Arial" w:eastAsia="Arial" w:hAnsi="Arial"/>
                <w:b/>
                <w:bCs/>
                <w:sz w:val="22"/>
                <w:szCs w:val="22"/>
              </w:rPr>
              <w:t xml:space="preserve">Significado</w:t>
            </w:r>
          </w:p>
        </w:tc>
      </w:tr>
      <w:tr>
        <w:tc>
          <w:tcPr>
            <w:tcW w:type="dxa" w:w="2400"/>
            <w:tcMar>
              <w:top w:type="dxa" w:w="80"/>
              <w:left w:type="dxa" w:w="120"/>
              <w:bottom w:type="dxa" w:w="80"/>
              <w:right w:type="dxa" w:w="120"/>
            </w:tcMar>
          </w:tcPr>
          <w:p>
            <w:pPr>
              <w:jc w:val="left"/>
            </w:pPr>
            <w:r>
              <w:rPr>
                <w:rFonts w:ascii="Arial" w:cs="Arial" w:eastAsia="Arial" w:hAnsi="Arial"/>
                <w:sz w:val="22"/>
                <w:szCs w:val="22"/>
              </w:rPr>
              <w:t xml:space="preserve">VIS</w:t>
            </w:r>
          </w:p>
        </w:tc>
        <w:tc>
          <w:tcPr>
            <w:tcW w:type="dxa" w:w="6960"/>
            <w:tcMar>
              <w:top w:type="dxa" w:w="80"/>
              <w:left w:type="dxa" w:w="120"/>
              <w:bottom w:type="dxa" w:w="80"/>
              <w:right w:type="dxa" w:w="120"/>
            </w:tcMar>
          </w:tcPr>
          <w:p>
            <w:pPr>
              <w:jc w:val="center"/>
            </w:pPr>
            <w:r>
              <w:rPr>
                <w:rFonts w:ascii="Arial" w:cs="Arial" w:eastAsia="Arial" w:hAnsi="Arial"/>
                <w:sz w:val="22"/>
                <w:szCs w:val="22"/>
              </w:rPr>
              <w:t xml:space="preserve">Espectro visible</w:t>
            </w:r>
          </w:p>
        </w:tc>
      </w:tr>
      <w:tr>
        <w:tc>
          <w:tcPr>
            <w:tcW w:type="dxa" w:w="2400"/>
            <w:shd w:fill="F4F7F6" w:color="auto" w:val="clear"/>
            <w:tcMar>
              <w:top w:type="dxa" w:w="80"/>
              <w:left w:type="dxa" w:w="120"/>
              <w:bottom w:type="dxa" w:w="80"/>
              <w:right w:type="dxa" w:w="120"/>
            </w:tcMar>
          </w:tcPr>
          <w:p>
            <w:pPr>
              <w:jc w:val="left"/>
            </w:pPr>
            <w:r>
              <w:rPr>
                <w:rFonts w:ascii="Arial" w:cs="Arial" w:eastAsia="Arial" w:hAnsi="Arial"/>
                <w:sz w:val="22"/>
                <w:szCs w:val="22"/>
              </w:rPr>
              <w:t xml:space="preserve">IR</w:t>
            </w:r>
          </w:p>
        </w:tc>
        <w:tc>
          <w:tcPr>
            <w:tcW w:type="dxa" w:w="6960"/>
            <w:shd w:fill="F4F7F6" w:color="auto" w:val="clear"/>
            <w:tcMar>
              <w:top w:type="dxa" w:w="80"/>
              <w:left w:type="dxa" w:w="120"/>
              <w:bottom w:type="dxa" w:w="80"/>
              <w:right w:type="dxa" w:w="120"/>
            </w:tcMar>
          </w:tcPr>
          <w:p>
            <w:pPr>
              <w:jc w:val="center"/>
            </w:pPr>
            <w:r>
              <w:rPr>
                <w:rFonts w:ascii="Arial" w:cs="Arial" w:eastAsia="Arial" w:hAnsi="Arial"/>
                <w:sz w:val="22"/>
                <w:szCs w:val="22"/>
              </w:rPr>
              <w:t xml:space="preserve">Infrarrojo</w:t>
            </w:r>
          </w:p>
        </w:tc>
      </w:tr>
      <w:tr>
        <w:tc>
          <w:tcPr>
            <w:tcW w:type="dxa" w:w="2400"/>
            <w:tcMar>
              <w:top w:type="dxa" w:w="80"/>
              <w:left w:type="dxa" w:w="120"/>
              <w:bottom w:type="dxa" w:w="80"/>
              <w:right w:type="dxa" w:w="120"/>
            </w:tcMar>
          </w:tcPr>
          <w:p>
            <w:pPr>
              <w:jc w:val="left"/>
            </w:pPr>
            <w:r>
              <w:rPr>
                <w:rFonts w:ascii="Arial" w:cs="Arial" w:eastAsia="Arial" w:hAnsi="Arial"/>
                <w:sz w:val="22"/>
                <w:szCs w:val="22"/>
              </w:rPr>
              <w:t xml:space="preserve">SE</w:t>
            </w:r>
          </w:p>
        </w:tc>
        <w:tc>
          <w:tcPr>
            <w:tcW w:type="dxa" w:w="6960"/>
            <w:tcMar>
              <w:top w:type="dxa" w:w="80"/>
              <w:left w:type="dxa" w:w="120"/>
              <w:bottom w:type="dxa" w:w="80"/>
              <w:right w:type="dxa" w:w="120"/>
            </w:tcMar>
          </w:tcPr>
          <w:p>
            <w:pPr>
              <w:jc w:val="center"/>
            </w:pPr>
            <w:r>
              <w:rPr>
                <w:rFonts w:ascii="Arial" w:cs="Arial" w:eastAsia="Arial" w:hAnsi="Arial"/>
                <w:sz w:val="22"/>
                <w:szCs w:val="22"/>
              </w:rPr>
              <w:t xml:space="preserve">Elemento estructurante (Structuring Element)</w:t>
            </w:r>
          </w:p>
        </w:tc>
      </w:tr>
      <w:tr>
        <w:tc>
          <w:tcPr>
            <w:tcW w:type="dxa" w:w="2400"/>
            <w:shd w:fill="F4F7F6" w:color="auto" w:val="clear"/>
            <w:tcMar>
              <w:top w:type="dxa" w:w="80"/>
              <w:left w:type="dxa" w:w="120"/>
              <w:bottom w:type="dxa" w:w="80"/>
              <w:right w:type="dxa" w:w="120"/>
            </w:tcMar>
          </w:tcPr>
          <w:p>
            <w:pPr>
              <w:jc w:val="left"/>
            </w:pPr>
            <w:r>
              <w:rPr>
                <w:rFonts w:ascii="Arial" w:cs="Arial" w:eastAsia="Arial" w:hAnsi="Arial"/>
                <w:sz w:val="22"/>
                <w:szCs w:val="22"/>
              </w:rPr>
              <w:t xml:space="preserve">WTH</w:t>
            </w:r>
          </w:p>
        </w:tc>
        <w:tc>
          <w:tcPr>
            <w:tcW w:type="dxa" w:w="6960"/>
            <w:shd w:fill="F4F7F6" w:color="auto" w:val="clear"/>
            <w:tcMar>
              <w:top w:type="dxa" w:w="80"/>
              <w:left w:type="dxa" w:w="120"/>
              <w:bottom w:type="dxa" w:w="80"/>
              <w:right w:type="dxa" w:w="120"/>
            </w:tcMar>
          </w:tcPr>
          <w:p>
            <w:pPr>
              <w:jc w:val="center"/>
            </w:pPr>
            <w:r>
              <w:rPr>
                <w:rFonts w:ascii="Arial" w:cs="Arial" w:eastAsia="Arial" w:hAnsi="Arial"/>
                <w:sz w:val="22"/>
                <w:szCs w:val="22"/>
              </w:rPr>
              <w:t xml:space="preserve">White Top-Hat (Top-Hat blanco)</w:t>
            </w:r>
          </w:p>
        </w:tc>
      </w:tr>
      <w:tr>
        <w:tc>
          <w:tcPr>
            <w:tcW w:type="dxa" w:w="2400"/>
            <w:tcMar>
              <w:top w:type="dxa" w:w="80"/>
              <w:left w:type="dxa" w:w="120"/>
              <w:bottom w:type="dxa" w:w="80"/>
              <w:right w:type="dxa" w:w="120"/>
            </w:tcMar>
          </w:tcPr>
          <w:p>
            <w:pPr>
              <w:jc w:val="left"/>
            </w:pPr>
            <w:r>
              <w:rPr>
                <w:rFonts w:ascii="Arial" w:cs="Arial" w:eastAsia="Arial" w:hAnsi="Arial"/>
                <w:sz w:val="22"/>
                <w:szCs w:val="22"/>
              </w:rPr>
              <w:t xml:space="preserve">BTH</w:t>
            </w:r>
          </w:p>
        </w:tc>
        <w:tc>
          <w:tcPr>
            <w:tcW w:type="dxa" w:w="6960"/>
            <w:tcMar>
              <w:top w:type="dxa" w:w="80"/>
              <w:left w:type="dxa" w:w="120"/>
              <w:bottom w:type="dxa" w:w="80"/>
              <w:right w:type="dxa" w:w="120"/>
            </w:tcMar>
          </w:tcPr>
          <w:p>
            <w:pPr>
              <w:jc w:val="center"/>
            </w:pPr>
            <w:r>
              <w:rPr>
                <w:rFonts w:ascii="Arial" w:cs="Arial" w:eastAsia="Arial" w:hAnsi="Arial"/>
                <w:sz w:val="22"/>
                <w:szCs w:val="22"/>
              </w:rPr>
              <w:t xml:space="preserve">Black Top-Hat (Top-Hat negro)</w:t>
            </w:r>
          </w:p>
        </w:tc>
      </w:tr>
      <w:tr>
        <w:tc>
          <w:tcPr>
            <w:tcW w:type="dxa" w:w="2400"/>
            <w:shd w:fill="F4F7F6" w:color="auto" w:val="clear"/>
            <w:tcMar>
              <w:top w:type="dxa" w:w="80"/>
              <w:left w:type="dxa" w:w="120"/>
              <w:bottom w:type="dxa" w:w="80"/>
              <w:right w:type="dxa" w:w="120"/>
            </w:tcMar>
          </w:tcPr>
          <w:p>
            <w:pPr>
              <w:jc w:val="left"/>
            </w:pPr>
            <w:r>
              <w:rPr>
                <w:rFonts w:ascii="Arial" w:cs="Arial" w:eastAsia="Arial" w:hAnsi="Arial"/>
                <w:sz w:val="22"/>
                <w:szCs w:val="22"/>
              </w:rPr>
              <w:t xml:space="preserve">MM</w:t>
            </w:r>
          </w:p>
        </w:tc>
        <w:tc>
          <w:tcPr>
            <w:tcW w:type="dxa" w:w="6960"/>
            <w:shd w:fill="F4F7F6" w:color="auto" w:val="clear"/>
            <w:tcMar>
              <w:top w:type="dxa" w:w="80"/>
              <w:left w:type="dxa" w:w="120"/>
              <w:bottom w:type="dxa" w:w="80"/>
              <w:right w:type="dxa" w:w="120"/>
            </w:tcMar>
          </w:tcPr>
          <w:p>
            <w:pPr>
              <w:jc w:val="center"/>
            </w:pPr>
            <w:r>
              <w:rPr>
                <w:rFonts w:ascii="Arial" w:cs="Arial" w:eastAsia="Arial" w:hAnsi="Arial"/>
                <w:sz w:val="22"/>
                <w:szCs w:val="22"/>
              </w:rPr>
              <w:t xml:space="preserve">Morfología matemática</w:t>
            </w:r>
          </w:p>
        </w:tc>
      </w:tr>
      <w:tr>
        <w:tc>
          <w:tcPr>
            <w:tcW w:type="dxa" w:w="2400"/>
            <w:tcMar>
              <w:top w:type="dxa" w:w="80"/>
              <w:left w:type="dxa" w:w="120"/>
              <w:bottom w:type="dxa" w:w="80"/>
              <w:right w:type="dxa" w:w="120"/>
            </w:tcMar>
          </w:tcPr>
          <w:p>
            <w:pPr>
              <w:jc w:val="left"/>
            </w:pPr>
            <w:r>
              <w:rPr>
                <w:rFonts w:ascii="Arial" w:cs="Arial" w:eastAsia="Arial" w:hAnsi="Arial"/>
                <w:sz w:val="22"/>
                <w:szCs w:val="22"/>
              </w:rPr>
              <w:t xml:space="preserve">EN</w:t>
            </w:r>
          </w:p>
        </w:tc>
        <w:tc>
          <w:tcPr>
            <w:tcW w:type="dxa" w:w="6960"/>
            <w:tcMar>
              <w:top w:type="dxa" w:w="80"/>
              <w:left w:type="dxa" w:w="120"/>
              <w:bottom w:type="dxa" w:w="80"/>
              <w:right w:type="dxa" w:w="120"/>
            </w:tcMar>
          </w:tcPr>
          <w:p>
            <w:pPr>
              <w:jc w:val="center"/>
            </w:pPr>
            <w:r>
              <w:rPr>
                <w:rFonts w:ascii="Arial" w:cs="Arial" w:eastAsia="Arial" w:hAnsi="Arial"/>
                <w:sz w:val="22"/>
                <w:szCs w:val="22"/>
              </w:rPr>
              <w:t xml:space="preserve">Entropía de Shannon</w:t>
            </w:r>
          </w:p>
        </w:tc>
      </w:tr>
      <w:tr>
        <w:tc>
          <w:tcPr>
            <w:tcW w:type="dxa" w:w="2400"/>
            <w:shd w:fill="F4F7F6" w:color="auto" w:val="clear"/>
            <w:tcMar>
              <w:top w:type="dxa" w:w="80"/>
              <w:left w:type="dxa" w:w="120"/>
              <w:bottom w:type="dxa" w:w="80"/>
              <w:right w:type="dxa" w:w="120"/>
            </w:tcMar>
          </w:tcPr>
          <w:p>
            <w:pPr>
              <w:jc w:val="left"/>
            </w:pPr>
            <w:r>
              <w:rPr>
                <w:rFonts w:ascii="Arial" w:cs="Arial" w:eastAsia="Arial" w:hAnsi="Arial"/>
                <w:sz w:val="22"/>
                <w:szCs w:val="22"/>
              </w:rPr>
              <w:t xml:space="preserve">SD</w:t>
            </w:r>
          </w:p>
        </w:tc>
        <w:tc>
          <w:tcPr>
            <w:tcW w:type="dxa" w:w="6960"/>
            <w:shd w:fill="F4F7F6" w:color="auto" w:val="clear"/>
            <w:tcMar>
              <w:top w:type="dxa" w:w="80"/>
              <w:left w:type="dxa" w:w="120"/>
              <w:bottom w:type="dxa" w:w="80"/>
              <w:right w:type="dxa" w:w="120"/>
            </w:tcMar>
          </w:tcPr>
          <w:p>
            <w:pPr>
              <w:jc w:val="center"/>
            </w:pPr>
            <w:r>
              <w:rPr>
                <w:rFonts w:ascii="Arial" w:cs="Arial" w:eastAsia="Arial" w:hAnsi="Arial"/>
                <w:sz w:val="22"/>
                <w:szCs w:val="22"/>
              </w:rPr>
              <w:t xml:space="preserve">Desviación estándar</w:t>
            </w:r>
          </w:p>
        </w:tc>
      </w:tr>
      <w:tr>
        <w:tc>
          <w:tcPr>
            <w:tcW w:type="dxa" w:w="2400"/>
            <w:tcMar>
              <w:top w:type="dxa" w:w="80"/>
              <w:left w:type="dxa" w:w="120"/>
              <w:bottom w:type="dxa" w:w="80"/>
              <w:right w:type="dxa" w:w="120"/>
            </w:tcMar>
          </w:tcPr>
          <w:p>
            <w:pPr>
              <w:jc w:val="left"/>
            </w:pPr>
            <w:r>
              <w:rPr>
                <w:rFonts w:ascii="Arial" w:cs="Arial" w:eastAsia="Arial" w:hAnsi="Arial"/>
                <w:sz w:val="22"/>
                <w:szCs w:val="22"/>
              </w:rPr>
              <w:t xml:space="preserve">FE</w:t>
            </w:r>
          </w:p>
        </w:tc>
        <w:tc>
          <w:tcPr>
            <w:tcW w:type="dxa" w:w="6960"/>
            <w:tcMar>
              <w:top w:type="dxa" w:w="80"/>
              <w:left w:type="dxa" w:w="120"/>
              <w:bottom w:type="dxa" w:w="80"/>
              <w:right w:type="dxa" w:w="120"/>
            </w:tcMar>
          </w:tcPr>
          <w:p>
            <w:pPr>
              <w:jc w:val="center"/>
            </w:pPr>
            <w:r>
              <w:rPr>
                <w:rFonts w:ascii="Arial" w:cs="Arial" w:eastAsia="Arial" w:hAnsi="Arial"/>
                <w:sz w:val="22"/>
                <w:szCs w:val="22"/>
              </w:rPr>
              <w:t xml:space="preserve">Factor / eficiencia de fusión</w:t>
            </w:r>
          </w:p>
        </w:tc>
      </w:tr>
      <w:tr>
        <w:tc>
          <w:tcPr>
            <w:tcW w:type="dxa" w:w="2400"/>
            <w:shd w:fill="F4F7F6" w:color="auto" w:val="clear"/>
            <w:tcMar>
              <w:top w:type="dxa" w:w="80"/>
              <w:left w:type="dxa" w:w="120"/>
              <w:bottom w:type="dxa" w:w="80"/>
              <w:right w:type="dxa" w:w="120"/>
            </w:tcMar>
          </w:tcPr>
          <w:p>
            <w:pPr>
              <w:jc w:val="left"/>
            </w:pPr>
            <w:r>
              <w:rPr>
                <w:rFonts w:ascii="Arial" w:cs="Arial" w:eastAsia="Arial" w:hAnsi="Arial"/>
                <w:sz w:val="22"/>
                <w:szCs w:val="22"/>
              </w:rPr>
              <w:t xml:space="preserve">MG</w:t>
            </w:r>
          </w:p>
        </w:tc>
        <w:tc>
          <w:tcPr>
            <w:tcW w:type="dxa" w:w="6960"/>
            <w:shd w:fill="F4F7F6" w:color="auto" w:val="clear"/>
            <w:tcMar>
              <w:top w:type="dxa" w:w="80"/>
              <w:left w:type="dxa" w:w="120"/>
              <w:bottom w:type="dxa" w:w="80"/>
              <w:right w:type="dxa" w:w="120"/>
            </w:tcMar>
          </w:tcPr>
          <w:p>
            <w:pPr>
              <w:jc w:val="center"/>
            </w:pPr>
            <w:r>
              <w:rPr>
                <w:rFonts w:ascii="Arial" w:cs="Arial" w:eastAsia="Arial" w:hAnsi="Arial"/>
                <w:sz w:val="22"/>
                <w:szCs w:val="22"/>
              </w:rPr>
              <w:t xml:space="preserve">Gradiente medio</w:t>
            </w:r>
          </w:p>
        </w:tc>
      </w:tr>
      <w:tr>
        <w:tc>
          <w:tcPr>
            <w:tcW w:type="dxa" w:w="2400"/>
            <w:tcMar>
              <w:top w:type="dxa" w:w="80"/>
              <w:left w:type="dxa" w:w="120"/>
              <w:bottom w:type="dxa" w:w="80"/>
              <w:right w:type="dxa" w:w="120"/>
            </w:tcMar>
          </w:tcPr>
          <w:p>
            <w:pPr>
              <w:jc w:val="left"/>
            </w:pPr>
            <w:r>
              <w:rPr>
                <w:rFonts w:ascii="Arial" w:cs="Arial" w:eastAsia="Arial" w:hAnsi="Arial"/>
                <w:sz w:val="22"/>
                <w:szCs w:val="22"/>
              </w:rPr>
              <w:t xml:space="preserve">MI</w:t>
            </w:r>
          </w:p>
        </w:tc>
        <w:tc>
          <w:tcPr>
            <w:tcW w:type="dxa" w:w="6960"/>
            <w:tcMar>
              <w:top w:type="dxa" w:w="80"/>
              <w:left w:type="dxa" w:w="120"/>
              <w:bottom w:type="dxa" w:w="80"/>
              <w:right w:type="dxa" w:w="120"/>
            </w:tcMar>
          </w:tcPr>
          <w:p>
            <w:pPr>
              <w:jc w:val="center"/>
            </w:pPr>
            <w:r>
              <w:rPr>
                <w:rFonts w:ascii="Arial" w:cs="Arial" w:eastAsia="Arial" w:hAnsi="Arial"/>
                <w:sz w:val="22"/>
                <w:szCs w:val="22"/>
              </w:rPr>
              <w:t xml:space="preserve">Información mutua (Mutual Information)</w:t>
            </w:r>
          </w:p>
        </w:tc>
      </w:tr>
      <w:tr>
        <w:tc>
          <w:tcPr>
            <w:tcW w:type="dxa" w:w="2400"/>
            <w:shd w:fill="F4F7F6" w:color="auto" w:val="clear"/>
            <w:tcMar>
              <w:top w:type="dxa" w:w="80"/>
              <w:left w:type="dxa" w:w="120"/>
              <w:bottom w:type="dxa" w:w="80"/>
              <w:right w:type="dxa" w:w="120"/>
            </w:tcMar>
          </w:tcPr>
          <w:p>
            <w:pPr>
              <w:jc w:val="left"/>
            </w:pPr>
            <w:r>
              <w:rPr>
                <w:rFonts w:ascii="Arial" w:cs="Arial" w:eastAsia="Arial" w:hAnsi="Arial"/>
                <w:sz w:val="22"/>
                <w:szCs w:val="22"/>
              </w:rPr>
              <w:t xml:space="preserve">TNO</w:t>
            </w:r>
          </w:p>
        </w:tc>
        <w:tc>
          <w:tcPr>
            <w:tcW w:type="dxa" w:w="6960"/>
            <w:shd w:fill="F4F7F6" w:color="auto" w:val="clear"/>
            <w:tcMar>
              <w:top w:type="dxa" w:w="80"/>
              <w:left w:type="dxa" w:w="120"/>
              <w:bottom w:type="dxa" w:w="80"/>
              <w:right w:type="dxa" w:w="120"/>
            </w:tcMar>
          </w:tcPr>
          <w:p>
            <w:pPr>
              <w:jc w:val="center"/>
            </w:pPr>
            <w:r>
              <w:rPr>
                <w:rFonts w:ascii="Arial" w:cs="Arial" w:eastAsia="Arial" w:hAnsi="Arial"/>
                <w:sz w:val="22"/>
                <w:szCs w:val="22"/>
              </w:rPr>
              <w:t xml:space="preserve">TNO Image Fusion Dataset (Países Bajos)</w:t>
            </w:r>
          </w:p>
        </w:tc>
      </w:tr>
      <w:tr>
        <w:tc>
          <w:tcPr>
            <w:tcW w:type="dxa" w:w="2400"/>
            <w:tcMar>
              <w:top w:type="dxa" w:w="80"/>
              <w:left w:type="dxa" w:w="120"/>
              <w:bottom w:type="dxa" w:w="80"/>
              <w:right w:type="dxa" w:w="120"/>
            </w:tcMar>
          </w:tcPr>
          <w:p>
            <w:pPr>
              <w:jc w:val="left"/>
            </w:pPr>
            <w:r>
              <w:rPr>
                <w:rFonts w:ascii="Arial" w:cs="Arial" w:eastAsia="Arial" w:hAnsi="Arial"/>
                <w:sz w:val="22"/>
                <w:szCs w:val="22"/>
              </w:rPr>
              <w:t xml:space="preserve">PCA</w:t>
            </w:r>
          </w:p>
        </w:tc>
        <w:tc>
          <w:tcPr>
            <w:tcW w:type="dxa" w:w="6960"/>
            <w:tcMar>
              <w:top w:type="dxa" w:w="80"/>
              <w:left w:type="dxa" w:w="120"/>
              <w:bottom w:type="dxa" w:w="80"/>
              <w:right w:type="dxa" w:w="120"/>
            </w:tcMar>
          </w:tcPr>
          <w:p>
            <w:pPr>
              <w:jc w:val="center"/>
            </w:pPr>
            <w:r>
              <w:rPr>
                <w:rFonts w:ascii="Arial" w:cs="Arial" w:eastAsia="Arial" w:hAnsi="Arial"/>
                <w:sz w:val="22"/>
                <w:szCs w:val="22"/>
              </w:rPr>
              <w:t xml:space="preserve">Análisis de componentes principales</w:t>
            </w:r>
          </w:p>
        </w:tc>
      </w:tr>
      <w:tr>
        <w:tc>
          <w:tcPr>
            <w:tcW w:type="dxa" w:w="2400"/>
            <w:shd w:fill="F4F7F6" w:color="auto" w:val="clear"/>
            <w:tcMar>
              <w:top w:type="dxa" w:w="80"/>
              <w:left w:type="dxa" w:w="120"/>
              <w:bottom w:type="dxa" w:w="80"/>
              <w:right w:type="dxa" w:w="120"/>
            </w:tcMar>
          </w:tcPr>
          <w:p>
            <w:pPr>
              <w:jc w:val="left"/>
            </w:pPr>
            <w:r>
              <w:rPr>
                <w:rFonts w:ascii="Arial" w:cs="Arial" w:eastAsia="Arial" w:hAnsi="Arial"/>
                <w:sz w:val="22"/>
                <w:szCs w:val="22"/>
              </w:rPr>
              <w:t xml:space="preserve">DWT</w:t>
            </w:r>
          </w:p>
        </w:tc>
        <w:tc>
          <w:tcPr>
            <w:tcW w:type="dxa" w:w="6960"/>
            <w:shd w:fill="F4F7F6" w:color="auto" w:val="clear"/>
            <w:tcMar>
              <w:top w:type="dxa" w:w="80"/>
              <w:left w:type="dxa" w:w="120"/>
              <w:bottom w:type="dxa" w:w="80"/>
              <w:right w:type="dxa" w:w="120"/>
            </w:tcMar>
          </w:tcPr>
          <w:p>
            <w:pPr>
              <w:jc w:val="center"/>
            </w:pPr>
            <w:r>
              <w:rPr>
                <w:rFonts w:ascii="Arial" w:cs="Arial" w:eastAsia="Arial" w:hAnsi="Arial"/>
                <w:sz w:val="22"/>
                <w:szCs w:val="22"/>
              </w:rPr>
              <w:t xml:space="preserve">Transformada wavelet discreta</w:t>
            </w:r>
          </w:p>
        </w:tc>
      </w:tr>
      <w:tr>
        <w:tc>
          <w:tcPr>
            <w:tcW w:type="dxa" w:w="2400"/>
            <w:tcMar>
              <w:top w:type="dxa" w:w="80"/>
              <w:left w:type="dxa" w:w="120"/>
              <w:bottom w:type="dxa" w:w="80"/>
              <w:right w:type="dxa" w:w="120"/>
            </w:tcMar>
          </w:tcPr>
          <w:p>
            <w:pPr>
              <w:jc w:val="left"/>
            </w:pPr>
            <w:r>
              <w:rPr>
                <w:rFonts w:ascii="Arial" w:cs="Arial" w:eastAsia="Arial" w:hAnsi="Arial"/>
                <w:sz w:val="22"/>
                <w:szCs w:val="22"/>
              </w:rPr>
              <w:t xml:space="preserve">DTCWT</w:t>
            </w:r>
          </w:p>
        </w:tc>
        <w:tc>
          <w:tcPr>
            <w:tcW w:type="dxa" w:w="6960"/>
            <w:tcMar>
              <w:top w:type="dxa" w:w="80"/>
              <w:left w:type="dxa" w:w="120"/>
              <w:bottom w:type="dxa" w:w="80"/>
              <w:right w:type="dxa" w:w="120"/>
            </w:tcMar>
          </w:tcPr>
          <w:p>
            <w:pPr>
              <w:jc w:val="center"/>
            </w:pPr>
            <w:r>
              <w:rPr>
                <w:rFonts w:ascii="Arial" w:cs="Arial" w:eastAsia="Arial" w:hAnsi="Arial"/>
                <w:sz w:val="22"/>
                <w:szCs w:val="22"/>
              </w:rPr>
              <w:t xml:space="preserve">Transformada wavelet compleja de árbol dual</w:t>
            </w:r>
          </w:p>
        </w:tc>
      </w:tr>
      <w:tr>
        <w:tc>
          <w:tcPr>
            <w:tcW w:type="dxa" w:w="2400"/>
            <w:shd w:fill="F4F7F6" w:color="auto" w:val="clear"/>
            <w:tcMar>
              <w:top w:type="dxa" w:w="80"/>
              <w:left w:type="dxa" w:w="120"/>
              <w:bottom w:type="dxa" w:w="80"/>
              <w:right w:type="dxa" w:w="120"/>
            </w:tcMar>
          </w:tcPr>
          <w:p>
            <w:pPr>
              <w:jc w:val="left"/>
            </w:pPr>
            <w:r>
              <w:rPr>
                <w:rFonts w:ascii="Arial" w:cs="Arial" w:eastAsia="Arial" w:hAnsi="Arial"/>
                <w:sz w:val="22"/>
                <w:szCs w:val="22"/>
              </w:rPr>
              <w:t xml:space="preserve">CNN</w:t>
            </w:r>
          </w:p>
        </w:tc>
        <w:tc>
          <w:tcPr>
            <w:tcW w:type="dxa" w:w="6960"/>
            <w:shd w:fill="F4F7F6" w:color="auto" w:val="clear"/>
            <w:tcMar>
              <w:top w:type="dxa" w:w="80"/>
              <w:left w:type="dxa" w:w="120"/>
              <w:bottom w:type="dxa" w:w="80"/>
              <w:right w:type="dxa" w:w="120"/>
            </w:tcMar>
          </w:tcPr>
          <w:p>
            <w:pPr>
              <w:jc w:val="center"/>
            </w:pPr>
            <w:r>
              <w:rPr>
                <w:rFonts w:ascii="Arial" w:cs="Arial" w:eastAsia="Arial" w:hAnsi="Arial"/>
                <w:sz w:val="22"/>
                <w:szCs w:val="22"/>
              </w:rPr>
              <w:t xml:space="preserve">Red neuronal convolucional</w:t>
            </w:r>
          </w:p>
        </w:tc>
      </w:tr>
      <w:tr>
        <w:tc>
          <w:tcPr>
            <w:tcW w:type="dxa" w:w="2400"/>
            <w:tcMar>
              <w:top w:type="dxa" w:w="80"/>
              <w:left w:type="dxa" w:w="120"/>
              <w:bottom w:type="dxa" w:w="80"/>
              <w:right w:type="dxa" w:w="120"/>
            </w:tcMar>
          </w:tcPr>
          <w:p>
            <w:pPr>
              <w:jc w:val="left"/>
            </w:pPr>
            <w:r>
              <w:rPr>
                <w:rFonts w:ascii="Arial" w:cs="Arial" w:eastAsia="Arial" w:hAnsi="Arial"/>
                <w:sz w:val="22"/>
                <w:szCs w:val="22"/>
              </w:rPr>
              <w:t xml:space="preserve">GAN</w:t>
            </w:r>
          </w:p>
        </w:tc>
        <w:tc>
          <w:tcPr>
            <w:tcW w:type="dxa" w:w="6960"/>
            <w:tcMar>
              <w:top w:type="dxa" w:w="80"/>
              <w:left w:type="dxa" w:w="120"/>
              <w:bottom w:type="dxa" w:w="80"/>
              <w:right w:type="dxa" w:w="120"/>
            </w:tcMar>
          </w:tcPr>
          <w:p>
            <w:pPr>
              <w:jc w:val="center"/>
            </w:pPr>
            <w:r>
              <w:rPr>
                <w:rFonts w:ascii="Arial" w:cs="Arial" w:eastAsia="Arial" w:hAnsi="Arial"/>
                <w:sz w:val="22"/>
                <w:szCs w:val="22"/>
              </w:rPr>
              <w:t xml:space="preserve">Red generativa antagónica</w:t>
            </w:r>
          </w:p>
        </w:tc>
      </w:tr>
      <w:tr>
        <w:tc>
          <w:tcPr>
            <w:tcW w:type="dxa" w:w="2400"/>
          </w:tcPr>
          <w:p>
            <w:r>
              <w:t>SF</w:t>
            </w:r>
          </w:p>
        </w:tc>
        <w:tc>
          <w:tcPr>
            <w:tcW w:type="dxa" w:w="6960"/>
          </w:tcPr>
          <w:p>
            <w:r>
              <w:t>Frecuencia espacial (Spatial Frequency)</w:t>
            </w:r>
          </w:p>
        </w:tc>
      </w:tr>
      <w:tr>
        <w:tc>
          <w:tcPr>
            <w:tcW w:type="dxa" w:w="2400"/>
          </w:tcPr>
          <w:p>
            <w:r>
              <w:t>Qabf</w:t>
            </w:r>
          </w:p>
        </w:tc>
        <w:tc>
          <w:tcPr>
            <w:tcW w:type="dxa" w:w="6960"/>
          </w:tcPr>
          <w:p>
            <w:r>
              <w:t>Métrica de preservación de bordes (Xydeas-Petrovic)</w:t>
            </w:r>
          </w:p>
        </w:tc>
      </w:tr>
      <w:tr>
        <w:tc>
          <w:tcPr>
            <w:tcW w:type="dxa" w:w="2400"/>
          </w:tcPr>
          <w:p>
            <w:r>
              <w:t>Nabf</w:t>
            </w:r>
          </w:p>
        </w:tc>
        <w:tc>
          <w:tcPr>
            <w:tcW w:type="dxa" w:w="6960"/>
          </w:tcPr>
          <w:p>
            <w:r>
              <w:t>Artefactos añadidos por la fusión (menor es mejor)</w:t>
            </w:r>
          </w:p>
        </w:tc>
      </w:tr>
      <w:tr>
        <w:tc>
          <w:tcPr>
            <w:tcW w:type="dxa" w:w="2400"/>
          </w:tcPr>
          <w:p>
            <w:r>
              <w:t>SSIM</w:t>
            </w:r>
          </w:p>
        </w:tc>
        <w:tc>
          <w:tcPr>
            <w:tcW w:type="dxa" w:w="6960"/>
          </w:tcPr>
          <w:p>
            <w:r>
              <w:t>Índice de similitud estructural (Structural Similarity)</w:t>
            </w:r>
          </w:p>
        </w:tc>
      </w:tr>
      <w:tr>
        <w:tc>
          <w:tcPr>
            <w:tcW w:type="dxa" w:w="2400"/>
          </w:tcPr>
          <w:p>
            <w:r>
              <w:t>SCD</w:t>
            </w:r>
          </w:p>
        </w:tc>
        <w:tc>
          <w:tcPr>
            <w:tcW w:type="dxa" w:w="6960"/>
          </w:tcPr>
          <w:p>
            <w:r>
              <w:t>Suma de correlaciones de las diferencias</w:t>
            </w:r>
          </w:p>
        </w:tc>
      </w:tr>
      <w:tr>
        <w:tc>
          <w:tcPr>
            <w:tcW w:type="dxa" w:w="2400"/>
          </w:tcPr>
          <w:p>
            <w:r>
              <w:t>VIF</w:t>
            </w:r>
          </w:p>
        </w:tc>
        <w:tc>
          <w:tcPr>
            <w:tcW w:type="dxa" w:w="6960"/>
          </w:tcPr>
          <w:p>
            <w:r>
              <w:t>Fidelidad de información visual (Visual Information Fidelity)</w:t>
            </w:r>
          </w:p>
        </w:tc>
      </w:tr>
    </w:tbl>
    <w:p>
      <w:pPr>
        <w:pStyle w:val="Heading1"/>
        <w:pageBreakBefore/>
        <w:spacing w:after="240" w:before="360"/>
        <w:jc w:val="center"/>
      </w:pPr>
      <w:r>
        <w:rPr>
          <w:rFonts w:ascii="Arial" w:cs="Arial" w:eastAsia="Arial" w:hAnsi="Arial"/>
          <w:b/>
          <w:bCs/>
          <w:sz w:val="28"/>
          <w:szCs w:val="28"/>
        </w:rPr>
        <w:t xml:space="preserve">INTRODUCCIÓN</w:t>
      </w:r>
    </w:p>
    <w:p>
      <w:pPr>
        <w:spacing w:after="160" w:line="360"/>
        <w:jc w:val="both"/>
      </w:pPr>
      <w:r>
        <w:rPr>
          <w:rFonts w:ascii="Arial" w:cs="Arial" w:eastAsia="Arial" w:hAnsi="Arial"/>
          <w:sz w:val="24"/>
          <w:szCs w:val="24"/>
        </w:rPr>
        <w:t xml:space="preserve">La percepción visual computacional moderna depende, en numerosas aplicaciones críticas, de la integración de información proveniente de sensores complementarios. Las cámaras del espectro visible (VIS) capturan la reflectancia de la luz solar, ofreciendo alta resolución textural y cromática, pero degradándose ante condiciones de iluminación adversas como noche cerrada, niebla densa o humo. Por su parte, las cámaras infrarrojas (IR), particularmente las del rango térmico de onda larga, registran la radiación emitida por los cuerpos según su temperatura, siendo robustas a la oscuridad y a la mayoría de los oclusores atmosféricos, aunque con menor resolución espacial y escaso detalle de textura. La fusión de imágenes VIS+IR busca reunir estas fortalezas complementarias en una sola representación que sea, simultáneamente, rica en detalles, discriminativa térmicamente y útil para tareas posteriores de detección, clasificación o decisión.</w:t>
      </w:r>
    </w:p>
    <w:p>
      <w:pPr>
        <w:spacing w:after="160" w:line="360"/>
        <w:jc w:val="both"/>
      </w:pPr>
      <w:r>
        <w:rPr>
          <w:rFonts w:ascii="Arial" w:cs="Arial" w:eastAsia="Arial" w:hAnsi="Arial"/>
          <w:sz w:val="24"/>
          <w:szCs w:val="24"/>
        </w:rPr>
        <w:t xml:space="preserve">Las aplicaciones que se benefician de esta integración son numerosas y de alto impacto: vigilancia perimetral, búsqueda y rescate, conducción de vehículos autónomos en condiciones de baja visibilidad, sistemas de visión nocturna para defensa, inspección no destructiva en líneas de producción y diagnóstico médico complementario. En todas ellas, la calidad de la imagen fusionada condiciona directamente la calidad del análisis subsiguiente.</w:t>
      </w:r>
    </w:p>
    <w:p>
      <w:pPr>
        <w:spacing w:after="160" w:line="360"/>
        <w:jc w:val="both"/>
      </w:pPr>
      <w:r>
        <w:rPr>
          <w:rFonts w:ascii="Arial" w:cs="Arial" w:eastAsia="Arial" w:hAnsi="Arial"/>
          <w:sz w:val="24"/>
          <w:szCs w:val="24"/>
        </w:rPr>
        <w:t xml:space="preserve">Existen, en términos generales, tres familias de métodos de fusión: las de píxel, ampliamente estudiadas y operadas sobre intensidades; las de característica, que extraen rasgos abstractos antes de combinar; y las de decisión, que fusionan salidas de clasificadores. Dentro del nivel pixel, las técnicas multiescala (pirámides, wavelets, curvelets) y las morfológicas han sido pilares clásicos por su interpretabilidad y bajo costo computacional, en contraposición a los enfoques recientes basados en redes neuronales profundas, que ofrecen alto rendimiento pero demandan grandes volúmenes de datos pareados y operan como cajas negras.</w:t>
      </w:r>
    </w:p>
    <w:p>
      <w:pPr>
        <w:spacing w:after="160" w:line="360"/>
        <w:jc w:val="both"/>
      </w:pPr>
      <w:r>
        <w:rPr>
          <w:rFonts w:ascii="Arial" w:cs="Arial" w:eastAsia="Arial" w:hAnsi="Arial"/>
          <w:sz w:val="24"/>
          <w:szCs w:val="24"/>
        </w:rPr>
        <w:t xml:space="preserve">Esta tesis se sitúa explícitamente en el espacio de los métodos clásicos interpretables. Propone una descomposición morfológica multiescala denominada Torre Top-Hat, en la que la imagen se descompone iterativamente mediante transformadas Top-Hat de radio creciente, generando una pila de capas que aíslan detalles a escalas distintas. Cada capa se fusiona por una regla de actividad local y la imagen final se reconstruye por suma. La hipótesis subyacente es que la libertad de configurar el tipo de elemento estructurante, el número de niveles y el radio base permite ajustar la descomposición a las características concretas del par VIS/IR sin renunciar a la transparencia algorítmica.</w:t>
      </w:r>
    </w:p>
    <w:p>
      <w:pPr>
        <w:spacing w:after="160" w:line="360"/>
        <w:jc w:val="both"/>
      </w:pPr>
      <w:r>
        <w:rPr>
          <w:rFonts w:ascii="Arial" w:cs="Arial" w:eastAsia="Arial" w:hAnsi="Arial"/>
          <w:sz w:val="24"/>
          <w:szCs w:val="24"/>
        </w:rPr>
        <w:t xml:space="preserve">El presente documento está organizado de la siguiente manera. En el capítulo de Problema de Investigación se delimita la pregunta científica y los objetivos. El Marco Teórico revisa el estado del arte y los fundamentos de morfología matemática, descomposición multiescala y métricas de evaluación. El Marco Conceptual define los términos operativos clave. El Marco Metodológico precisa el diseño experimental. El capítulo de Análisis e Interpretación de Resultados expone tanto el benchmark exhaustivo de la Torre Top-Hat como la comparación frente a métodos de referencia, sustentado en pruebas estadísticas no paramétricas. Finalmente, las Conclusiones y Recomendaciones sintetizan los hallazgos y delinean trabajos futuros.</w:t>
      </w:r>
    </w:p>
    <w:p>
      <w:pPr>
        <w:pStyle w:val="Heading1"/>
        <w:pageBreakBefore/>
        <w:spacing w:after="240" w:before="360"/>
        <w:jc w:val="center"/>
      </w:pPr>
      <w:r>
        <w:rPr>
          <w:rFonts w:ascii="Arial" w:cs="Arial" w:eastAsia="Arial" w:hAnsi="Arial"/>
          <w:b/>
          <w:bCs/>
          <w:sz w:val="28"/>
          <w:szCs w:val="28"/>
        </w:rPr>
        <w:t xml:space="preserve">PROBLEMA DE INVESTIGACIÓN</w:t>
      </w:r>
    </w:p>
    <w:p>
      <w:pPr>
        <w:pStyle w:val="Heading2"/>
        <w:spacing w:after="120" w:before="240"/>
      </w:pPr>
      <w:r>
        <w:rPr>
          <w:rFonts w:ascii="Arial" w:cs="Arial" w:eastAsia="Arial" w:hAnsi="Arial"/>
          <w:b/>
          <w:bCs/>
          <w:sz w:val="26"/>
          <w:szCs w:val="26"/>
        </w:rPr>
        <w:t xml:space="preserve">Descripción del problema</w:t>
      </w:r>
    </w:p>
    <w:p>
      <w:pPr>
        <w:spacing w:after="160" w:line="360"/>
        <w:jc w:val="both"/>
      </w:pPr>
      <w:r>
        <w:rPr>
          <w:rFonts w:ascii="Arial" w:cs="Arial" w:eastAsia="Arial" w:hAnsi="Arial"/>
          <w:sz w:val="24"/>
          <w:szCs w:val="24"/>
        </w:rPr>
        <w:t xml:space="preserve">Pese a más de tres décadas de investigación en fusión de imágenes multimodal, no existe un método universalmente óptimo: cada familia algorítmica presenta compromisos distintos entre preservación de detalle, contraste, transferencia de información y costo computacional. Los métodos basados en promedio, los más simples, sufren pérdida sistemática de detalle y reducción de contraste. Las pirámides de Laplace y los esquemas wavelet/curvelet ofrecen mejor manejo multiescala, pero pueden introducir artefactos de orla en bordes de alto contraste y son sensibles a desalineaciones residuales. Los métodos profundos, por su parte, requieren grandes corpora pareados y carecen de interpretabilidad.</w:t>
      </w:r>
    </w:p>
    <w:p>
      <w:pPr>
        <w:spacing w:after="160" w:line="360"/>
        <w:jc w:val="both"/>
      </w:pPr>
      <w:r>
        <w:rPr>
          <w:rFonts w:ascii="Arial" w:cs="Arial" w:eastAsia="Arial" w:hAnsi="Arial"/>
          <w:sz w:val="24"/>
          <w:szCs w:val="24"/>
        </w:rPr>
        <w:t xml:space="preserve">La morfología matemática ofrece un marco intermedio: opera directamente sobre la geometría de las estructuras locales mediante elementos estructurantes (SE) parametrizables, lo cual la hace natural para preservar bordes y formas. La transformada Top-Hat, en particular, aísla con precisión los componentes de alta frecuencia que la apertura morfológica suprime. Sin embargo, la literatura existente sobre fusión morfológica suele restringirse a una única escala o a un único tipo de SE, sin un estudio sistemático que articule simultáneamente la geometría del SE, el número de niveles de descomposición y el radio base. Esta tesis aborda precisamente ese vacío empírico mediante un benchmark exhaustivo y la comparación con baselines clásicos.</w:t>
      </w:r>
    </w:p>
    <w:p>
      <w:pPr>
        <w:pStyle w:val="Heading2"/>
        <w:spacing w:after="120" w:before="240"/>
      </w:pPr>
      <w:r>
        <w:rPr>
          <w:rFonts w:ascii="Arial" w:cs="Arial" w:eastAsia="Arial" w:hAnsi="Arial"/>
          <w:b/>
          <w:bCs/>
          <w:sz w:val="26"/>
          <w:szCs w:val="26"/>
        </w:rPr>
        <w:t xml:space="preserve">Justificación e importancia</w:t>
      </w:r>
    </w:p>
    <w:p>
      <w:pPr>
        <w:spacing w:after="160" w:line="360"/>
        <w:jc w:val="both"/>
      </w:pPr>
      <w:r>
        <w:rPr>
          <w:rFonts w:ascii="Arial" w:cs="Arial" w:eastAsia="Arial" w:hAnsi="Arial"/>
          <w:sz w:val="24"/>
          <w:szCs w:val="24"/>
        </w:rPr>
        <w:t xml:space="preserve">La justificación de este trabajo descansa sobre tres ejes. Primero, la relevancia aplicada: en contextos de vigilancia, seguridad pública y operaciones militares, los algoritmos de fusión deben ejecutarse bajo restricciones de tiempo real, sobre hardware limitado y con garantías de auditoría. La interpretabilidad y el bajo costo computacional de los métodos morfológicos los tornan especialmente valiosos en estos escenarios. Segundo, la relevancia metodológica: aportar evidencia empírica sistemática sobre el efecto de cada hiperparámetro (SE, L, r₀) ayuda a desmitificar decisiones de diseño que históricamente se han tomado por convención. Tercero, la relevancia académica regional: existen pocas tesis en el ámbito paraguayo que aborden de manera rigurosa la evaluación cuantitativa con pruebas no paramétricas en problemas de fusión multimodal, y este trabajo busca aportar a esa base.</w:t>
      </w:r>
    </w:p>
    <w:p>
      <w:pPr>
        <w:pStyle w:val="Heading2"/>
        <w:spacing w:after="120" w:before="240"/>
      </w:pPr>
      <w:r>
        <w:rPr>
          <w:rFonts w:ascii="Arial" w:cs="Arial" w:eastAsia="Arial" w:hAnsi="Arial"/>
          <w:b/>
          <w:bCs/>
          <w:sz w:val="26"/>
          <w:szCs w:val="26"/>
        </w:rPr>
        <w:t xml:space="preserve">Objetivos</w:t>
      </w:r>
    </w:p>
    <w:p>
      <w:pPr>
        <w:pStyle w:val="Heading3"/>
        <w:spacing w:after="100" w:before="180"/>
      </w:pPr>
      <w:r>
        <w:rPr>
          <w:rFonts w:ascii="Arial" w:cs="Arial" w:eastAsia="Arial" w:hAnsi="Arial"/>
          <w:b/>
          <w:bCs/>
          <w:i/>
          <w:iCs/>
          <w:sz w:val="24"/>
          <w:szCs w:val="24"/>
        </w:rPr>
        <w:t xml:space="preserve">General</w:t>
      </w:r>
    </w:p>
    <w:p>
      <w:pPr>
        <w:spacing w:after="160" w:line="360"/>
        <w:jc w:val="both"/>
      </w:pPr>
      <w:r>
        <w:rPr>
          <w:rFonts w:ascii="Arial" w:cs="Arial" w:eastAsia="Arial" w:hAnsi="Arial"/>
          <w:sz w:val="24"/>
          <w:szCs w:val="24"/>
        </w:rPr>
        <w:t xml:space="preserve">Proponer y evaluar un método de fusión de imágenes visibles e infrarrojas basado en una Torre Top-Hat morfológica multiescala, comparándolo cuantitativa y estadísticamente con métodos de referencia del estado del arte sobre el dataset TNO Image Fusion.</w:t>
      </w:r>
    </w:p>
    <w:p>
      <w:pPr>
        <w:pStyle w:val="Heading3"/>
        <w:spacing w:after="100" w:before="180"/>
      </w:pPr>
      <w:r>
        <w:rPr>
          <w:rFonts w:ascii="Arial" w:cs="Arial" w:eastAsia="Arial" w:hAnsi="Arial"/>
          <w:b/>
          <w:bCs/>
          <w:i/>
          <w:iCs/>
          <w:sz w:val="24"/>
          <w:szCs w:val="24"/>
        </w:rPr>
        <w:t xml:space="preserve">Específicos</w:t>
      </w:r>
    </w:p>
    <w:p>
      <w:pPr>
        <w:pStyle w:val="ListParagraph"/>
        <w:numPr>
          <w:ilvl w:val="0"/>
          <w:numId w:val="2"/>
        </w:numPr>
        <w:spacing w:after="100" w:line="320"/>
        <w:jc w:val="both"/>
      </w:pPr>
      <w:r>
        <w:rPr>
          <w:rFonts w:ascii="Arial" w:cs="Arial" w:eastAsia="Arial" w:hAnsi="Arial"/>
          <w:sz w:val="24"/>
          <w:szCs w:val="24"/>
        </w:rPr>
        <w:t xml:space="preserve">Implementar la Torre Top-Hat multiescala con tres geometrías de elemento estructurante (disco, cuadrado, cruz), múltiples niveles de descomposición y radios base configurables.</w:t>
      </w:r>
    </w:p>
    <w:p>
      <w:pPr>
        <w:pStyle w:val="ListParagraph"/>
        <w:numPr>
          <w:ilvl w:val="0"/>
          <w:numId w:val="2"/>
        </w:numPr>
        <w:spacing w:after="100" w:line="320"/>
        <w:jc w:val="both"/>
      </w:pPr>
      <w:r>
        <w:rPr>
          <w:rFonts w:ascii="Arial" w:cs="Arial" w:eastAsia="Arial" w:hAnsi="Arial"/>
          <w:sz w:val="24"/>
          <w:szCs w:val="24"/>
        </w:rPr>
        <w:t xml:space="preserve">Realizar un benchmark exhaustivo de las treinta y seis (36) configuraciones resultantes sobre los veinte (20) pares del dataset, identificando la configuración óptima por métrica.</w:t>
      </w:r>
    </w:p>
    <w:p>
      <w:pPr>
        <w:pStyle w:val="ListParagraph"/>
        <w:numPr>
          <w:ilvl w:val="0"/>
          <w:numId w:val="2"/>
        </w:numPr>
        <w:spacing w:after="100" w:line="320"/>
        <w:jc w:val="both"/>
      </w:pPr>
      <w:r>
        <w:rPr>
          <w:rFonts w:ascii="Arial" w:cs="Arial" w:eastAsia="Arial" w:hAnsi="Arial"/>
          <w:sz w:val="24"/>
          <w:szCs w:val="24"/>
        </w:rPr>
        <w:t xml:space="preserve">Comparar el método propuesto con tres baselines representativos del estado del arte: promedio, pirámide de Laplace y curvelet (vía wavelet 2D).</w:t>
      </w:r>
    </w:p>
    <w:p>
      <w:pPr>
        <w:pStyle w:val="ListParagraph"/>
        <w:numPr>
          <w:ilvl w:val="0"/>
          <w:numId w:val="2"/>
        </w:numPr>
        <w:spacing w:after="100" w:line="320"/>
        <w:jc w:val="both"/>
      </w:pPr>
      <w:r>
        <w:rPr>
          <w:rFonts w:ascii="Arial" w:cs="Arial" w:eastAsia="Arial" w:hAnsi="Arial"/>
          <w:sz w:val="24"/>
          <w:szCs w:val="24"/>
        </w:rPr>
        <w:t xml:space="preserve">Validar las diferencias observadas mediante pruebas estadísticas no paramétricas (Friedman global y Wilcoxon pareado), construyendo un ranking promedio de métodos.</w:t>
      </w:r>
    </w:p>
    <w:p>
      <w:pPr>
        <w:pStyle w:val="ListParagraph"/>
        <w:numPr>
          <w:ilvl w:val="0"/>
          <w:numId w:val="2"/>
        </w:numPr>
        <w:spacing w:after="100" w:line="320"/>
        <w:jc w:val="both"/>
      </w:pPr>
      <w:r>
        <w:rPr>
          <w:rFonts w:ascii="Arial" w:cs="Arial" w:eastAsia="Arial" w:hAnsi="Arial"/>
          <w:sz w:val="24"/>
          <w:szCs w:val="24"/>
        </w:rPr>
        <w:t xml:space="preserve">Discutir las implicancias prácticas de los hallazgos en términos de qué método es preferible bajo qué criterio de calidad.</w:t>
      </w:r>
    </w:p>
    <w:p>
      <w:pPr>
        <w:pStyle w:val="Heading2"/>
        <w:spacing w:after="120" w:before="240"/>
      </w:pPr>
      <w:r>
        <w:rPr>
          <w:rFonts w:ascii="Arial" w:cs="Arial" w:eastAsia="Arial" w:hAnsi="Arial"/>
          <w:b/>
          <w:bCs/>
          <w:sz w:val="26"/>
          <w:szCs w:val="26"/>
        </w:rPr>
        <w:t xml:space="preserve">Formulación del problema</w:t>
      </w:r>
    </w:p>
    <w:p>
      <w:pPr>
        <w:pStyle w:val="Heading3"/>
        <w:spacing w:after="100" w:before="180"/>
      </w:pPr>
      <w:r>
        <w:rPr>
          <w:rFonts w:ascii="Arial" w:cs="Arial" w:eastAsia="Arial" w:hAnsi="Arial"/>
          <w:b/>
          <w:bCs/>
          <w:i/>
          <w:iCs/>
          <w:sz w:val="24"/>
          <w:szCs w:val="24"/>
        </w:rPr>
        <w:t xml:space="preserve">Problema general</w:t>
      </w:r>
    </w:p>
    <w:p>
      <w:pPr>
        <w:spacing w:after="160" w:line="360"/>
        <w:jc w:val="both"/>
      </w:pPr>
      <w:r>
        <w:rPr>
          <w:rFonts w:ascii="Arial" w:cs="Arial" w:eastAsia="Arial" w:hAnsi="Arial"/>
          <w:sz w:val="24"/>
          <w:szCs w:val="24"/>
        </w:rPr>
        <w:t xml:space="preserve">¿Cuál es el desempeño cuantitativo y estadístico de la Torre Top-Hat multiescala frente a métodos clásicos de fusión VIS+IR, evaluado mediante métricas sin referencia sobre el TNO Image Fusion Dataset?</w:t>
      </w:r>
    </w:p>
    <w:p>
      <w:pPr>
        <w:pStyle w:val="Heading3"/>
        <w:spacing w:after="100" w:before="180"/>
      </w:pPr>
      <w:r>
        <w:rPr>
          <w:rFonts w:ascii="Arial" w:cs="Arial" w:eastAsia="Arial" w:hAnsi="Arial"/>
          <w:b/>
          <w:bCs/>
          <w:i/>
          <w:iCs/>
          <w:sz w:val="24"/>
          <w:szCs w:val="24"/>
        </w:rPr>
        <w:t xml:space="preserve">Problemas específicos</w:t>
      </w:r>
    </w:p>
    <w:p>
      <w:pPr>
        <w:pStyle w:val="ListParagraph"/>
        <w:numPr>
          <w:ilvl w:val="0"/>
          <w:numId w:val="3"/>
        </w:numPr>
        <w:spacing w:after="100" w:line="320"/>
        <w:jc w:val="both"/>
      </w:pPr>
      <w:r>
        <w:rPr>
          <w:rFonts w:ascii="Arial" w:cs="Arial" w:eastAsia="Arial" w:hAnsi="Arial"/>
          <w:sz w:val="24"/>
          <w:szCs w:val="24"/>
        </w:rPr>
        <w:t xml:space="preserve">¿Qué configuración del elemento estructurante (disco, cuadrado o cruz) maximiza cada métrica de calidad?</w:t>
      </w:r>
    </w:p>
    <w:p>
      <w:pPr>
        <w:pStyle w:val="ListParagraph"/>
        <w:numPr>
          <w:ilvl w:val="0"/>
          <w:numId w:val="3"/>
        </w:numPr>
        <w:spacing w:after="100" w:line="320"/>
        <w:jc w:val="both"/>
      </w:pPr>
      <w:r>
        <w:rPr>
          <w:rFonts w:ascii="Arial" w:cs="Arial" w:eastAsia="Arial" w:hAnsi="Arial"/>
          <w:sz w:val="24"/>
          <w:szCs w:val="24"/>
        </w:rPr>
        <w:t xml:space="preserve">¿Cómo influye el número de niveles de descomposición (2, 3, 4 o 5) y el radio base (2, 3 o 5 píxeles) en el desempeño global?</w:t>
      </w:r>
    </w:p>
    <w:p>
      <w:pPr>
        <w:pStyle w:val="ListParagraph"/>
        <w:numPr>
          <w:ilvl w:val="0"/>
          <w:numId w:val="3"/>
        </w:numPr>
        <w:spacing w:after="100" w:line="320"/>
        <w:jc w:val="both"/>
      </w:pPr>
      <w:r>
        <w:rPr>
          <w:rFonts w:ascii="Arial" w:cs="Arial" w:eastAsia="Arial" w:hAnsi="Arial"/>
          <w:sz w:val="24"/>
          <w:szCs w:val="24"/>
        </w:rPr>
        <w:t xml:space="preserve">¿Existen diferencias estadísticamente significativas entre la Torre Top-Hat y los baselines de promedio, pirámide de Laplace y curvelet?</w:t>
      </w:r>
    </w:p>
    <w:p>
      <w:pPr>
        <w:pStyle w:val="ListParagraph"/>
        <w:numPr>
          <w:ilvl w:val="0"/>
          <w:numId w:val="3"/>
        </w:numPr>
        <w:spacing w:after="100" w:line="320"/>
        <w:jc w:val="both"/>
      </w:pPr>
      <w:r>
        <w:t>¿Qué método ocupa la primera posición en un ranking promedio sobre las doce métricas consideradas?</w:t>
      </w:r>
    </w:p>
    <w:p>
      <w:pPr>
        <w:pStyle w:val="Heading2"/>
        <w:spacing w:after="120" w:before="240"/>
      </w:pPr>
      <w:r>
        <w:rPr>
          <w:rFonts w:ascii="Arial" w:cs="Arial" w:eastAsia="Arial" w:hAnsi="Arial"/>
          <w:b/>
          <w:bCs/>
          <w:sz w:val="26"/>
          <w:szCs w:val="26"/>
        </w:rPr>
        <w:t xml:space="preserve">Limitaciones de la investigación</w:t>
      </w:r>
    </w:p>
    <w:p>
      <w:pPr>
        <w:spacing w:after="160" w:line="360"/>
        <w:jc w:val="both"/>
      </w:pPr>
      <w:r>
        <w:rPr>
          <w:rFonts w:ascii="Arial" w:cs="Arial" w:eastAsia="Arial" w:hAnsi="Arial"/>
          <w:sz w:val="24"/>
          <w:szCs w:val="24"/>
        </w:rPr>
        <w:t xml:space="preserve">Esta investigación se circunscribe a las siguientes limitaciones, que deben tenerse presentes al interpretar los resultados. Primero, el corpus experimental son veinte pares del TNO Image Fusion Dataset, registrados principalmente en escenas militares y urbanas; las conclusiones pueden no transferirse íntegramente a otros dominios (médico, aéreo de muy alta resolución). Segundo, la evaluación se realiza con métricas sin referencia, dado que no existe una imagen fusionada óptima conocida; esto introduce inevitablemente una dependencia de las métricas elegidas. Tercero, se evaluó únicamente la transformada White Top-Hat: la incorporación sistemática de Black Top-Hat queda como trabajo futuro. Cuarto, la regla de fusión por capa es la de selección por actividad local máxima, sin explorar reglas adaptativas. Quinto, no se evaluaron métodos basados en aprendizaje profundo, dado que tales comparaciones requieren protocolos de entrenamiento cuyos sesgos exceden el alcance de esta tesis.</w:t>
      </w:r>
    </w:p>
    <w:p>
      <w:pPr>
        <w:pStyle w:val="Heading2"/>
        <w:spacing w:after="120" w:before="240"/>
      </w:pPr>
      <w:r>
        <w:rPr>
          <w:rFonts w:ascii="Arial" w:cs="Arial" w:eastAsia="Arial" w:hAnsi="Arial"/>
          <w:b/>
          <w:bCs/>
          <w:sz w:val="26"/>
          <w:szCs w:val="26"/>
        </w:rPr>
        <w:t xml:space="preserve">Alcance</w:t>
      </w:r>
    </w:p>
    <w:p>
      <w:pPr>
        <w:spacing w:after="160" w:line="360"/>
        <w:jc w:val="both"/>
      </w:pPr>
      <w:r>
        <w:rPr>
          <w:rFonts w:ascii="Arial" w:cs="Arial" w:eastAsia="Arial" w:hAnsi="Arial"/>
          <w:sz w:val="24"/>
          <w:szCs w:val="24"/>
        </w:rPr>
        <w:t xml:space="preserve">El alcance de la tesis abarca: la implementación íntegra y reproducible del método propuesto y de los baselines en Python (NumPy, OpenCV, scikit-image, SciPy, PyWavelets); la organización modular del código en un repositorio versionado; el preprocesamiento y emparejado del dataset; la ejecución del benchmark exhaustivo y de la comparación contra baselines; el análisis estadístico no paramétrico; la generación de tablas y figuras científicas; y la redacción del presente informe. Quedan fuera del alcance la generación de un nuevo dataset, la integración con sistemas en tiempo real y la comparación con métodos de aprendizaje profundo entrenados desde cero.</w:t>
      </w:r>
    </w:p>
    <w:p>
      <w:pPr>
        <w:pStyle w:val="Heading1"/>
        <w:pageBreakBefore/>
        <w:spacing w:after="240" w:before="360"/>
        <w:jc w:val="center"/>
      </w:pPr>
      <w:r>
        <w:rPr>
          <w:rFonts w:ascii="Arial" w:cs="Arial" w:eastAsia="Arial" w:hAnsi="Arial"/>
          <w:b/>
          <w:bCs/>
          <w:sz w:val="28"/>
          <w:szCs w:val="28"/>
        </w:rPr>
        <w:t xml:space="preserve">MARCO TEÓRICO</w:t>
      </w:r>
    </w:p>
    <w:p>
      <w:pPr>
        <w:pStyle w:val="Heading2"/>
        <w:spacing w:after="120" w:before="240"/>
      </w:pPr>
      <w:r>
        <w:rPr>
          <w:rFonts w:ascii="Arial" w:cs="Arial" w:eastAsia="Arial" w:hAnsi="Arial"/>
          <w:b/>
          <w:bCs/>
          <w:sz w:val="26"/>
          <w:szCs w:val="26"/>
        </w:rPr>
        <w:t xml:space="preserve">Estado del arte</w:t>
      </w:r>
    </w:p>
    <w:p>
      <w:pPr>
        <w:spacing w:after="160" w:line="360"/>
        <w:jc w:val="both"/>
      </w:pPr>
      <w:r>
        <w:rPr>
          <w:rFonts w:ascii="Arial" w:cs="Arial" w:eastAsia="Arial" w:hAnsi="Arial"/>
          <w:sz w:val="24"/>
          <w:szCs w:val="24"/>
        </w:rPr>
        <w:t xml:space="preserve">La fusión de imágenes multimodal, particularmente VIS+IR, cuenta con una literatura abundante. Li et al. (2017) presentan una revisión integral de los métodos a nivel pixel, agrupándolos en cuatro grandes familias: dominios espaciales (promedio, máximo, PCA), dominios transformados multiescala (pirámides, wavelets, curvelets), métodos basados en representaciones dispersas y métodos híbridos. Ma et al. (2019) actualizan el panorama con énfasis en la creciente adopción de redes neuronales profundas, distinguiendo arquitecturas de auto-encoder, redes generativas antagónicas (GAN) y enfoques de fusión guiada por tareas. En paralelo, Zhang y Demiris (2023) documentan la consolidación de benchmarks estandarizados (TNO, RoadScene, M3FD) y el establecimiento progresivo de métricas sin referencia como estándar de facto.</w:t>
      </w:r>
    </w:p>
    <w:p>
      <w:pPr>
        <w:spacing w:after="160" w:line="360"/>
        <w:jc w:val="both"/>
      </w:pPr>
      <w:r>
        <w:rPr>
          <w:rFonts w:ascii="Arial" w:cs="Arial" w:eastAsia="Arial" w:hAnsi="Arial"/>
          <w:sz w:val="24"/>
          <w:szCs w:val="24"/>
        </w:rPr>
        <w:t xml:space="preserve">Específicamente en fusión morfológica, Mukhopadhyay y Chanda (2001) introducen una de las primeras descomposiciones multiescala basadas en operadores Top-Hat para realce e interpretación de imágenes médicas. Bai (2013) extiende la idea a fusión VIS+IR, mostrando que la transformada Top-Hat puede capturar simultáneamente detalles brillantes y oscuros con bajo costo computacional. Trabajos posteriores, como los de Bai et al. (2015) y Wang et al. (2017), exploran combinaciones de Top-Hat con otras representaciones, pero rara vez sistematizan el efecto cruzado del tipo de elemento estructurante, el número de niveles y el radio base sobre múltiples métricas.</w:t>
      </w:r>
    </w:p>
    <w:p>
      <w:pPr>
        <w:spacing w:after="160" w:line="360"/>
        <w:jc w:val="both"/>
      </w:pPr>
      <w:r>
        <w:rPr>
          <w:rFonts w:ascii="Arial" w:cs="Arial" w:eastAsia="Arial" w:hAnsi="Arial"/>
          <w:sz w:val="24"/>
          <w:szCs w:val="24"/>
        </w:rPr>
        <w:t xml:space="preserve">Los métodos profundos, por su parte, han avanzado rápidamente. Ma et al. (2019, FusionGAN) y Tang et al. (2022, SeAFusion) ofrecen arquitecturas de fusión guiadas por percepción semántica. Sin embargo, su dependencia de datos pareados y la dificultad de auditarlos los hacen problemáticos en aplicaciones donde la trazabilidad es obligatoria. En este contexto, los métodos clásicos siguen siendo no solo relevantes sino estratégicamente valiosos como baselines reproducibles.</w:t>
      </w:r>
    </w:p>
    <w:p>
      <w:pPr>
        <w:pStyle w:val="Heading2"/>
        <w:spacing w:after="120" w:before="240"/>
      </w:pPr>
      <w:r>
        <w:rPr>
          <w:rFonts w:ascii="Arial" w:cs="Arial" w:eastAsia="Arial" w:hAnsi="Arial"/>
          <w:b/>
          <w:bCs/>
          <w:sz w:val="26"/>
          <w:szCs w:val="26"/>
        </w:rPr>
        <w:t xml:space="preserve">Fundamentación teórica</w:t>
      </w:r>
    </w:p>
    <w:p>
      <w:pPr>
        <w:pStyle w:val="Heading3"/>
        <w:spacing w:after="100" w:before="180"/>
      </w:pPr>
      <w:r>
        <w:rPr>
          <w:rFonts w:ascii="Arial" w:cs="Arial" w:eastAsia="Arial" w:hAnsi="Arial"/>
          <w:b/>
          <w:bCs/>
          <w:i/>
          <w:iCs/>
          <w:sz w:val="24"/>
          <w:szCs w:val="24"/>
        </w:rPr>
        <w:t xml:space="preserve">Fusión de imágenes multimodal</w:t>
      </w:r>
    </w:p>
    <w:p>
      <w:pPr>
        <w:spacing w:after="160" w:line="360"/>
        <w:jc w:val="both"/>
      </w:pPr>
      <w:r>
        <w:rPr>
          <w:rFonts w:ascii="Arial" w:cs="Arial" w:eastAsia="Arial" w:hAnsi="Arial"/>
          <w:sz w:val="24"/>
          <w:szCs w:val="24"/>
        </w:rPr>
        <w:t xml:space="preserve">La fusión de imágenes a nivel pixel se formaliza como un operador F: ℝ^{H×W} × ℝ^{H×W} → ℝ^{H×W} que recibe dos imágenes alineadas espacialmente, I_VIS e I_IR, y produce una imagen fusionada F(I_VIS, I_IR) que maximice algún criterio de calidad. Tres etapas son comunes a todas las pipelines: preprocesamiento (registro, normalización), descomposición y fusión por capa, reconstrucción. La descomposición transforma cada imagen en una representación multi-escala que expone los detalles a distintas resoluciones; la fusión por capa aplica una regla de selección (típicamente basada en actividad local máxima); la reconstrucción invierte la descomposición.</w:t>
      </w:r>
    </w:p>
    <w:p>
      <w:pPr>
        <w:pStyle w:val="Heading3"/>
        <w:spacing w:after="100" w:before="180"/>
      </w:pPr>
      <w:r>
        <w:rPr>
          <w:rFonts w:ascii="Arial" w:cs="Arial" w:eastAsia="Arial" w:hAnsi="Arial"/>
          <w:b/>
          <w:bCs/>
          <w:i/>
          <w:iCs/>
          <w:sz w:val="24"/>
          <w:szCs w:val="24"/>
        </w:rPr>
        <w:t xml:space="preserve">Morfología matemática</w:t>
      </w:r>
    </w:p>
    <w:p>
      <w:pPr>
        <w:spacing w:after="160" w:line="360"/>
        <w:jc w:val="both"/>
      </w:pPr>
      <w:r>
        <w:rPr>
          <w:rFonts w:ascii="Arial" w:cs="Arial" w:eastAsia="Arial" w:hAnsi="Arial"/>
          <w:sz w:val="24"/>
          <w:szCs w:val="24"/>
        </w:rPr>
        <w:t xml:space="preserve">La morfología matemática es un cuerpo algebraico para el análisis de estructuras geométricas en imágenes, basado en la teoría de retículas completas (Serra, 1982; Soille, 2003). Sus operaciones fundamentales en imágenes de niveles de gris son la erosión ε(f, b) y la dilatación δ(f, b), definidas como mínimo y máximo locales bajo el patrón impuesto por el elemento estructurante b. A partir de ellas se derivan apertura γ(f, b) = δ(ε(f, b), b) y cierre φ(f, b) = ε(δ(f, b), b), que eliminan respectivamente picos brillantes y valles oscuros menores que el SE. La elección del SE (geometría y radio) es la decisión de diseño central: define qué orientaciones, simetrías y escalas de detalle se preservan o suprimen.</w:t>
      </w:r>
    </w:p>
    <w:p>
      <w:pPr>
        <w:pStyle w:val="Heading3"/>
        <w:spacing w:after="100" w:before="180"/>
      </w:pPr>
      <w:r>
        <w:rPr>
          <w:rFonts w:ascii="Arial" w:cs="Arial" w:eastAsia="Arial" w:hAnsi="Arial"/>
          <w:b/>
          <w:bCs/>
          <w:i/>
          <w:iCs/>
          <w:sz w:val="24"/>
          <w:szCs w:val="24"/>
        </w:rPr>
        <w:t xml:space="preserve">Transformada Top-Hat</w:t>
      </w:r>
    </w:p>
    <w:p>
      <w:pPr>
        <w:spacing w:after="160" w:line="360"/>
        <w:jc w:val="both"/>
      </w:pPr>
      <w:r>
        <w:rPr>
          <w:rFonts w:ascii="Arial" w:cs="Arial" w:eastAsia="Arial" w:hAnsi="Arial"/>
          <w:sz w:val="24"/>
          <w:szCs w:val="24"/>
        </w:rPr>
        <w:t xml:space="preserve">La transformada White Top-Hat se define como la diferencia entre la imagen original y su apertura: WTH(f, b) = f − γ(f, b). Aísla las estructuras brillantes más pequeñas que el SE. Su dual, la Black Top-Hat, BTH(f, b) = φ(f, b) − f, aísla los valles oscuros. Una propiedad clave es que el WTH es siempre no negativo y se anula en regiones donde la imagen es localmente plana a la escala del SE, lo que la convierte en un detector natural de detalles. La elección del tipo de SE (disco para isotropía, línea para direcciones específicas, cuadrado o cruz para sensibilidades distintas) determina qué tipo de detalle se enfatiza.</w:t>
      </w:r>
    </w:p>
    <w:p>
      <w:pPr>
        <w:pStyle w:val="Heading3"/>
        <w:spacing w:after="100" w:before="180"/>
      </w:pPr>
      <w:r>
        <w:rPr>
          <w:rFonts w:ascii="Arial" w:cs="Arial" w:eastAsia="Arial" w:hAnsi="Arial"/>
          <w:b/>
          <w:bCs/>
          <w:i/>
          <w:iCs/>
          <w:sz w:val="24"/>
          <w:szCs w:val="24"/>
        </w:rPr>
        <w:t xml:space="preserve">Torre Top-Hat (método propuesto)</w:t>
      </w:r>
    </w:p>
    <w:p>
      <w:pPr>
        <w:spacing w:after="160" w:line="360"/>
        <w:jc w:val="both"/>
      </w:pPr>
      <w:r>
        <w:t>Sobre la transformada Top-Hat de una sola escala, esta tesis propone una descomposición multiescala iterativa, la Torre Top-Hat. Dada una imagen de entrada f, se aplica White Top-Hat con SE de radio r₀, obteniendo la primera capa de detalle WTH₁; el residual de la apertura γ(f, b₁) se procesa nuevamente con SE de radio 2·r₀, dando WTH₂; el procedimiento se repite hasta el nivel L. La imagen queda descompuesta en L capas de detalle más una capa base (la apertura iterada R_L). La descomposición es exacta: la suma de las L capas WTH más la base reconstruye f. Para fusionar dos imágenes (VIS e IR) se aplica esta descomposición a cada una en paralelo y se opera capa a capa con dos reglas distintas: (i) las L capas de detalle WTH se fusionan por selección de máxima actividad local (suavizado gaussiano del valor absoluto), preservando por píxel el detalle más saliente de cualquiera de las fuentes; y (ii) la capa base, que codifica la iluminación o temperatura global de baja frecuencia, se fusiona por promedio simple. Esta distinción es crítica: aplicar selección por máxima actividad a la base genera saltos de brillo y sesga las métricas de información mutua.</w:t>
      </w:r>
    </w:p>
    <w:p>
      <w:r>
        <w:t>La imagen fusionada final se reconstruye según la regla:</w:t>
      </w:r>
    </w:p>
    <w:p>
      <w:pPr>
        <w:jc w:val="center"/>
      </w:pPr>
      <w:r>
        <w:rPr>
          <w:b/>
        </w:rPr>
        <w:t>F = base_fusionada + Σₖ WTHₖ^fus − Σₖ BTHₖ^fus</w:t>
      </w:r>
    </w:p>
    <w:p>
      <w:r>
        <w:t>Existen por tanto dos modos de operación. En el modo White Top-Hat (WTH), por defecto, el término de BTH es nulo y la fusión es F = base + Σ WTHₖ^fus, sumando únicamente el detalle brillante. En el modo White+Black Top-Hat (WTH+BTH), las capas BTH de VIS e IR también se fusionan por máxima actividad local y se restan en la reconstrucción, de modo que el WTH realza las estructuras brillantes y el BTH oscurece las estructuras oscuras, amplificando el contraste en ambos extremos. Esta tesis evalúa y compara ambos modos (Sección de resultados). Los parámetros explorados son: tipo de SE ∈ {disco, cuadrado, cruz}, niveles L ∈ {2, 3, 4, 5} y radio base r₀ ∈ {2, 3, 5}, lo que arroja treinta y seis configuraciones por modo.</w:t>
      </w:r>
    </w:p>
    <w:p>
      <w:pPr>
        <w:spacing w:after="80" w:before="200"/>
        <w:jc w:val="center"/>
      </w:pPr>
      <w:r>
        <w:drawing>
          <wp:inline distT="0" distB="0" distL="0" distR="0">
            <wp:extent cx="4953000" cy="3219450"/>
            <wp:effectExtent t="0" r="0" b="0" l="0"/>
            <wp:docPr id="1" name="fig_esquema_torre_tophat.png" descr="Figura 1. Esquema conceptual de la Torre Top-Hat propuesta." title="fig_esquema_torre_topha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953000" cy="3219450"/>
                    </a:xfrm>
                    <a:prstGeom prst="rect">
                      <a:avLst/>
                    </a:prstGeom>
                  </pic:spPr>
                </pic:pic>
              </a:graphicData>
            </a:graphic>
          </wp:inline>
        </w:drawing>
      </w:r>
    </w:p>
    <w:p>
      <w:pPr>
        <w:spacing w:after="240"/>
        <w:jc w:val="center"/>
      </w:pPr>
      <w:r>
        <w:rPr>
          <w:rFonts w:ascii="Arial" w:cs="Arial" w:eastAsia="Arial" w:hAnsi="Arial"/>
          <w:i/>
          <w:iCs/>
          <w:sz w:val="20"/>
          <w:szCs w:val="20"/>
        </w:rPr>
        <w:t xml:space="preserve">Figura 1. Esquema conceptual de la Torre Top-Hat propuesta.</w:t>
      </w:r>
    </w:p>
    <w:p>
      <w:pPr>
        <w:pStyle w:val="Heading3"/>
        <w:spacing w:after="100" w:before="180"/>
      </w:pPr>
      <w:r>
        <w:rPr>
          <w:rFonts w:ascii="Arial" w:cs="Arial" w:eastAsia="Arial" w:hAnsi="Arial"/>
          <w:b/>
          <w:bCs/>
          <w:i/>
          <w:iCs/>
          <w:sz w:val="24"/>
          <w:szCs w:val="24"/>
        </w:rPr>
        <w:t xml:space="preserve">Algoritmos de referencia (baselines)</w:t>
      </w:r>
    </w:p>
    <w:p>
      <w:pPr>
        <w:spacing w:after="160" w:line="360"/>
        <w:jc w:val="both"/>
      </w:pPr>
      <w:r>
        <w:rPr>
          <w:rFonts w:ascii="Arial" w:cs="Arial" w:eastAsia="Arial" w:hAnsi="Arial"/>
          <w:sz w:val="24"/>
          <w:szCs w:val="24"/>
        </w:rPr>
        <w:t xml:space="preserve">Para situar el método propuesto en el panorama de la disciplina se utilizan tres baselines:</w:t>
      </w:r>
    </w:p>
    <w:p>
      <w:pPr>
        <w:pStyle w:val="ListParagraph"/>
        <w:numPr>
          <w:ilvl w:val="0"/>
          <w:numId w:val="3"/>
        </w:numPr>
        <w:spacing w:after="100" w:line="320"/>
        <w:jc w:val="both"/>
      </w:pPr>
      <w:r>
        <w:rPr>
          <w:rFonts w:ascii="Arial" w:cs="Arial" w:eastAsia="Arial" w:hAnsi="Arial"/>
          <w:sz w:val="24"/>
          <w:szCs w:val="24"/>
        </w:rPr>
        <w:t xml:space="preserve">Promedio simple. Combinación lineal F = 0,5 · I_VIS + 0,5 · I_IR. Constituye la cota inferior de complejidad y desempeño esperable.</w:t>
      </w:r>
    </w:p>
    <w:p>
      <w:pPr>
        <w:pStyle w:val="ListParagraph"/>
        <w:numPr>
          <w:ilvl w:val="0"/>
          <w:numId w:val="3"/>
        </w:numPr>
        <w:spacing w:after="100" w:line="320"/>
        <w:jc w:val="both"/>
      </w:pPr>
      <w:r>
        <w:rPr>
          <w:rFonts w:ascii="Arial" w:cs="Arial" w:eastAsia="Arial" w:hAnsi="Arial"/>
          <w:sz w:val="24"/>
          <w:szCs w:val="24"/>
        </w:rPr>
        <w:t xml:space="preserve">Pirámide de Laplace. Descomposición Gaussiana–Laplaciana de Burt y Adelson (1983) con cuatro niveles, regla de fusión por máxima actividad local en cada banda y reconstrucción por expansión inversa. Es el baseline canónico en la literatura clásica de fusión.</w:t>
      </w:r>
    </w:p>
    <w:p>
      <w:pPr>
        <w:pStyle w:val="ListParagraph"/>
        <w:numPr>
          <w:ilvl w:val="0"/>
          <w:numId w:val="3"/>
        </w:numPr>
        <w:spacing w:after="100" w:line="320"/>
        <w:jc w:val="both"/>
      </w:pPr>
      <w:r>
        <w:rPr>
          <w:rFonts w:ascii="Arial" w:cs="Arial" w:eastAsia="Arial" w:hAnsi="Arial"/>
          <w:sz w:val="24"/>
          <w:szCs w:val="24"/>
        </w:rPr>
        <w:t xml:space="preserve">Curvelet (vía wavelet 2D). Descomposición discreta en subbandas direccionales mediante PyWavelets con familia Daubechies (db4) y tres niveles. Aproxima el comportamiento multiorientado de las curvelets de Candès et al. (2006), regla de máxima magnitud en subbandas de detalle, promedio en aproximación.</w:t>
      </w:r>
    </w:p>
    <w:p>
      <w:pPr>
        <w:pStyle w:val="Heading3"/>
        <w:spacing w:after="100" w:before="180"/>
      </w:pPr>
      <w:r>
        <w:rPr>
          <w:rFonts w:ascii="Arial" w:cs="Arial" w:eastAsia="Arial" w:hAnsi="Arial"/>
          <w:b/>
          <w:bCs/>
          <w:i/>
          <w:iCs/>
          <w:sz w:val="24"/>
          <w:szCs w:val="24"/>
        </w:rPr>
        <w:t xml:space="preserve">Métricas de evaluación</w:t>
      </w:r>
    </w:p>
    <w:p>
      <w:pPr>
        <w:spacing w:after="160" w:line="360"/>
        <w:jc w:val="both"/>
      </w:pPr>
      <w:r>
        <w:t>Dado que no existe una imagen de referencia óptima, la evaluación se realiza con doce métricas sin referencia. Seis son métricas clásicas de actividad e información (EN, SD, FE, MG, MI_vis, MI_ir) y seis son métricas estandar de calidad de fusión ampliamente exigidas en la literatura reciente (SF, Qabf, Nabf, SSIM, SCD, VIF). Estas últimas evaluan directamente la fidelidad de la fusión a sus fuentes y la generación de artefactos, dimensiones que las métricas clásicas —todas de tipo «mayor es mejor»— no capturan.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500"/>
        <w:gridCol w:w="3000"/>
        <w:gridCol w:w="1160"/>
      </w:tblGrid>
      <w:tr>
        <w:trPr>
          <w:tblHeader/>
        </w:trPr>
        <w:tc>
          <w:tcPr>
            <w:tcW w:type="dxa" w:w="1700"/>
            <w:shd w:fill="D5E8F0" w:color="auto" w:val="clear"/>
            <w:tcMar>
              <w:top w:type="dxa" w:w="80"/>
              <w:left w:type="dxa" w:w="120"/>
              <w:bottom w:type="dxa" w:w="80"/>
              <w:right w:type="dxa" w:w="120"/>
            </w:tcMar>
          </w:tcPr>
          <w:p>
            <w:pPr>
              <w:jc w:val="center"/>
            </w:pPr>
            <w:r>
              <w:rPr>
                <w:rFonts w:ascii="Arial" w:cs="Arial" w:eastAsia="Arial" w:hAnsi="Arial"/>
                <w:b/>
                <w:bCs/>
                <w:sz w:val="22"/>
                <w:szCs w:val="22"/>
              </w:rPr>
              <w:t xml:space="preserve">Métrica</w:t>
            </w:r>
          </w:p>
        </w:tc>
        <w:tc>
          <w:tcPr>
            <w:tcW w:type="dxa" w:w="3500"/>
            <w:shd w:fill="D5E8F0" w:color="auto" w:val="clear"/>
            <w:tcMar>
              <w:top w:type="dxa" w:w="80"/>
              <w:left w:type="dxa" w:w="120"/>
              <w:bottom w:type="dxa" w:w="80"/>
              <w:right w:type="dxa" w:w="120"/>
            </w:tcMar>
          </w:tcPr>
          <w:p>
            <w:pPr>
              <w:jc w:val="center"/>
            </w:pPr>
            <w:r>
              <w:rPr>
                <w:rFonts w:ascii="Arial" w:cs="Arial" w:eastAsia="Arial" w:hAnsi="Arial"/>
                <w:b/>
                <w:bCs/>
                <w:sz w:val="22"/>
                <w:szCs w:val="22"/>
              </w:rPr>
              <w:t xml:space="preserve">Definición operativa</w:t>
            </w:r>
          </w:p>
        </w:tc>
        <w:tc>
          <w:tcPr>
            <w:tcW w:type="dxa" w:w="3000"/>
            <w:shd w:fill="D5E8F0" w:color="auto" w:val="clear"/>
            <w:tcMar>
              <w:top w:type="dxa" w:w="80"/>
              <w:left w:type="dxa" w:w="120"/>
              <w:bottom w:type="dxa" w:w="80"/>
              <w:right w:type="dxa" w:w="120"/>
            </w:tcMar>
          </w:tcPr>
          <w:p>
            <w:pPr>
              <w:jc w:val="center"/>
            </w:pPr>
            <w:r>
              <w:rPr>
                <w:rFonts w:ascii="Arial" w:cs="Arial" w:eastAsia="Arial" w:hAnsi="Arial"/>
                <w:b/>
                <w:bCs/>
                <w:sz w:val="22"/>
                <w:szCs w:val="22"/>
              </w:rPr>
              <w:t xml:space="preserve">Interpretación</w:t>
            </w:r>
          </w:p>
        </w:tc>
        <w:tc>
          <w:tcPr>
            <w:tcW w:type="dxa" w:w="1160"/>
            <w:shd w:fill="D5E8F0" w:color="auto" w:val="clear"/>
            <w:tcMar>
              <w:top w:type="dxa" w:w="80"/>
              <w:left w:type="dxa" w:w="120"/>
              <w:bottom w:type="dxa" w:w="80"/>
              <w:right w:type="dxa" w:w="120"/>
            </w:tcMar>
          </w:tcPr>
          <w:p>
            <w:pPr>
              <w:jc w:val="center"/>
            </w:pPr>
            <w:r>
              <w:rPr>
                <w:rFonts w:ascii="Arial" w:cs="Arial" w:eastAsia="Arial" w:hAnsi="Arial"/>
                <w:b/>
                <w:bCs/>
                <w:sz w:val="22"/>
                <w:szCs w:val="22"/>
              </w:rPr>
              <w:t xml:space="preserve">Dirección</w:t>
            </w:r>
          </w:p>
        </w:tc>
      </w:tr>
      <w:tr>
        <w:tc>
          <w:tcPr>
            <w:tcW w:type="dxa" w:w="1700"/>
            <w:tcMar>
              <w:top w:type="dxa" w:w="80"/>
              <w:left w:type="dxa" w:w="120"/>
              <w:bottom w:type="dxa" w:w="80"/>
              <w:right w:type="dxa" w:w="120"/>
            </w:tcMar>
          </w:tcPr>
          <w:p>
            <w:pPr>
              <w:jc w:val="left"/>
            </w:pPr>
            <w:r>
              <w:rPr>
                <w:rFonts w:ascii="Arial" w:cs="Arial" w:eastAsia="Arial" w:hAnsi="Arial"/>
                <w:sz w:val="22"/>
                <w:szCs w:val="22"/>
              </w:rPr>
              <w:t xml:space="preserve">EN</w:t>
            </w:r>
          </w:p>
        </w:tc>
        <w:tc>
          <w:tcPr>
            <w:tcW w:type="dxa" w:w="3500"/>
            <w:tcMar>
              <w:top w:type="dxa" w:w="80"/>
              <w:left w:type="dxa" w:w="120"/>
              <w:bottom w:type="dxa" w:w="80"/>
              <w:right w:type="dxa" w:w="120"/>
            </w:tcMar>
          </w:tcPr>
          <w:p>
            <w:pPr>
              <w:jc w:val="center"/>
            </w:pPr>
            <w:r>
              <w:rPr>
                <w:rFonts w:ascii="Arial" w:cs="Arial" w:eastAsia="Arial" w:hAnsi="Arial"/>
                <w:sz w:val="22"/>
                <w:szCs w:val="22"/>
              </w:rPr>
              <w:t xml:space="preserve">Entropía de Shannon del histograma de la imagen fusionada</w:t>
            </w:r>
          </w:p>
        </w:tc>
        <w:tc>
          <w:tcPr>
            <w:tcW w:type="dxa" w:w="3000"/>
            <w:tcMar>
              <w:top w:type="dxa" w:w="80"/>
              <w:left w:type="dxa" w:w="120"/>
              <w:bottom w:type="dxa" w:w="80"/>
              <w:right w:type="dxa" w:w="120"/>
            </w:tcMar>
          </w:tcPr>
          <w:p>
            <w:pPr>
              <w:jc w:val="center"/>
            </w:pPr>
            <w:r>
              <w:rPr>
                <w:rFonts w:ascii="Arial" w:cs="Arial" w:eastAsia="Arial" w:hAnsi="Arial"/>
                <w:sz w:val="22"/>
                <w:szCs w:val="22"/>
              </w:rPr>
              <w:t xml:space="preserve">Riqueza informacional global</w:t>
            </w:r>
          </w:p>
        </w:tc>
        <w:tc>
          <w:tcPr>
            <w:tcW w:type="dxa" w:w="1160"/>
            <w:tcMar>
              <w:top w:type="dxa" w:w="80"/>
              <w:left w:type="dxa" w:w="120"/>
              <w:bottom w:type="dxa" w:w="80"/>
              <w:right w:type="dxa" w:w="120"/>
            </w:tcMar>
          </w:tcPr>
          <w:p>
            <w:pPr>
              <w:jc w:val="center"/>
            </w:pPr>
            <w:r>
              <w:rPr>
                <w:rFonts w:ascii="Arial" w:cs="Arial" w:eastAsia="Arial" w:hAnsi="Arial"/>
                <w:sz w:val="22"/>
                <w:szCs w:val="22"/>
              </w:rPr>
              <w:t xml:space="preserve">↑</w:t>
            </w:r>
          </w:p>
        </w:tc>
      </w:tr>
      <w:tr>
        <w:tc>
          <w:tcPr>
            <w:tcW w:type="dxa" w:w="1700"/>
            <w:shd w:fill="F4F7F6" w:color="auto" w:val="clear"/>
            <w:tcMar>
              <w:top w:type="dxa" w:w="80"/>
              <w:left w:type="dxa" w:w="120"/>
              <w:bottom w:type="dxa" w:w="80"/>
              <w:right w:type="dxa" w:w="120"/>
            </w:tcMar>
          </w:tcPr>
          <w:p>
            <w:pPr>
              <w:jc w:val="left"/>
            </w:pPr>
            <w:r>
              <w:rPr>
                <w:rFonts w:ascii="Arial" w:cs="Arial" w:eastAsia="Arial" w:hAnsi="Arial"/>
                <w:sz w:val="22"/>
                <w:szCs w:val="22"/>
              </w:rPr>
              <w:t xml:space="preserve">SD</w:t>
            </w:r>
          </w:p>
        </w:tc>
        <w:tc>
          <w:tcPr>
            <w:tcW w:type="dxa" w:w="3500"/>
            <w:shd w:fill="F4F7F6" w:color="auto" w:val="clear"/>
            <w:tcMar>
              <w:top w:type="dxa" w:w="80"/>
              <w:left w:type="dxa" w:w="120"/>
              <w:bottom w:type="dxa" w:w="80"/>
              <w:right w:type="dxa" w:w="120"/>
            </w:tcMar>
          </w:tcPr>
          <w:p>
            <w:pPr>
              <w:jc w:val="center"/>
            </w:pPr>
            <w:r>
              <w:rPr>
                <w:rFonts w:ascii="Arial" w:cs="Arial" w:eastAsia="Arial" w:hAnsi="Arial"/>
                <w:sz w:val="22"/>
                <w:szCs w:val="22"/>
              </w:rPr>
              <w:t xml:space="preserve">Desviación estándar de los niveles de gris</w:t>
            </w:r>
          </w:p>
        </w:tc>
        <w:tc>
          <w:tcPr>
            <w:tcW w:type="dxa" w:w="3000"/>
            <w:shd w:fill="F4F7F6" w:color="auto" w:val="clear"/>
            <w:tcMar>
              <w:top w:type="dxa" w:w="80"/>
              <w:left w:type="dxa" w:w="120"/>
              <w:bottom w:type="dxa" w:w="80"/>
              <w:right w:type="dxa" w:w="120"/>
            </w:tcMar>
          </w:tcPr>
          <w:p>
            <w:pPr>
              <w:jc w:val="center"/>
            </w:pPr>
            <w:r>
              <w:rPr>
                <w:rFonts w:ascii="Arial" w:cs="Arial" w:eastAsia="Arial" w:hAnsi="Arial"/>
                <w:sz w:val="22"/>
                <w:szCs w:val="22"/>
              </w:rPr>
              <w:t xml:space="preserve">Contraste global</w:t>
            </w:r>
          </w:p>
        </w:tc>
        <w:tc>
          <w:tcPr>
            <w:tcW w:type="dxa" w:w="1160"/>
            <w:shd w:fill="F4F7F6" w:color="auto" w:val="clear"/>
            <w:tcMar>
              <w:top w:type="dxa" w:w="80"/>
              <w:left w:type="dxa" w:w="120"/>
              <w:bottom w:type="dxa" w:w="80"/>
              <w:right w:type="dxa" w:w="120"/>
            </w:tcMar>
          </w:tcPr>
          <w:p>
            <w:pPr>
              <w:jc w:val="center"/>
            </w:pPr>
            <w:r>
              <w:rPr>
                <w:rFonts w:ascii="Arial" w:cs="Arial" w:eastAsia="Arial" w:hAnsi="Arial"/>
                <w:sz w:val="22"/>
                <w:szCs w:val="22"/>
              </w:rPr>
              <w:t xml:space="preserve">↑</w:t>
            </w:r>
          </w:p>
        </w:tc>
      </w:tr>
      <w:tr>
        <w:tc>
          <w:tcPr>
            <w:tcW w:type="dxa" w:w="1700"/>
            <w:tcMar>
              <w:top w:type="dxa" w:w="80"/>
              <w:left w:type="dxa" w:w="120"/>
              <w:bottom w:type="dxa" w:w="80"/>
              <w:right w:type="dxa" w:w="120"/>
            </w:tcMar>
          </w:tcPr>
          <w:p>
            <w:pPr>
              <w:jc w:val="left"/>
            </w:pPr>
            <w:r>
              <w:rPr>
                <w:rFonts w:ascii="Arial" w:cs="Arial" w:eastAsia="Arial" w:hAnsi="Arial"/>
                <w:sz w:val="22"/>
                <w:szCs w:val="22"/>
              </w:rPr>
              <w:t xml:space="preserve">FE</w:t>
            </w:r>
          </w:p>
        </w:tc>
        <w:tc>
          <w:tcPr>
            <w:tcW w:type="dxa" w:w="3500"/>
            <w:tcMar>
              <w:top w:type="dxa" w:w="80"/>
              <w:left w:type="dxa" w:w="120"/>
              <w:bottom w:type="dxa" w:w="80"/>
              <w:right w:type="dxa" w:w="120"/>
            </w:tcMar>
          </w:tcPr>
          <w:p>
            <w:pPr>
              <w:jc w:val="center"/>
            </w:pPr>
            <w:r>
              <w:rPr>
                <w:rFonts w:ascii="Arial" w:cs="Arial" w:eastAsia="Arial" w:hAnsi="Arial"/>
                <w:sz w:val="22"/>
                <w:szCs w:val="22"/>
              </w:rPr>
              <w:t xml:space="preserve">EN(F) ÷ media(EN(VIS), EN(IR))</w:t>
            </w:r>
          </w:p>
        </w:tc>
        <w:tc>
          <w:tcPr>
            <w:tcW w:type="dxa" w:w="3000"/>
            <w:tcMar>
              <w:top w:type="dxa" w:w="80"/>
              <w:left w:type="dxa" w:w="120"/>
              <w:bottom w:type="dxa" w:w="80"/>
              <w:right w:type="dxa" w:w="120"/>
            </w:tcMar>
          </w:tcPr>
          <w:p>
            <w:pPr>
              <w:jc w:val="center"/>
            </w:pPr>
            <w:r>
              <w:rPr>
                <w:rFonts w:ascii="Arial" w:cs="Arial" w:eastAsia="Arial" w:hAnsi="Arial"/>
                <w:sz w:val="22"/>
                <w:szCs w:val="22"/>
              </w:rPr>
              <w:t xml:space="preserve">Ganancia informacional sobre las fuentes</w:t>
            </w:r>
          </w:p>
        </w:tc>
        <w:tc>
          <w:tcPr>
            <w:tcW w:type="dxa" w:w="1160"/>
            <w:tcMar>
              <w:top w:type="dxa" w:w="80"/>
              <w:left w:type="dxa" w:w="120"/>
              <w:bottom w:type="dxa" w:w="80"/>
              <w:right w:type="dxa" w:w="120"/>
            </w:tcMar>
          </w:tcPr>
          <w:p>
            <w:pPr>
              <w:jc w:val="center"/>
            </w:pPr>
            <w:r>
              <w:rPr>
                <w:rFonts w:ascii="Arial" w:cs="Arial" w:eastAsia="Arial" w:hAnsi="Arial"/>
                <w:sz w:val="22"/>
                <w:szCs w:val="22"/>
              </w:rPr>
              <w:t xml:space="preserve">↑</w:t>
            </w:r>
          </w:p>
        </w:tc>
      </w:tr>
      <w:tr>
        <w:tc>
          <w:tcPr>
            <w:tcW w:type="dxa" w:w="1700"/>
            <w:shd w:fill="F4F7F6" w:color="auto" w:val="clear"/>
            <w:tcMar>
              <w:top w:type="dxa" w:w="80"/>
              <w:left w:type="dxa" w:w="120"/>
              <w:bottom w:type="dxa" w:w="80"/>
              <w:right w:type="dxa" w:w="120"/>
            </w:tcMar>
          </w:tcPr>
          <w:p>
            <w:pPr>
              <w:jc w:val="left"/>
            </w:pPr>
            <w:r>
              <w:rPr>
                <w:rFonts w:ascii="Arial" w:cs="Arial" w:eastAsia="Arial" w:hAnsi="Arial"/>
                <w:sz w:val="22"/>
                <w:szCs w:val="22"/>
              </w:rPr>
              <w:t xml:space="preserve">MG</w:t>
            </w:r>
          </w:p>
        </w:tc>
        <w:tc>
          <w:tcPr>
            <w:tcW w:type="dxa" w:w="3500"/>
            <w:shd w:fill="F4F7F6" w:color="auto" w:val="clear"/>
            <w:tcMar>
              <w:top w:type="dxa" w:w="80"/>
              <w:left w:type="dxa" w:w="120"/>
              <w:bottom w:type="dxa" w:w="80"/>
              <w:right w:type="dxa" w:w="120"/>
            </w:tcMar>
          </w:tcPr>
          <w:p>
            <w:pPr>
              <w:jc w:val="center"/>
            </w:pPr>
            <w:r>
              <w:rPr>
                <w:rFonts w:ascii="Arial" w:cs="Arial" w:eastAsia="Arial" w:hAnsi="Arial"/>
                <w:sz w:val="22"/>
                <w:szCs w:val="22"/>
              </w:rPr>
              <w:t xml:space="preserve">Promedio de la magnitud del gradiente</w:t>
            </w:r>
          </w:p>
        </w:tc>
        <w:tc>
          <w:tcPr>
            <w:tcW w:type="dxa" w:w="3000"/>
            <w:shd w:fill="F4F7F6" w:color="auto" w:val="clear"/>
            <w:tcMar>
              <w:top w:type="dxa" w:w="80"/>
              <w:left w:type="dxa" w:w="120"/>
              <w:bottom w:type="dxa" w:w="80"/>
              <w:right w:type="dxa" w:w="120"/>
            </w:tcMar>
          </w:tcPr>
          <w:p>
            <w:pPr>
              <w:jc w:val="center"/>
            </w:pPr>
            <w:r>
              <w:rPr>
                <w:rFonts w:ascii="Arial" w:cs="Arial" w:eastAsia="Arial" w:hAnsi="Arial"/>
                <w:sz w:val="22"/>
                <w:szCs w:val="22"/>
              </w:rPr>
              <w:t xml:space="preserve">Nitidez y preservación de bordes</w:t>
            </w:r>
          </w:p>
        </w:tc>
        <w:tc>
          <w:tcPr>
            <w:tcW w:type="dxa" w:w="1160"/>
            <w:shd w:fill="F4F7F6" w:color="auto" w:val="clear"/>
            <w:tcMar>
              <w:top w:type="dxa" w:w="80"/>
              <w:left w:type="dxa" w:w="120"/>
              <w:bottom w:type="dxa" w:w="80"/>
              <w:right w:type="dxa" w:w="120"/>
            </w:tcMar>
          </w:tcPr>
          <w:p>
            <w:pPr>
              <w:jc w:val="center"/>
            </w:pPr>
            <w:r>
              <w:rPr>
                <w:rFonts w:ascii="Arial" w:cs="Arial" w:eastAsia="Arial" w:hAnsi="Arial"/>
                <w:sz w:val="22"/>
                <w:szCs w:val="22"/>
              </w:rPr>
              <w:t xml:space="preserve">↑</w:t>
            </w:r>
          </w:p>
        </w:tc>
      </w:tr>
      <w:tr>
        <w:tc>
          <w:tcPr>
            <w:tcW w:type="dxa" w:w="1700"/>
            <w:tcMar>
              <w:top w:type="dxa" w:w="80"/>
              <w:left w:type="dxa" w:w="120"/>
              <w:bottom w:type="dxa" w:w="80"/>
              <w:right w:type="dxa" w:w="120"/>
            </w:tcMar>
          </w:tcPr>
          <w:p>
            <w:pPr>
              <w:jc w:val="left"/>
            </w:pPr>
            <w:r>
              <w:rPr>
                <w:rFonts w:ascii="Arial" w:cs="Arial" w:eastAsia="Arial" w:hAnsi="Arial"/>
                <w:sz w:val="22"/>
                <w:szCs w:val="22"/>
              </w:rPr>
              <w:t xml:space="preserve">MI_vis</w:t>
            </w:r>
          </w:p>
        </w:tc>
        <w:tc>
          <w:tcPr>
            <w:tcW w:type="dxa" w:w="3500"/>
            <w:tcMar>
              <w:top w:type="dxa" w:w="80"/>
              <w:left w:type="dxa" w:w="120"/>
              <w:bottom w:type="dxa" w:w="80"/>
              <w:right w:type="dxa" w:w="120"/>
            </w:tcMar>
          </w:tcPr>
          <w:p>
            <w:pPr>
              <w:jc w:val="center"/>
            </w:pPr>
            <w:r>
              <w:rPr>
                <w:rFonts w:ascii="Arial" w:cs="Arial" w:eastAsia="Arial" w:hAnsi="Arial"/>
                <w:sz w:val="22"/>
                <w:szCs w:val="22"/>
              </w:rPr>
              <w:t xml:space="preserve">Información mutua entre F y la imagen VIS</w:t>
            </w:r>
          </w:p>
        </w:tc>
        <w:tc>
          <w:tcPr>
            <w:tcW w:type="dxa" w:w="3000"/>
            <w:tcMar>
              <w:top w:type="dxa" w:w="80"/>
              <w:left w:type="dxa" w:w="120"/>
              <w:bottom w:type="dxa" w:w="80"/>
              <w:right w:type="dxa" w:w="120"/>
            </w:tcMar>
          </w:tcPr>
          <w:p>
            <w:pPr>
              <w:jc w:val="center"/>
            </w:pPr>
            <w:r>
              <w:rPr>
                <w:rFonts w:ascii="Arial" w:cs="Arial" w:eastAsia="Arial" w:hAnsi="Arial"/>
                <w:sz w:val="22"/>
                <w:szCs w:val="22"/>
              </w:rPr>
              <w:t xml:space="preserve">Fidelidad a la fuente visible</w:t>
            </w:r>
          </w:p>
        </w:tc>
        <w:tc>
          <w:tcPr>
            <w:tcW w:type="dxa" w:w="1160"/>
            <w:tcMar>
              <w:top w:type="dxa" w:w="80"/>
              <w:left w:type="dxa" w:w="120"/>
              <w:bottom w:type="dxa" w:w="80"/>
              <w:right w:type="dxa" w:w="120"/>
            </w:tcMar>
          </w:tcPr>
          <w:p>
            <w:pPr>
              <w:jc w:val="center"/>
            </w:pPr>
            <w:r>
              <w:rPr>
                <w:rFonts w:ascii="Arial" w:cs="Arial" w:eastAsia="Arial" w:hAnsi="Arial"/>
                <w:sz w:val="22"/>
                <w:szCs w:val="22"/>
              </w:rPr>
              <w:t xml:space="preserve">↑</w:t>
            </w:r>
          </w:p>
        </w:tc>
      </w:tr>
      <w:tr>
        <w:tc>
          <w:tcPr>
            <w:tcW w:type="dxa" w:w="1700"/>
            <w:shd w:fill="F4F7F6" w:color="auto" w:val="clear"/>
            <w:tcMar>
              <w:top w:type="dxa" w:w="80"/>
              <w:left w:type="dxa" w:w="120"/>
              <w:bottom w:type="dxa" w:w="80"/>
              <w:right w:type="dxa" w:w="120"/>
            </w:tcMar>
          </w:tcPr>
          <w:p>
            <w:pPr>
              <w:jc w:val="left"/>
            </w:pPr>
            <w:r>
              <w:rPr>
                <w:rFonts w:ascii="Arial" w:cs="Arial" w:eastAsia="Arial" w:hAnsi="Arial"/>
                <w:sz w:val="22"/>
                <w:szCs w:val="22"/>
              </w:rPr>
              <w:t xml:space="preserve">MI_ir</w:t>
            </w:r>
          </w:p>
        </w:tc>
        <w:tc>
          <w:tcPr>
            <w:tcW w:type="dxa" w:w="3500"/>
            <w:shd w:fill="F4F7F6" w:color="auto" w:val="clear"/>
            <w:tcMar>
              <w:top w:type="dxa" w:w="80"/>
              <w:left w:type="dxa" w:w="120"/>
              <w:bottom w:type="dxa" w:w="80"/>
              <w:right w:type="dxa" w:w="120"/>
            </w:tcMar>
          </w:tcPr>
          <w:p>
            <w:pPr>
              <w:jc w:val="center"/>
            </w:pPr>
            <w:r>
              <w:rPr>
                <w:rFonts w:ascii="Arial" w:cs="Arial" w:eastAsia="Arial" w:hAnsi="Arial"/>
                <w:sz w:val="22"/>
                <w:szCs w:val="22"/>
              </w:rPr>
              <w:t xml:space="preserve">Información mutua entre F y la imagen IR</w:t>
            </w:r>
          </w:p>
        </w:tc>
        <w:tc>
          <w:tcPr>
            <w:tcW w:type="dxa" w:w="3000"/>
            <w:shd w:fill="F4F7F6" w:color="auto" w:val="clear"/>
            <w:tcMar>
              <w:top w:type="dxa" w:w="80"/>
              <w:left w:type="dxa" w:w="120"/>
              <w:bottom w:type="dxa" w:w="80"/>
              <w:right w:type="dxa" w:w="120"/>
            </w:tcMar>
          </w:tcPr>
          <w:p>
            <w:pPr>
              <w:jc w:val="center"/>
            </w:pPr>
            <w:r>
              <w:rPr>
                <w:rFonts w:ascii="Arial" w:cs="Arial" w:eastAsia="Arial" w:hAnsi="Arial"/>
                <w:sz w:val="22"/>
                <w:szCs w:val="22"/>
              </w:rPr>
              <w:t xml:space="preserve">Fidelidad a la fuente infrarroja</w:t>
            </w:r>
          </w:p>
        </w:tc>
        <w:tc>
          <w:tcPr>
            <w:tcW w:type="dxa" w:w="1160"/>
            <w:shd w:fill="F4F7F6" w:color="auto" w:val="clear"/>
            <w:tcMar>
              <w:top w:type="dxa" w:w="80"/>
              <w:left w:type="dxa" w:w="120"/>
              <w:bottom w:type="dxa" w:w="80"/>
              <w:right w:type="dxa" w:w="120"/>
            </w:tcMar>
          </w:tcPr>
          <w:p>
            <w:pPr>
              <w:jc w:val="center"/>
            </w:pPr>
            <w:r>
              <w:rPr>
                <w:rFonts w:ascii="Arial" w:cs="Arial" w:eastAsia="Arial" w:hAnsi="Arial"/>
                <w:sz w:val="22"/>
                <w:szCs w:val="22"/>
              </w:rPr>
              <w:t xml:space="preserve">↑</w:t>
            </w:r>
          </w:p>
        </w:tc>
      </w:tr>
      <w:tr>
        <w:tc>
          <w:tcPr>
            <w:tcW w:type="dxa" w:w="1700"/>
          </w:tcPr>
          <w:p>
            <w:r>
              <w:t>SF</w:t>
            </w:r>
          </w:p>
        </w:tc>
        <w:tc>
          <w:tcPr>
            <w:tcW w:type="dxa" w:w="3500"/>
          </w:tcPr>
          <w:p>
            <w:r>
              <w:t>Frecuencia espacial: actividad espacial global (filas y columnas)</w:t>
            </w:r>
          </w:p>
        </w:tc>
        <w:tc>
          <w:tcPr>
            <w:tcW w:type="dxa" w:w="3000"/>
          </w:tcPr>
          <w:p>
            <w:r>
              <w:t>Detalle y textura global</w:t>
            </w:r>
          </w:p>
        </w:tc>
        <w:tc>
          <w:tcPr>
            <w:tcW w:type="dxa" w:w="1160"/>
          </w:tcPr>
          <w:p>
            <w:r>
              <w:t>↑</w:t>
            </w:r>
          </w:p>
        </w:tc>
      </w:tr>
      <w:tr>
        <w:tc>
          <w:tcPr>
            <w:tcW w:type="dxa" w:w="1700"/>
          </w:tcPr>
          <w:p>
            <w:r>
              <w:t>Qabf</w:t>
            </w:r>
          </w:p>
        </w:tc>
        <w:tc>
          <w:tcPr>
            <w:tcW w:type="dxa" w:w="3500"/>
          </w:tcPr>
          <w:p>
            <w:r>
              <w:t>Información de borde de las fuentes transferida a la fusión (Xydeas-Petrovic)</w:t>
            </w:r>
          </w:p>
        </w:tc>
        <w:tc>
          <w:tcPr>
            <w:tcW w:type="dxa" w:w="3000"/>
          </w:tcPr>
          <w:p>
            <w:r>
              <w:t>Preservación de bordes</w:t>
            </w:r>
          </w:p>
        </w:tc>
        <w:tc>
          <w:tcPr>
            <w:tcW w:type="dxa" w:w="1160"/>
          </w:tcPr>
          <w:p>
            <w:r>
              <w:t>↑</w:t>
            </w:r>
          </w:p>
        </w:tc>
      </w:tr>
      <w:tr>
        <w:tc>
          <w:tcPr>
            <w:tcW w:type="dxa" w:w="1700"/>
          </w:tcPr>
          <w:p>
            <w:r>
              <w:t>Nabf</w:t>
            </w:r>
          </w:p>
        </w:tc>
        <w:tc>
          <w:tcPr>
            <w:tcW w:type="dxa" w:w="3500"/>
          </w:tcPr>
          <w:p>
            <w:r>
              <w:t>Bordes/ruido añadidos por la fusión inexistentes en las fuentes</w:t>
            </w:r>
          </w:p>
        </w:tc>
        <w:tc>
          <w:tcPr>
            <w:tcW w:type="dxa" w:w="3000"/>
          </w:tcPr>
          <w:p>
            <w:r>
              <w:t>Artefactos (menor es mejor)</w:t>
            </w:r>
          </w:p>
        </w:tc>
        <w:tc>
          <w:tcPr>
            <w:tcW w:type="dxa" w:w="1160"/>
          </w:tcPr>
          <w:p>
            <w:r>
              <w:t>↓</w:t>
            </w:r>
          </w:p>
        </w:tc>
      </w:tr>
      <w:tr>
        <w:tc>
          <w:tcPr>
            <w:tcW w:type="dxa" w:w="1700"/>
          </w:tcPr>
          <w:p>
            <w:r>
              <w:t>SSIM</w:t>
            </w:r>
          </w:p>
        </w:tc>
        <w:tc>
          <w:tcPr>
            <w:tcW w:type="dxa" w:w="3500"/>
          </w:tcPr>
          <w:p>
            <w:r>
              <w:t>Similitud estructural promedio respecto a VIS e IR</w:t>
            </w:r>
          </w:p>
        </w:tc>
        <w:tc>
          <w:tcPr>
            <w:tcW w:type="dxa" w:w="3000"/>
          </w:tcPr>
          <w:p>
            <w:r>
              <w:t>Fidelidad estructural</w:t>
            </w:r>
          </w:p>
        </w:tc>
        <w:tc>
          <w:tcPr>
            <w:tcW w:type="dxa" w:w="1160"/>
          </w:tcPr>
          <w:p>
            <w:r>
              <w:t>↑</w:t>
            </w:r>
          </w:p>
        </w:tc>
      </w:tr>
      <w:tr>
        <w:tc>
          <w:tcPr>
            <w:tcW w:type="dxa" w:w="1700"/>
          </w:tcPr>
          <w:p>
            <w:r>
              <w:t>SCD</w:t>
            </w:r>
          </w:p>
        </w:tc>
        <w:tc>
          <w:tcPr>
            <w:tcW w:type="dxa" w:w="3500"/>
          </w:tcPr>
          <w:p>
            <w:r>
              <w:t>Suma de correlaciones de las diferencias (Aslantas-Bendes)</w:t>
            </w:r>
          </w:p>
        </w:tc>
        <w:tc>
          <w:tcPr>
            <w:tcW w:type="dxa" w:w="3000"/>
          </w:tcPr>
          <w:p>
            <w:r>
              <w:t>Información de fuente retenida</w:t>
            </w:r>
          </w:p>
        </w:tc>
        <w:tc>
          <w:tcPr>
            <w:tcW w:type="dxa" w:w="1160"/>
          </w:tcPr>
          <w:p>
            <w:r>
              <w:t>↑</w:t>
            </w:r>
          </w:p>
        </w:tc>
      </w:tr>
      <w:tr>
        <w:tc>
          <w:tcPr>
            <w:tcW w:type="dxa" w:w="1700"/>
          </w:tcPr>
          <w:p>
            <w:r>
              <w:t>VIF</w:t>
            </w:r>
          </w:p>
        </w:tc>
        <w:tc>
          <w:tcPr>
            <w:tcW w:type="dxa" w:w="3500"/>
          </w:tcPr>
          <w:p>
            <w:r>
              <w:t>Fidelidad de información visual promedio (Sheikh-Bovik)</w:t>
            </w:r>
          </w:p>
        </w:tc>
        <w:tc>
          <w:tcPr>
            <w:tcW w:type="dxa" w:w="3000"/>
          </w:tcPr>
          <w:p>
            <w:r>
              <w:t>Fidelidad perceptual</w:t>
            </w:r>
          </w:p>
        </w:tc>
        <w:tc>
          <w:tcPr>
            <w:tcW w:type="dxa" w:w="1160"/>
          </w:tcPr>
          <w:p>
            <w:r>
              <w:t>↑</w:t>
            </w:r>
          </w:p>
        </w:tc>
      </w:tr>
    </w:tbl>
    <w:p>
      <w:pPr>
        <w:pStyle w:val="Heading1"/>
        <w:pageBreakBefore/>
        <w:spacing w:after="240" w:before="360"/>
        <w:jc w:val="center"/>
      </w:pPr>
      <w:r>
        <w:rPr>
          <w:rFonts w:ascii="Arial" w:cs="Arial" w:eastAsia="Arial" w:hAnsi="Arial"/>
          <w:b/>
          <w:bCs/>
          <w:sz w:val="28"/>
          <w:szCs w:val="28"/>
        </w:rPr>
        <w:t xml:space="preserve">MARCO CONCEPTUAL</w:t>
      </w:r>
    </w:p>
    <w:p>
      <w:pPr>
        <w:pStyle w:val="Heading2"/>
        <w:spacing w:after="120" w:before="240"/>
      </w:pPr>
      <w:r>
        <w:rPr>
          <w:rFonts w:ascii="Arial" w:cs="Arial" w:eastAsia="Arial" w:hAnsi="Arial"/>
          <w:b/>
          <w:bCs/>
          <w:sz w:val="26"/>
          <w:szCs w:val="26"/>
        </w:rPr>
        <w:t xml:space="preserve">Imagen visible (VIS)</w:t>
      </w:r>
    </w:p>
    <w:p>
      <w:pPr>
        <w:spacing w:after="160" w:line="360"/>
        <w:jc w:val="both"/>
      </w:pPr>
      <w:r>
        <w:rPr>
          <w:rFonts w:ascii="Arial" w:cs="Arial" w:eastAsia="Arial" w:hAnsi="Arial"/>
          <w:sz w:val="24"/>
          <w:szCs w:val="24"/>
        </w:rPr>
        <w:t xml:space="preserve">Imagen capturada en el rango espectral de 400 a 700 nanómetros, correspondiente a la sensibilidad del ojo humano. Resolución típica alta y dependencia fuerte de la iluminación ambiente.</w:t>
      </w:r>
    </w:p>
    <w:p>
      <w:pPr>
        <w:pStyle w:val="Heading2"/>
        <w:spacing w:after="120" w:before="240"/>
      </w:pPr>
      <w:r>
        <w:rPr>
          <w:rFonts w:ascii="Arial" w:cs="Arial" w:eastAsia="Arial" w:hAnsi="Arial"/>
          <w:b/>
          <w:bCs/>
          <w:sz w:val="26"/>
          <w:szCs w:val="26"/>
        </w:rPr>
        <w:t xml:space="preserve">Imagen infrarroja (IR)</w:t>
      </w:r>
    </w:p>
    <w:p>
      <w:pPr>
        <w:spacing w:after="160" w:line="360"/>
        <w:jc w:val="both"/>
      </w:pPr>
      <w:r>
        <w:rPr>
          <w:rFonts w:ascii="Arial" w:cs="Arial" w:eastAsia="Arial" w:hAnsi="Arial"/>
          <w:sz w:val="24"/>
          <w:szCs w:val="24"/>
        </w:rPr>
        <w:t xml:space="preserve">Imagen capturada en el rango térmico (típicamente 8 a 14 micras, IR de onda larga) que registra la radiación emitida por los cuerpos en función de su temperatura. Resolución espacial típicamente inferior a la VIS pero independiente de la iluminación visible.</w:t>
      </w:r>
    </w:p>
    <w:p>
      <w:pPr>
        <w:pStyle w:val="Heading2"/>
        <w:spacing w:after="120" w:before="240"/>
      </w:pPr>
      <w:r>
        <w:rPr>
          <w:rFonts w:ascii="Arial" w:cs="Arial" w:eastAsia="Arial" w:hAnsi="Arial"/>
          <w:b/>
          <w:bCs/>
          <w:sz w:val="26"/>
          <w:szCs w:val="26"/>
        </w:rPr>
        <w:t xml:space="preserve">Elemento estructurante (SE)</w:t>
      </w:r>
    </w:p>
    <w:p>
      <w:pPr>
        <w:spacing w:after="160" w:line="360"/>
        <w:jc w:val="both"/>
      </w:pPr>
      <w:r>
        <w:rPr>
          <w:rFonts w:ascii="Arial" w:cs="Arial" w:eastAsia="Arial" w:hAnsi="Arial"/>
          <w:sz w:val="24"/>
          <w:szCs w:val="24"/>
        </w:rPr>
        <w:t xml:space="preserve">Conjunto plano y compacto que define la geometría del vecindario sobre el que actúan las operaciones morfológicas. En esta tesis se exploran SE de tipo disco, cuadrado y cruz, con radios de 2, 3 y 5 píxeles.</w:t>
      </w:r>
    </w:p>
    <w:p>
      <w:pPr>
        <w:pStyle w:val="Heading2"/>
        <w:spacing w:after="120" w:before="240"/>
      </w:pPr>
      <w:r>
        <w:rPr>
          <w:rFonts w:ascii="Arial" w:cs="Arial" w:eastAsia="Arial" w:hAnsi="Arial"/>
          <w:b/>
          <w:bCs/>
          <w:sz w:val="26"/>
          <w:szCs w:val="26"/>
        </w:rPr>
        <w:t xml:space="preserve">White Top-Hat (WTH)</w:t>
      </w:r>
    </w:p>
    <w:p>
      <w:pPr>
        <w:spacing w:after="160" w:line="360"/>
        <w:jc w:val="both"/>
      </w:pPr>
      <w:r>
        <w:rPr>
          <w:rFonts w:ascii="Arial" w:cs="Arial" w:eastAsia="Arial" w:hAnsi="Arial"/>
          <w:sz w:val="24"/>
          <w:szCs w:val="24"/>
        </w:rPr>
        <w:t xml:space="preserve">Operador morfológico definido como la diferencia entre la imagen original y su apertura. Aísla las estructuras brillantes locales menores que el SE.</w:t>
      </w:r>
    </w:p>
    <w:p>
      <w:pPr>
        <w:pStyle w:val="Heading2"/>
      </w:pPr>
      <w:r>
        <w:t>Black Top-Hat (BTH)</w:t>
      </w:r>
    </w:p>
    <w:p>
      <w:r>
        <w:t>Operador morfológico dual del WTH, definido como la diferencia entre el cierre de la imagen y la imagen original: BTH(f, b) = φ(f, b) − f. Aísla las estructuras oscuras locales (valles) menores que el SE. Incorporarlo permite capturar simultáneamente el detalle brillante (vía WTH) y el detalle oscuro (vía BTH) de cada escala.</w:t>
      </w:r>
    </w:p>
    <w:p>
      <w:pPr>
        <w:pStyle w:val="Heading2"/>
        <w:spacing w:after="120" w:before="240"/>
      </w:pPr>
      <w:r>
        <w:rPr>
          <w:rFonts w:ascii="Arial" w:cs="Arial" w:eastAsia="Arial" w:hAnsi="Arial"/>
          <w:b/>
          <w:bCs/>
          <w:sz w:val="26"/>
          <w:szCs w:val="26"/>
        </w:rPr>
        <w:t xml:space="preserve">Descomposición multiescala</w:t>
      </w:r>
    </w:p>
    <w:p>
      <w:pPr>
        <w:spacing w:after="160" w:line="360"/>
        <w:jc w:val="both"/>
      </w:pPr>
      <w:r>
        <w:rPr>
          <w:rFonts w:ascii="Arial" w:cs="Arial" w:eastAsia="Arial" w:hAnsi="Arial"/>
          <w:sz w:val="24"/>
          <w:szCs w:val="24"/>
        </w:rPr>
        <w:t xml:space="preserve">Representación de una imagen como suma de capas que aíslan estructuras a distintas escalas. En esta tesis se construye iterativamente aplicando WTH con SE de radio creciente.</w:t>
      </w:r>
    </w:p>
    <w:p>
      <w:pPr>
        <w:pStyle w:val="Heading2"/>
        <w:spacing w:after="120" w:before="240"/>
      </w:pPr>
      <w:r>
        <w:rPr>
          <w:rFonts w:ascii="Arial" w:cs="Arial" w:eastAsia="Arial" w:hAnsi="Arial"/>
          <w:b/>
          <w:bCs/>
          <w:sz w:val="26"/>
          <w:szCs w:val="26"/>
        </w:rPr>
        <w:t xml:space="preserve">Regla de fusión por actividad local</w:t>
      </w:r>
    </w:p>
    <w:p>
      <w:pPr>
        <w:spacing w:after="160" w:line="360"/>
        <w:jc w:val="both"/>
      </w:pPr>
      <w:r>
        <w:rPr>
          <w:rFonts w:ascii="Arial" w:cs="Arial" w:eastAsia="Arial" w:hAnsi="Arial"/>
          <w:sz w:val="24"/>
          <w:szCs w:val="24"/>
        </w:rPr>
        <w:t xml:space="preserve">Mecanismo de selección capa-a-capa que escoge el aporte de la fuente cuya actividad local (magnitud del coeficiente suavizada con un kernel gaussiano) es mayor en cada posición.</w:t>
      </w:r>
    </w:p>
    <w:p>
      <w:pPr>
        <w:pStyle w:val="Heading2"/>
        <w:spacing w:after="120" w:before="240"/>
      </w:pPr>
      <w:r>
        <w:rPr>
          <w:rFonts w:ascii="Arial" w:cs="Arial" w:eastAsia="Arial" w:hAnsi="Arial"/>
          <w:b/>
          <w:bCs/>
          <w:sz w:val="26"/>
          <w:szCs w:val="26"/>
        </w:rPr>
        <w:t xml:space="preserve">Métrica sin referencia</w:t>
      </w:r>
    </w:p>
    <w:p>
      <w:pPr>
        <w:spacing w:after="160" w:line="360"/>
        <w:jc w:val="both"/>
      </w:pPr>
      <w:r>
        <w:rPr>
          <w:rFonts w:ascii="Arial" w:cs="Arial" w:eastAsia="Arial" w:hAnsi="Arial"/>
          <w:sz w:val="24"/>
          <w:szCs w:val="24"/>
        </w:rPr>
        <w:t xml:space="preserve">Indicador cuantitativo de calidad calculado únicamente a partir de la imagen fusionada o de su relación con las fuentes, sin requerir una imagen objetivo conocida.</w:t>
      </w:r>
    </w:p>
    <w:p>
      <w:pPr>
        <w:pStyle w:val="Heading2"/>
        <w:spacing w:after="120" w:before="240"/>
      </w:pPr>
      <w:r>
        <w:rPr>
          <w:rFonts w:ascii="Arial" w:cs="Arial" w:eastAsia="Arial" w:hAnsi="Arial"/>
          <w:b/>
          <w:bCs/>
          <w:sz w:val="26"/>
          <w:szCs w:val="26"/>
        </w:rPr>
        <w:t xml:space="preserve">Prueba de Friedman</w:t>
      </w:r>
    </w:p>
    <w:p>
      <w:pPr>
        <w:spacing w:after="160" w:line="360"/>
        <w:jc w:val="both"/>
      </w:pPr>
      <w:r>
        <w:rPr>
          <w:rFonts w:ascii="Arial" w:cs="Arial" w:eastAsia="Arial" w:hAnsi="Arial"/>
          <w:sz w:val="24"/>
          <w:szCs w:val="24"/>
        </w:rPr>
        <w:t xml:space="preserve">Prueba estadística no paramétrica para muestras relacionadas con tres o más tratamientos. Se utiliza para detectar diferencias globales entre métodos cuando los datos no cumplen normalidad.</w:t>
      </w:r>
    </w:p>
    <w:p>
      <w:pPr>
        <w:pStyle w:val="Heading2"/>
        <w:spacing w:after="120" w:before="240"/>
      </w:pPr>
      <w:r>
        <w:rPr>
          <w:rFonts w:ascii="Arial" w:cs="Arial" w:eastAsia="Arial" w:hAnsi="Arial"/>
          <w:b/>
          <w:bCs/>
          <w:sz w:val="26"/>
          <w:szCs w:val="26"/>
        </w:rPr>
        <w:t xml:space="preserve">Prueba de Wilcoxon</w:t>
      </w:r>
    </w:p>
    <w:p>
      <w:pPr>
        <w:spacing w:after="160" w:line="360"/>
        <w:jc w:val="both"/>
      </w:pPr>
      <w:r>
        <w:rPr>
          <w:rFonts w:ascii="Arial" w:cs="Arial" w:eastAsia="Arial" w:hAnsi="Arial"/>
          <w:sz w:val="24"/>
          <w:szCs w:val="24"/>
        </w:rPr>
        <w:t xml:space="preserve">Prueba estadística no paramétrica de rangos signados para comparaciones pareadas, utilizada en esta tesis para confrontar cada configuración Top-Hat contra cada baseline.</w:t>
      </w:r>
    </w:p>
    <w:p>
      <w:pPr>
        <w:pStyle w:val="Heading1"/>
        <w:pageBreakBefore/>
        <w:spacing w:after="240" w:before="360"/>
        <w:jc w:val="center"/>
      </w:pPr>
      <w:r>
        <w:rPr>
          <w:rFonts w:ascii="Arial" w:cs="Arial" w:eastAsia="Arial" w:hAnsi="Arial"/>
          <w:b/>
          <w:bCs/>
          <w:sz w:val="28"/>
          <w:szCs w:val="28"/>
        </w:rPr>
        <w:t xml:space="preserve">MARCO METODOLÓGICO</w:t>
      </w:r>
    </w:p>
    <w:p>
      <w:pPr>
        <w:pStyle w:val="Heading2"/>
        <w:spacing w:after="120" w:before="240"/>
      </w:pPr>
      <w:r>
        <w:rPr>
          <w:rFonts w:ascii="Arial" w:cs="Arial" w:eastAsia="Arial" w:hAnsi="Arial"/>
          <w:b/>
          <w:bCs/>
          <w:sz w:val="26"/>
          <w:szCs w:val="26"/>
        </w:rPr>
        <w:t xml:space="preserve">Enfoque</w:t>
      </w:r>
    </w:p>
    <w:p>
      <w:pPr>
        <w:spacing w:after="160" w:line="360"/>
        <w:jc w:val="both"/>
      </w:pPr>
      <w:r>
        <w:rPr>
          <w:rFonts w:ascii="Arial" w:cs="Arial" w:eastAsia="Arial" w:hAnsi="Arial"/>
          <w:sz w:val="24"/>
          <w:szCs w:val="24"/>
        </w:rPr>
        <w:t xml:space="preserve">La investigación adopta un enfoque cuantitativo. Todos los hallazgos se sostienen en mediciones numéricas sobre conjuntos de imágenes definidos a priori, calculadas mediante implementaciones reproducibles y contrastadas con pruebas estadísticas no paramétricas.</w:t>
      </w:r>
    </w:p>
    <w:p>
      <w:pPr>
        <w:pStyle w:val="Heading2"/>
        <w:spacing w:after="120" w:before="240"/>
      </w:pPr>
      <w:r>
        <w:rPr>
          <w:rFonts w:ascii="Arial" w:cs="Arial" w:eastAsia="Arial" w:hAnsi="Arial"/>
          <w:b/>
          <w:bCs/>
          <w:sz w:val="26"/>
          <w:szCs w:val="26"/>
        </w:rPr>
        <w:t xml:space="preserve">Tipo</w:t>
      </w:r>
    </w:p>
    <w:p>
      <w:pPr>
        <w:spacing w:after="160" w:line="360"/>
        <w:jc w:val="both"/>
      </w:pPr>
      <w:r>
        <w:rPr>
          <w:rFonts w:ascii="Arial" w:cs="Arial" w:eastAsia="Arial" w:hAnsi="Arial"/>
          <w:sz w:val="24"/>
          <w:szCs w:val="24"/>
        </w:rPr>
        <w:t xml:space="preserve">La investigación es de tipo experimental, con carácter descriptivo y comparativo. Se manipulan sistemáticamente los hiperparámetros del método propuesto y se observan los efectos sobre las métricas de calidad. La comparación con baselines aporta el componente comparativo.</w:t>
      </w:r>
    </w:p>
    <w:p>
      <w:pPr>
        <w:pStyle w:val="Heading2"/>
        <w:spacing w:after="120" w:before="240"/>
      </w:pPr>
      <w:r>
        <w:rPr>
          <w:rFonts w:ascii="Arial" w:cs="Arial" w:eastAsia="Arial" w:hAnsi="Arial"/>
          <w:b/>
          <w:bCs/>
          <w:sz w:val="26"/>
          <w:szCs w:val="26"/>
        </w:rPr>
        <w:t xml:space="preserve">Diseño</w:t>
      </w:r>
    </w:p>
    <w:p>
      <w:pPr>
        <w:spacing w:after="160" w:line="360"/>
        <w:jc w:val="both"/>
      </w:pPr>
      <w:r>
        <w:t>El diseño es factorial 3 × 4 × 3 sobre el método propuesto (3 elementos estructurantes × 4 niveles × 3 radios base = 36 configuraciones), aplicado a cada uno de los 20 pares del dataset, totalizando 720 fusiones del benchmark exhaustivo (evaluadas con las seis métricas clásicas). Adicionalmente, se compara un conjunto de 11 métodos (3 baselines, 4 configuraciones White Top-Hat y 4 variantes con Black Top-Hat) sobre los mismos 20 pares, lo que arroja 220 fusiones evaluadas con las doce métricas, base del análisis estadístico inter-método.</w:t>
      </w:r>
    </w:p>
    <w:p>
      <w:pPr>
        <w:pStyle w:val="Heading2"/>
        <w:spacing w:after="120" w:before="240"/>
      </w:pPr>
      <w:r>
        <w:rPr>
          <w:rFonts w:ascii="Arial" w:cs="Arial" w:eastAsia="Arial" w:hAnsi="Arial"/>
          <w:b/>
          <w:bCs/>
          <w:sz w:val="26"/>
          <w:szCs w:val="26"/>
        </w:rPr>
        <w:t xml:space="preserve">Operacionalización de las variables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1500"/>
        <w:gridCol w:w="3700"/>
        <w:gridCol w:w="2260"/>
      </w:tblGrid>
      <w:tr>
        <w:trPr>
          <w:tblHeader/>
        </w:trPr>
        <w:tc>
          <w:tcPr>
            <w:tcW w:type="dxa" w:w="1900"/>
            <w:shd w:fill="D5E8F0" w:color="auto" w:val="clear"/>
            <w:tcMar>
              <w:top w:type="dxa" w:w="80"/>
              <w:left w:type="dxa" w:w="120"/>
              <w:bottom w:type="dxa" w:w="80"/>
              <w:right w:type="dxa" w:w="120"/>
            </w:tcMar>
          </w:tcPr>
          <w:p>
            <w:pPr>
              <w:jc w:val="center"/>
            </w:pPr>
            <w:r>
              <w:rPr>
                <w:rFonts w:ascii="Arial" w:cs="Arial" w:eastAsia="Arial" w:hAnsi="Arial"/>
                <w:b/>
                <w:bCs/>
                <w:sz w:val="22"/>
                <w:szCs w:val="22"/>
              </w:rPr>
              <w:t xml:space="preserve">Variable</w:t>
            </w:r>
          </w:p>
        </w:tc>
        <w:tc>
          <w:tcPr>
            <w:tcW w:type="dxa" w:w="1500"/>
            <w:shd w:fill="D5E8F0" w:color="auto" w:val="clear"/>
            <w:tcMar>
              <w:top w:type="dxa" w:w="80"/>
              <w:left w:type="dxa" w:w="120"/>
              <w:bottom w:type="dxa" w:w="80"/>
              <w:right w:type="dxa" w:w="120"/>
            </w:tcMar>
          </w:tcPr>
          <w:p>
            <w:pPr>
              <w:jc w:val="center"/>
            </w:pPr>
            <w:r>
              <w:rPr>
                <w:rFonts w:ascii="Arial" w:cs="Arial" w:eastAsia="Arial" w:hAnsi="Arial"/>
                <w:b/>
                <w:bCs/>
                <w:sz w:val="22"/>
                <w:szCs w:val="22"/>
              </w:rPr>
              <w:t xml:space="preserve">Tipo</w:t>
            </w:r>
          </w:p>
        </w:tc>
        <w:tc>
          <w:tcPr>
            <w:tcW w:type="dxa" w:w="3700"/>
            <w:shd w:fill="D5E8F0" w:color="auto" w:val="clear"/>
            <w:tcMar>
              <w:top w:type="dxa" w:w="80"/>
              <w:left w:type="dxa" w:w="120"/>
              <w:bottom w:type="dxa" w:w="80"/>
              <w:right w:type="dxa" w:w="120"/>
            </w:tcMar>
          </w:tcPr>
          <w:p>
            <w:pPr>
              <w:jc w:val="center"/>
            </w:pPr>
            <w:r>
              <w:rPr>
                <w:rFonts w:ascii="Arial" w:cs="Arial" w:eastAsia="Arial" w:hAnsi="Arial"/>
                <w:b/>
                <w:bCs/>
                <w:sz w:val="22"/>
                <w:szCs w:val="22"/>
              </w:rPr>
              <w:t xml:space="preserve">Definición operacional</w:t>
            </w:r>
          </w:p>
        </w:tc>
        <w:tc>
          <w:tcPr>
            <w:tcW w:type="dxa" w:w="2260"/>
            <w:shd w:fill="D5E8F0" w:color="auto" w:val="clear"/>
            <w:tcMar>
              <w:top w:type="dxa" w:w="80"/>
              <w:left w:type="dxa" w:w="120"/>
              <w:bottom w:type="dxa" w:w="80"/>
              <w:right w:type="dxa" w:w="120"/>
            </w:tcMar>
          </w:tcPr>
          <w:p>
            <w:pPr>
              <w:jc w:val="center"/>
            </w:pPr>
            <w:r>
              <w:rPr>
                <w:rFonts w:ascii="Arial" w:cs="Arial" w:eastAsia="Arial" w:hAnsi="Arial"/>
                <w:b/>
                <w:bCs/>
                <w:sz w:val="22"/>
                <w:szCs w:val="22"/>
              </w:rPr>
              <w:t xml:space="preserve">Indicador / Valores</w:t>
            </w:r>
          </w:p>
        </w:tc>
      </w:tr>
      <w:tr>
        <w:tc>
          <w:tcPr>
            <w:tcW w:type="dxa" w:w="1900"/>
            <w:tcMar>
              <w:top w:type="dxa" w:w="80"/>
              <w:left w:type="dxa" w:w="120"/>
              <w:bottom w:type="dxa" w:w="80"/>
              <w:right w:type="dxa" w:w="120"/>
            </w:tcMar>
          </w:tcPr>
          <w:p>
            <w:pPr>
              <w:jc w:val="left"/>
            </w:pPr>
            <w:r>
              <w:rPr>
                <w:rFonts w:ascii="Arial" w:cs="Arial" w:eastAsia="Arial" w:hAnsi="Arial"/>
                <w:sz w:val="22"/>
                <w:szCs w:val="22"/>
              </w:rPr>
              <w:t xml:space="preserve">Tipo de SE</w:t>
            </w:r>
          </w:p>
        </w:tc>
        <w:tc>
          <w:tcPr>
            <w:tcW w:type="dxa" w:w="1500"/>
            <w:tcMar>
              <w:top w:type="dxa" w:w="80"/>
              <w:left w:type="dxa" w:w="120"/>
              <w:bottom w:type="dxa" w:w="80"/>
              <w:right w:type="dxa" w:w="120"/>
            </w:tcMar>
          </w:tcPr>
          <w:p>
            <w:pPr>
              <w:jc w:val="center"/>
            </w:pPr>
            <w:r>
              <w:rPr>
                <w:rFonts w:ascii="Arial" w:cs="Arial" w:eastAsia="Arial" w:hAnsi="Arial"/>
                <w:sz w:val="22"/>
                <w:szCs w:val="22"/>
              </w:rPr>
              <w:t xml:space="preserve">Independiente</w:t>
            </w:r>
          </w:p>
        </w:tc>
        <w:tc>
          <w:tcPr>
            <w:tcW w:type="dxa" w:w="3700"/>
            <w:tcMar>
              <w:top w:type="dxa" w:w="80"/>
              <w:left w:type="dxa" w:w="120"/>
              <w:bottom w:type="dxa" w:w="80"/>
              <w:right w:type="dxa" w:w="120"/>
            </w:tcMar>
          </w:tcPr>
          <w:p>
            <w:pPr>
              <w:jc w:val="center"/>
            </w:pPr>
            <w:r>
              <w:rPr>
                <w:rFonts w:ascii="Arial" w:cs="Arial" w:eastAsia="Arial" w:hAnsi="Arial"/>
                <w:sz w:val="22"/>
                <w:szCs w:val="22"/>
              </w:rPr>
              <w:t xml:space="preserve">Geometría del elemento estructurante</w:t>
            </w:r>
          </w:p>
        </w:tc>
        <w:tc>
          <w:tcPr>
            <w:tcW w:type="dxa" w:w="2260"/>
            <w:tcMar>
              <w:top w:type="dxa" w:w="80"/>
              <w:left w:type="dxa" w:w="120"/>
              <w:bottom w:type="dxa" w:w="80"/>
              <w:right w:type="dxa" w:w="120"/>
            </w:tcMar>
          </w:tcPr>
          <w:p>
            <w:pPr>
              <w:jc w:val="center"/>
            </w:pPr>
            <w:r>
              <w:rPr>
                <w:rFonts w:ascii="Arial" w:cs="Arial" w:eastAsia="Arial" w:hAnsi="Arial"/>
                <w:sz w:val="22"/>
                <w:szCs w:val="22"/>
              </w:rPr>
              <w:t xml:space="preserve">disco, cuadrado, cruz</w:t>
            </w:r>
          </w:p>
        </w:tc>
      </w:tr>
      <w:tr>
        <w:tc>
          <w:tcPr>
            <w:tcW w:type="dxa" w:w="1900"/>
            <w:shd w:fill="F4F7F6" w:color="auto" w:val="clear"/>
            <w:tcMar>
              <w:top w:type="dxa" w:w="80"/>
              <w:left w:type="dxa" w:w="120"/>
              <w:bottom w:type="dxa" w:w="80"/>
              <w:right w:type="dxa" w:w="120"/>
            </w:tcMar>
          </w:tcPr>
          <w:p>
            <w:pPr>
              <w:jc w:val="left"/>
            </w:pPr>
            <w:r>
              <w:rPr>
                <w:rFonts w:ascii="Arial" w:cs="Arial" w:eastAsia="Arial" w:hAnsi="Arial"/>
                <w:sz w:val="22"/>
                <w:szCs w:val="22"/>
              </w:rPr>
              <w:t xml:space="preserve">Niveles (L)</w:t>
            </w:r>
          </w:p>
        </w:tc>
        <w:tc>
          <w:tcPr>
            <w:tcW w:type="dxa" w:w="1500"/>
            <w:shd w:fill="F4F7F6" w:color="auto" w:val="clear"/>
            <w:tcMar>
              <w:top w:type="dxa" w:w="80"/>
              <w:left w:type="dxa" w:w="120"/>
              <w:bottom w:type="dxa" w:w="80"/>
              <w:right w:type="dxa" w:w="120"/>
            </w:tcMar>
          </w:tcPr>
          <w:p>
            <w:pPr>
              <w:jc w:val="center"/>
            </w:pPr>
            <w:r>
              <w:rPr>
                <w:rFonts w:ascii="Arial" w:cs="Arial" w:eastAsia="Arial" w:hAnsi="Arial"/>
                <w:sz w:val="22"/>
                <w:szCs w:val="22"/>
              </w:rPr>
              <w:t xml:space="preserve">Independiente</w:t>
            </w:r>
          </w:p>
        </w:tc>
        <w:tc>
          <w:tcPr>
            <w:tcW w:type="dxa" w:w="3700"/>
            <w:shd w:fill="F4F7F6" w:color="auto" w:val="clear"/>
            <w:tcMar>
              <w:top w:type="dxa" w:w="80"/>
              <w:left w:type="dxa" w:w="120"/>
              <w:bottom w:type="dxa" w:w="80"/>
              <w:right w:type="dxa" w:w="120"/>
            </w:tcMar>
          </w:tcPr>
          <w:p>
            <w:pPr>
              <w:jc w:val="center"/>
            </w:pPr>
            <w:r>
              <w:rPr>
                <w:rFonts w:ascii="Arial" w:cs="Arial" w:eastAsia="Arial" w:hAnsi="Arial"/>
                <w:sz w:val="22"/>
                <w:szCs w:val="22"/>
              </w:rPr>
              <w:t xml:space="preserve">Profundidad de la torre Top-Hat</w:t>
            </w:r>
          </w:p>
        </w:tc>
        <w:tc>
          <w:tcPr>
            <w:tcW w:type="dxa" w:w="2260"/>
            <w:shd w:fill="F4F7F6" w:color="auto" w:val="clear"/>
            <w:tcMar>
              <w:top w:type="dxa" w:w="80"/>
              <w:left w:type="dxa" w:w="120"/>
              <w:bottom w:type="dxa" w:w="80"/>
              <w:right w:type="dxa" w:w="120"/>
            </w:tcMar>
          </w:tcPr>
          <w:p>
            <w:pPr>
              <w:jc w:val="center"/>
            </w:pPr>
            <w:r>
              <w:rPr>
                <w:rFonts w:ascii="Arial" w:cs="Arial" w:eastAsia="Arial" w:hAnsi="Arial"/>
                <w:sz w:val="22"/>
                <w:szCs w:val="22"/>
              </w:rPr>
              <w:t xml:space="preserve">2, 3, 4, 5</w:t>
            </w:r>
          </w:p>
        </w:tc>
      </w:tr>
      <w:tr>
        <w:tc>
          <w:tcPr>
            <w:tcW w:type="dxa" w:w="1900"/>
            <w:tcMar>
              <w:top w:type="dxa" w:w="80"/>
              <w:left w:type="dxa" w:w="120"/>
              <w:bottom w:type="dxa" w:w="80"/>
              <w:right w:type="dxa" w:w="120"/>
            </w:tcMar>
          </w:tcPr>
          <w:p>
            <w:pPr>
              <w:jc w:val="left"/>
            </w:pPr>
            <w:r>
              <w:rPr>
                <w:rFonts w:ascii="Arial" w:cs="Arial" w:eastAsia="Arial" w:hAnsi="Arial"/>
                <w:sz w:val="22"/>
                <w:szCs w:val="22"/>
              </w:rPr>
              <w:t xml:space="preserve">Radio base (r₀)</w:t>
            </w:r>
          </w:p>
        </w:tc>
        <w:tc>
          <w:tcPr>
            <w:tcW w:type="dxa" w:w="1500"/>
            <w:tcMar>
              <w:top w:type="dxa" w:w="80"/>
              <w:left w:type="dxa" w:w="120"/>
              <w:bottom w:type="dxa" w:w="80"/>
              <w:right w:type="dxa" w:w="120"/>
            </w:tcMar>
          </w:tcPr>
          <w:p>
            <w:pPr>
              <w:jc w:val="center"/>
            </w:pPr>
            <w:r>
              <w:rPr>
                <w:rFonts w:ascii="Arial" w:cs="Arial" w:eastAsia="Arial" w:hAnsi="Arial"/>
                <w:sz w:val="22"/>
                <w:szCs w:val="22"/>
              </w:rPr>
              <w:t xml:space="preserve">Independiente</w:t>
            </w:r>
          </w:p>
        </w:tc>
        <w:tc>
          <w:tcPr>
            <w:tcW w:type="dxa" w:w="3700"/>
            <w:tcMar>
              <w:top w:type="dxa" w:w="80"/>
              <w:left w:type="dxa" w:w="120"/>
              <w:bottom w:type="dxa" w:w="80"/>
              <w:right w:type="dxa" w:w="120"/>
            </w:tcMar>
          </w:tcPr>
          <w:p>
            <w:pPr>
              <w:jc w:val="center"/>
            </w:pPr>
            <w:r>
              <w:rPr>
                <w:rFonts w:ascii="Arial" w:cs="Arial" w:eastAsia="Arial" w:hAnsi="Arial"/>
                <w:sz w:val="22"/>
                <w:szCs w:val="22"/>
              </w:rPr>
              <w:t xml:space="preserve">Radio del SE en el primer nivel</w:t>
            </w:r>
          </w:p>
        </w:tc>
        <w:tc>
          <w:tcPr>
            <w:tcW w:type="dxa" w:w="2260"/>
            <w:tcMar>
              <w:top w:type="dxa" w:w="80"/>
              <w:left w:type="dxa" w:w="120"/>
              <w:bottom w:type="dxa" w:w="80"/>
              <w:right w:type="dxa" w:w="120"/>
            </w:tcMar>
          </w:tcPr>
          <w:p>
            <w:pPr>
              <w:jc w:val="center"/>
            </w:pPr>
            <w:r>
              <w:rPr>
                <w:rFonts w:ascii="Arial" w:cs="Arial" w:eastAsia="Arial" w:hAnsi="Arial"/>
                <w:sz w:val="22"/>
                <w:szCs w:val="22"/>
              </w:rPr>
              <w:t xml:space="preserve">2, 3, 5 píxeles</w:t>
            </w:r>
          </w:p>
        </w:tc>
      </w:tr>
      <w:tr>
        <w:tc>
          <w:tcPr>
            <w:tcW w:type="dxa" w:w="1900"/>
            <w:shd w:fill="F4F7F6" w:color="auto" w:val="clear"/>
            <w:tcMar>
              <w:top w:type="dxa" w:w="80"/>
              <w:left w:type="dxa" w:w="120"/>
              <w:bottom w:type="dxa" w:w="80"/>
              <w:right w:type="dxa" w:w="120"/>
            </w:tcMar>
          </w:tcPr>
          <w:p>
            <w:pPr>
              <w:jc w:val="left"/>
            </w:pPr>
            <w:r>
              <w:rPr>
                <w:rFonts w:ascii="Arial" w:cs="Arial" w:eastAsia="Arial" w:hAnsi="Arial"/>
                <w:sz w:val="22"/>
                <w:szCs w:val="22"/>
              </w:rPr>
              <w:t xml:space="preserve">Método</w:t>
            </w:r>
          </w:p>
        </w:tc>
        <w:tc>
          <w:tcPr>
            <w:tcW w:type="dxa" w:w="1500"/>
            <w:shd w:fill="F4F7F6" w:color="auto" w:val="clear"/>
            <w:tcMar>
              <w:top w:type="dxa" w:w="80"/>
              <w:left w:type="dxa" w:w="120"/>
              <w:bottom w:type="dxa" w:w="80"/>
              <w:right w:type="dxa" w:w="120"/>
            </w:tcMar>
          </w:tcPr>
          <w:p>
            <w:pPr>
              <w:jc w:val="center"/>
            </w:pPr>
            <w:r>
              <w:rPr>
                <w:rFonts w:ascii="Arial" w:cs="Arial" w:eastAsia="Arial" w:hAnsi="Arial"/>
                <w:sz w:val="22"/>
                <w:szCs w:val="22"/>
              </w:rPr>
              <w:t xml:space="preserve">Independiente</w:t>
            </w:r>
          </w:p>
        </w:tc>
        <w:tc>
          <w:tcPr>
            <w:tcW w:type="dxa" w:w="3700"/>
            <w:shd w:fill="F4F7F6" w:color="auto" w:val="clear"/>
            <w:tcMar>
              <w:top w:type="dxa" w:w="80"/>
              <w:left w:type="dxa" w:w="120"/>
              <w:bottom w:type="dxa" w:w="80"/>
              <w:right w:type="dxa" w:w="120"/>
            </w:tcMar>
          </w:tcPr>
          <w:p>
            <w:pPr>
              <w:jc w:val="center"/>
            </w:pPr>
            <w:r>
              <w:rPr>
                <w:rFonts w:ascii="Arial" w:cs="Arial" w:eastAsia="Arial" w:hAnsi="Arial"/>
                <w:sz w:val="22"/>
                <w:szCs w:val="22"/>
              </w:rPr>
              <w:t xml:space="preserve">Algoritmo de fusión empleado</w:t>
            </w:r>
          </w:p>
        </w:tc>
        <w:tc>
          <w:tcPr>
            <w:tcW w:type="dxa" w:w="2260"/>
            <w:shd w:fill="F4F7F6" w:color="auto" w:val="clear"/>
            <w:tcMar>
              <w:top w:type="dxa" w:w="80"/>
              <w:left w:type="dxa" w:w="120"/>
              <w:bottom w:type="dxa" w:w="80"/>
              <w:right w:type="dxa" w:w="120"/>
            </w:tcMar>
          </w:tcPr>
          <w:p>
            <w:pPr>
              <w:jc w:val="center"/>
            </w:pPr>
            <w:r>
              <w:rPr>
                <w:rFonts w:ascii="Arial" w:cs="Arial" w:eastAsia="Arial" w:hAnsi="Arial"/>
                <w:sz w:val="22"/>
                <w:szCs w:val="22"/>
              </w:rPr>
              <w:t xml:space="preserve">7 métodos</w:t>
            </w:r>
          </w:p>
        </w:tc>
      </w:tr>
      <w:tr>
        <w:tc>
          <w:tcPr>
            <w:tcW w:type="dxa" w:w="1900"/>
            <w:tcMar>
              <w:top w:type="dxa" w:w="80"/>
              <w:left w:type="dxa" w:w="120"/>
              <w:bottom w:type="dxa" w:w="80"/>
              <w:right w:type="dxa" w:w="120"/>
            </w:tcMar>
          </w:tcPr>
          <w:p>
            <w:pPr>
              <w:jc w:val="left"/>
            </w:pPr>
            <w:r>
              <w:rPr>
                <w:rFonts w:ascii="Arial" w:cs="Arial" w:eastAsia="Arial" w:hAnsi="Arial"/>
                <w:sz w:val="22"/>
                <w:szCs w:val="22"/>
              </w:rPr>
              <w:t xml:space="preserve">Entropía (EN)</w:t>
            </w:r>
          </w:p>
        </w:tc>
        <w:tc>
          <w:tcPr>
            <w:tcW w:type="dxa" w:w="1500"/>
            <w:tcMar>
              <w:top w:type="dxa" w:w="80"/>
              <w:left w:type="dxa" w:w="120"/>
              <w:bottom w:type="dxa" w:w="80"/>
              <w:right w:type="dxa" w:w="120"/>
            </w:tcMar>
          </w:tcPr>
          <w:p>
            <w:pPr>
              <w:jc w:val="center"/>
            </w:pPr>
            <w:r>
              <w:rPr>
                <w:rFonts w:ascii="Arial" w:cs="Arial" w:eastAsia="Arial" w:hAnsi="Arial"/>
                <w:sz w:val="22"/>
                <w:szCs w:val="22"/>
              </w:rPr>
              <w:t xml:space="preserve">Dependiente</w:t>
            </w:r>
          </w:p>
        </w:tc>
        <w:tc>
          <w:tcPr>
            <w:tcW w:type="dxa" w:w="3700"/>
            <w:tcMar>
              <w:top w:type="dxa" w:w="80"/>
              <w:left w:type="dxa" w:w="120"/>
              <w:bottom w:type="dxa" w:w="80"/>
              <w:right w:type="dxa" w:w="120"/>
            </w:tcMar>
          </w:tcPr>
          <w:p>
            <w:pPr>
              <w:jc w:val="center"/>
            </w:pPr>
            <w:r>
              <w:rPr>
                <w:rFonts w:ascii="Arial" w:cs="Arial" w:eastAsia="Arial" w:hAnsi="Arial"/>
                <w:sz w:val="22"/>
                <w:szCs w:val="22"/>
              </w:rPr>
              <w:t xml:space="preserve">Entropía de Shannon de la fusionada</w:t>
            </w:r>
          </w:p>
        </w:tc>
        <w:tc>
          <w:tcPr>
            <w:tcW w:type="dxa" w:w="2260"/>
            <w:tcMar>
              <w:top w:type="dxa" w:w="80"/>
              <w:left w:type="dxa" w:w="120"/>
              <w:bottom w:type="dxa" w:w="80"/>
              <w:right w:type="dxa" w:w="120"/>
            </w:tcMar>
          </w:tcPr>
          <w:p>
            <w:pPr>
              <w:jc w:val="center"/>
            </w:pPr>
            <w:r>
              <w:rPr>
                <w:rFonts w:ascii="Arial" w:cs="Arial" w:eastAsia="Arial" w:hAnsi="Arial"/>
                <w:sz w:val="22"/>
                <w:szCs w:val="22"/>
              </w:rPr>
              <w:t xml:space="preserve">Bits, ↑ mejor</w:t>
            </w:r>
          </w:p>
        </w:tc>
      </w:tr>
      <w:tr>
        <w:tc>
          <w:tcPr>
            <w:tcW w:type="dxa" w:w="1900"/>
            <w:shd w:fill="F4F7F6" w:color="auto" w:val="clear"/>
            <w:tcMar>
              <w:top w:type="dxa" w:w="80"/>
              <w:left w:type="dxa" w:w="120"/>
              <w:bottom w:type="dxa" w:w="80"/>
              <w:right w:type="dxa" w:w="120"/>
            </w:tcMar>
          </w:tcPr>
          <w:p>
            <w:pPr>
              <w:jc w:val="left"/>
            </w:pPr>
            <w:r>
              <w:rPr>
                <w:rFonts w:ascii="Arial" w:cs="Arial" w:eastAsia="Arial" w:hAnsi="Arial"/>
                <w:sz w:val="22"/>
                <w:szCs w:val="22"/>
              </w:rPr>
              <w:t xml:space="preserve">Desv. estándar (SD)</w:t>
            </w:r>
          </w:p>
        </w:tc>
        <w:tc>
          <w:tcPr>
            <w:tcW w:type="dxa" w:w="1500"/>
            <w:shd w:fill="F4F7F6" w:color="auto" w:val="clear"/>
            <w:tcMar>
              <w:top w:type="dxa" w:w="80"/>
              <w:left w:type="dxa" w:w="120"/>
              <w:bottom w:type="dxa" w:w="80"/>
              <w:right w:type="dxa" w:w="120"/>
            </w:tcMar>
          </w:tcPr>
          <w:p>
            <w:pPr>
              <w:jc w:val="center"/>
            </w:pPr>
            <w:r>
              <w:rPr>
                <w:rFonts w:ascii="Arial" w:cs="Arial" w:eastAsia="Arial" w:hAnsi="Arial"/>
                <w:sz w:val="22"/>
                <w:szCs w:val="22"/>
              </w:rPr>
              <w:t xml:space="preserve">Dependiente</w:t>
            </w:r>
          </w:p>
        </w:tc>
        <w:tc>
          <w:tcPr>
            <w:tcW w:type="dxa" w:w="3700"/>
            <w:shd w:fill="F4F7F6" w:color="auto" w:val="clear"/>
            <w:tcMar>
              <w:top w:type="dxa" w:w="80"/>
              <w:left w:type="dxa" w:w="120"/>
              <w:bottom w:type="dxa" w:w="80"/>
              <w:right w:type="dxa" w:w="120"/>
            </w:tcMar>
          </w:tcPr>
          <w:p>
            <w:pPr>
              <w:jc w:val="center"/>
            </w:pPr>
            <w:r>
              <w:rPr>
                <w:rFonts w:ascii="Arial" w:cs="Arial" w:eastAsia="Arial" w:hAnsi="Arial"/>
                <w:sz w:val="22"/>
                <w:szCs w:val="22"/>
              </w:rPr>
              <w:t xml:space="preserve">σ de niveles de gris</w:t>
            </w:r>
          </w:p>
        </w:tc>
        <w:tc>
          <w:tcPr>
            <w:tcW w:type="dxa" w:w="2260"/>
            <w:shd w:fill="F4F7F6" w:color="auto" w:val="clear"/>
            <w:tcMar>
              <w:top w:type="dxa" w:w="80"/>
              <w:left w:type="dxa" w:w="120"/>
              <w:bottom w:type="dxa" w:w="80"/>
              <w:right w:type="dxa" w:w="120"/>
            </w:tcMar>
          </w:tcPr>
          <w:p>
            <w:pPr>
              <w:jc w:val="center"/>
            </w:pPr>
            <w:r>
              <w:rPr>
                <w:rFonts w:ascii="Arial" w:cs="Arial" w:eastAsia="Arial" w:hAnsi="Arial"/>
                <w:sz w:val="22"/>
                <w:szCs w:val="22"/>
              </w:rPr>
              <w:t xml:space="preserve">Adimensional, ↑ mejor</w:t>
            </w:r>
          </w:p>
        </w:tc>
      </w:tr>
      <w:tr>
        <w:tc>
          <w:tcPr>
            <w:tcW w:type="dxa" w:w="1900"/>
            <w:tcMar>
              <w:top w:type="dxa" w:w="80"/>
              <w:left w:type="dxa" w:w="120"/>
              <w:bottom w:type="dxa" w:w="80"/>
              <w:right w:type="dxa" w:w="120"/>
            </w:tcMar>
          </w:tcPr>
          <w:p>
            <w:pPr>
              <w:jc w:val="left"/>
            </w:pPr>
            <w:r>
              <w:rPr>
                <w:rFonts w:ascii="Arial" w:cs="Arial" w:eastAsia="Arial" w:hAnsi="Arial"/>
                <w:sz w:val="22"/>
                <w:szCs w:val="22"/>
              </w:rPr>
              <w:t xml:space="preserve">Eficiencia FE</w:t>
            </w:r>
          </w:p>
        </w:tc>
        <w:tc>
          <w:tcPr>
            <w:tcW w:type="dxa" w:w="1500"/>
            <w:tcMar>
              <w:top w:type="dxa" w:w="80"/>
              <w:left w:type="dxa" w:w="120"/>
              <w:bottom w:type="dxa" w:w="80"/>
              <w:right w:type="dxa" w:w="120"/>
            </w:tcMar>
          </w:tcPr>
          <w:p>
            <w:pPr>
              <w:jc w:val="center"/>
            </w:pPr>
            <w:r>
              <w:rPr>
                <w:rFonts w:ascii="Arial" w:cs="Arial" w:eastAsia="Arial" w:hAnsi="Arial"/>
                <w:sz w:val="22"/>
                <w:szCs w:val="22"/>
              </w:rPr>
              <w:t xml:space="preserve">Dependiente</w:t>
            </w:r>
          </w:p>
        </w:tc>
        <w:tc>
          <w:tcPr>
            <w:tcW w:type="dxa" w:w="3700"/>
            <w:tcMar>
              <w:top w:type="dxa" w:w="80"/>
              <w:left w:type="dxa" w:w="120"/>
              <w:bottom w:type="dxa" w:w="80"/>
              <w:right w:type="dxa" w:w="120"/>
            </w:tcMar>
          </w:tcPr>
          <w:p>
            <w:pPr>
              <w:jc w:val="center"/>
            </w:pPr>
            <w:r>
              <w:rPr>
                <w:rFonts w:ascii="Arial" w:cs="Arial" w:eastAsia="Arial" w:hAnsi="Arial"/>
                <w:sz w:val="22"/>
                <w:szCs w:val="22"/>
              </w:rPr>
              <w:t xml:space="preserve">EN(F) sobre media de fuentes</w:t>
            </w:r>
          </w:p>
        </w:tc>
        <w:tc>
          <w:tcPr>
            <w:tcW w:type="dxa" w:w="2260"/>
            <w:tcMar>
              <w:top w:type="dxa" w:w="80"/>
              <w:left w:type="dxa" w:w="120"/>
              <w:bottom w:type="dxa" w:w="80"/>
              <w:right w:type="dxa" w:w="120"/>
            </w:tcMar>
          </w:tcPr>
          <w:p>
            <w:pPr>
              <w:jc w:val="center"/>
            </w:pPr>
            <w:r>
              <w:rPr>
                <w:rFonts w:ascii="Arial" w:cs="Arial" w:eastAsia="Arial" w:hAnsi="Arial"/>
                <w:sz w:val="22"/>
                <w:szCs w:val="22"/>
              </w:rPr>
              <w:t xml:space="preserve">Razón, ↑ mejor</w:t>
            </w:r>
          </w:p>
        </w:tc>
      </w:tr>
      <w:tr>
        <w:tc>
          <w:tcPr>
            <w:tcW w:type="dxa" w:w="1900"/>
            <w:shd w:fill="F4F7F6" w:color="auto" w:val="clear"/>
            <w:tcMar>
              <w:top w:type="dxa" w:w="80"/>
              <w:left w:type="dxa" w:w="120"/>
              <w:bottom w:type="dxa" w:w="80"/>
              <w:right w:type="dxa" w:w="120"/>
            </w:tcMar>
          </w:tcPr>
          <w:p>
            <w:pPr>
              <w:jc w:val="left"/>
            </w:pPr>
            <w:r>
              <w:rPr>
                <w:rFonts w:ascii="Arial" w:cs="Arial" w:eastAsia="Arial" w:hAnsi="Arial"/>
                <w:sz w:val="22"/>
                <w:szCs w:val="22"/>
              </w:rPr>
              <w:t xml:space="preserve">Gradiente medio (MG)</w:t>
            </w:r>
          </w:p>
        </w:tc>
        <w:tc>
          <w:tcPr>
            <w:tcW w:type="dxa" w:w="1500"/>
            <w:shd w:fill="F4F7F6" w:color="auto" w:val="clear"/>
            <w:tcMar>
              <w:top w:type="dxa" w:w="80"/>
              <w:left w:type="dxa" w:w="120"/>
              <w:bottom w:type="dxa" w:w="80"/>
              <w:right w:type="dxa" w:w="120"/>
            </w:tcMar>
          </w:tcPr>
          <w:p>
            <w:pPr>
              <w:jc w:val="center"/>
            </w:pPr>
            <w:r>
              <w:rPr>
                <w:rFonts w:ascii="Arial" w:cs="Arial" w:eastAsia="Arial" w:hAnsi="Arial"/>
                <w:sz w:val="22"/>
                <w:szCs w:val="22"/>
              </w:rPr>
              <w:t xml:space="preserve">Dependiente</w:t>
            </w:r>
          </w:p>
        </w:tc>
        <w:tc>
          <w:tcPr>
            <w:tcW w:type="dxa" w:w="3700"/>
            <w:shd w:fill="F4F7F6" w:color="auto" w:val="clear"/>
            <w:tcMar>
              <w:top w:type="dxa" w:w="80"/>
              <w:left w:type="dxa" w:w="120"/>
              <w:bottom w:type="dxa" w:w="80"/>
              <w:right w:type="dxa" w:w="120"/>
            </w:tcMar>
          </w:tcPr>
          <w:p>
            <w:pPr>
              <w:jc w:val="center"/>
            </w:pPr>
            <w:r>
              <w:rPr>
                <w:rFonts w:ascii="Arial" w:cs="Arial" w:eastAsia="Arial" w:hAnsi="Arial"/>
                <w:sz w:val="22"/>
                <w:szCs w:val="22"/>
              </w:rPr>
              <w:t xml:space="preserve">|∇F| promedio</w:t>
            </w:r>
          </w:p>
        </w:tc>
        <w:tc>
          <w:tcPr>
            <w:tcW w:type="dxa" w:w="2260"/>
            <w:shd w:fill="F4F7F6" w:color="auto" w:val="clear"/>
            <w:tcMar>
              <w:top w:type="dxa" w:w="80"/>
              <w:left w:type="dxa" w:w="120"/>
              <w:bottom w:type="dxa" w:w="80"/>
              <w:right w:type="dxa" w:w="120"/>
            </w:tcMar>
          </w:tcPr>
          <w:p>
            <w:pPr>
              <w:jc w:val="center"/>
            </w:pPr>
            <w:r>
              <w:rPr>
                <w:rFonts w:ascii="Arial" w:cs="Arial" w:eastAsia="Arial" w:hAnsi="Arial"/>
                <w:sz w:val="22"/>
                <w:szCs w:val="22"/>
              </w:rPr>
              <w:t xml:space="preserve">Adimensional, ↑ mejor</w:t>
            </w:r>
          </w:p>
        </w:tc>
      </w:tr>
      <w:tr>
        <w:tc>
          <w:tcPr>
            <w:tcW w:type="dxa" w:w="1900"/>
            <w:tcMar>
              <w:top w:type="dxa" w:w="80"/>
              <w:left w:type="dxa" w:w="120"/>
              <w:bottom w:type="dxa" w:w="80"/>
              <w:right w:type="dxa" w:w="120"/>
            </w:tcMar>
          </w:tcPr>
          <w:p>
            <w:pPr>
              <w:jc w:val="left"/>
            </w:pPr>
            <w:r>
              <w:rPr>
                <w:rFonts w:ascii="Arial" w:cs="Arial" w:eastAsia="Arial" w:hAnsi="Arial"/>
                <w:sz w:val="22"/>
                <w:szCs w:val="22"/>
              </w:rPr>
              <w:t xml:space="preserve">MI_vis</w:t>
            </w:r>
          </w:p>
        </w:tc>
        <w:tc>
          <w:tcPr>
            <w:tcW w:type="dxa" w:w="1500"/>
            <w:tcMar>
              <w:top w:type="dxa" w:w="80"/>
              <w:left w:type="dxa" w:w="120"/>
              <w:bottom w:type="dxa" w:w="80"/>
              <w:right w:type="dxa" w:w="120"/>
            </w:tcMar>
          </w:tcPr>
          <w:p>
            <w:pPr>
              <w:jc w:val="center"/>
            </w:pPr>
            <w:r>
              <w:rPr>
                <w:rFonts w:ascii="Arial" w:cs="Arial" w:eastAsia="Arial" w:hAnsi="Arial"/>
                <w:sz w:val="22"/>
                <w:szCs w:val="22"/>
              </w:rPr>
              <w:t xml:space="preserve">Dependiente</w:t>
            </w:r>
          </w:p>
        </w:tc>
        <w:tc>
          <w:tcPr>
            <w:tcW w:type="dxa" w:w="3700"/>
            <w:tcMar>
              <w:top w:type="dxa" w:w="80"/>
              <w:left w:type="dxa" w:w="120"/>
              <w:bottom w:type="dxa" w:w="80"/>
              <w:right w:type="dxa" w:w="120"/>
            </w:tcMar>
          </w:tcPr>
          <w:p>
            <w:pPr>
              <w:jc w:val="center"/>
            </w:pPr>
            <w:r>
              <w:rPr>
                <w:rFonts w:ascii="Arial" w:cs="Arial" w:eastAsia="Arial" w:hAnsi="Arial"/>
                <w:sz w:val="22"/>
                <w:szCs w:val="22"/>
              </w:rPr>
              <w:t xml:space="preserve">Información mutua F ↔ VIS</w:t>
            </w:r>
          </w:p>
        </w:tc>
        <w:tc>
          <w:tcPr>
            <w:tcW w:type="dxa" w:w="2260"/>
            <w:tcMar>
              <w:top w:type="dxa" w:w="80"/>
              <w:left w:type="dxa" w:w="120"/>
              <w:bottom w:type="dxa" w:w="80"/>
              <w:right w:type="dxa" w:w="120"/>
            </w:tcMar>
          </w:tcPr>
          <w:p>
            <w:pPr>
              <w:jc w:val="center"/>
            </w:pPr>
            <w:r>
              <w:rPr>
                <w:rFonts w:ascii="Arial" w:cs="Arial" w:eastAsia="Arial" w:hAnsi="Arial"/>
                <w:sz w:val="22"/>
                <w:szCs w:val="22"/>
              </w:rPr>
              <w:t xml:space="preserve">Bits, ↑ mejor</w:t>
            </w:r>
          </w:p>
        </w:tc>
      </w:tr>
      <w:tr>
        <w:tc>
          <w:tcPr>
            <w:tcW w:type="dxa" w:w="1900"/>
            <w:shd w:fill="F4F7F6" w:color="auto" w:val="clear"/>
            <w:tcMar>
              <w:top w:type="dxa" w:w="80"/>
              <w:left w:type="dxa" w:w="120"/>
              <w:bottom w:type="dxa" w:w="80"/>
              <w:right w:type="dxa" w:w="120"/>
            </w:tcMar>
          </w:tcPr>
          <w:p>
            <w:pPr>
              <w:jc w:val="left"/>
            </w:pPr>
            <w:r>
              <w:rPr>
                <w:rFonts w:ascii="Arial" w:cs="Arial" w:eastAsia="Arial" w:hAnsi="Arial"/>
                <w:sz w:val="22"/>
                <w:szCs w:val="22"/>
              </w:rPr>
              <w:t xml:space="preserve">MI_ir</w:t>
            </w:r>
          </w:p>
        </w:tc>
        <w:tc>
          <w:tcPr>
            <w:tcW w:type="dxa" w:w="1500"/>
            <w:shd w:fill="F4F7F6" w:color="auto" w:val="clear"/>
            <w:tcMar>
              <w:top w:type="dxa" w:w="80"/>
              <w:left w:type="dxa" w:w="120"/>
              <w:bottom w:type="dxa" w:w="80"/>
              <w:right w:type="dxa" w:w="120"/>
            </w:tcMar>
          </w:tcPr>
          <w:p>
            <w:pPr>
              <w:jc w:val="center"/>
            </w:pPr>
            <w:r>
              <w:rPr>
                <w:rFonts w:ascii="Arial" w:cs="Arial" w:eastAsia="Arial" w:hAnsi="Arial"/>
                <w:sz w:val="22"/>
                <w:szCs w:val="22"/>
              </w:rPr>
              <w:t xml:space="preserve">Dependiente</w:t>
            </w:r>
          </w:p>
        </w:tc>
        <w:tc>
          <w:tcPr>
            <w:tcW w:type="dxa" w:w="3700"/>
            <w:shd w:fill="F4F7F6" w:color="auto" w:val="clear"/>
            <w:tcMar>
              <w:top w:type="dxa" w:w="80"/>
              <w:left w:type="dxa" w:w="120"/>
              <w:bottom w:type="dxa" w:w="80"/>
              <w:right w:type="dxa" w:w="120"/>
            </w:tcMar>
          </w:tcPr>
          <w:p>
            <w:pPr>
              <w:jc w:val="center"/>
            </w:pPr>
            <w:r>
              <w:rPr>
                <w:rFonts w:ascii="Arial" w:cs="Arial" w:eastAsia="Arial" w:hAnsi="Arial"/>
                <w:sz w:val="22"/>
                <w:szCs w:val="22"/>
              </w:rPr>
              <w:t xml:space="preserve">Información mutua F ↔ IR</w:t>
            </w:r>
          </w:p>
        </w:tc>
        <w:tc>
          <w:tcPr>
            <w:tcW w:type="dxa" w:w="2260"/>
            <w:shd w:fill="F4F7F6" w:color="auto" w:val="clear"/>
            <w:tcMar>
              <w:top w:type="dxa" w:w="80"/>
              <w:left w:type="dxa" w:w="120"/>
              <w:bottom w:type="dxa" w:w="80"/>
              <w:right w:type="dxa" w:w="120"/>
            </w:tcMar>
          </w:tcPr>
          <w:p>
            <w:pPr>
              <w:jc w:val="center"/>
            </w:pPr>
            <w:r>
              <w:rPr>
                <w:rFonts w:ascii="Arial" w:cs="Arial" w:eastAsia="Arial" w:hAnsi="Arial"/>
                <w:sz w:val="22"/>
                <w:szCs w:val="22"/>
              </w:rPr>
              <w:t xml:space="preserve">Bits, ↑ mejor</w:t>
            </w:r>
          </w:p>
        </w:tc>
      </w:tr>
    </w:tbl>
    <w:p>
      <w:pPr>
        <w:pStyle w:val="Heading2"/>
        <w:spacing w:after="120" w:before="240"/>
      </w:pPr>
      <w:r>
        <w:rPr>
          <w:rFonts w:ascii="Arial" w:cs="Arial" w:eastAsia="Arial" w:hAnsi="Arial"/>
          <w:b/>
          <w:bCs/>
          <w:sz w:val="26"/>
          <w:szCs w:val="26"/>
        </w:rPr>
        <w:t xml:space="preserve">Dataset y preprocesamiento</w:t>
      </w:r>
    </w:p>
    <w:p>
      <w:pPr>
        <w:spacing w:after="160" w:line="360"/>
        <w:jc w:val="both"/>
      </w:pPr>
      <w:r>
        <w:rPr>
          <w:rFonts w:ascii="Arial" w:cs="Arial" w:eastAsia="Arial" w:hAnsi="Arial"/>
          <w:sz w:val="24"/>
          <w:szCs w:val="24"/>
        </w:rPr>
        <w:t xml:space="preserve">El corpus experimental son veinte pares VIS/IR del TNO Image Fusion Dataset, dataset público mantenido por TNO (Países Bajos) ampliamente utilizado como referencia en la literatura. Las imágenes se reorganizaron en dos directorios paralelos (data/raw/VIS y data/raw/IR) con nombres de archivo coincidentes para emparejado automático. Se cargan en escala de grises, se normalizan al rango [0, 1] como float32 y se asume registro espacial previo (los pares TNO ya están alineados).</w:t>
      </w:r>
    </w:p>
    <w:p>
      <w:pPr>
        <w:pStyle w:val="Heading2"/>
        <w:spacing w:after="120" w:before="240"/>
      </w:pPr>
      <w:r>
        <w:rPr>
          <w:rFonts w:ascii="Arial" w:cs="Arial" w:eastAsia="Arial" w:hAnsi="Arial"/>
          <w:b/>
          <w:bCs/>
          <w:sz w:val="26"/>
          <w:szCs w:val="26"/>
        </w:rPr>
        <w:t xml:space="preserve">Implementación</w:t>
      </w:r>
    </w:p>
    <w:p>
      <w:pPr>
        <w:spacing w:after="160" w:line="360"/>
        <w:jc w:val="both"/>
      </w:pPr>
      <w:r>
        <w:rPr>
          <w:rFonts w:ascii="Arial" w:cs="Arial" w:eastAsia="Arial" w:hAnsi="Arial"/>
          <w:sz w:val="24"/>
          <w:szCs w:val="24"/>
        </w:rPr>
        <w:t xml:space="preserve">Toda la implementación se realizó en Python 3.11 con las bibliotecas NumPy, OpenCV, scikit-image, SciPy, PyWavelets, Pandas, Matplotlib y Seaborn. El código se organizó en módulos separados (datasets, fusion, metrics, utils) bajo control de versiones git, priorizando la reproducibilidad: cualquier figura, tabla o estadístico de esta tesis puede regenerarse ejecutando los scripts del directorio experiments/.</w:t>
      </w:r>
    </w:p>
    <w:p>
      <w:pPr>
        <w:pStyle w:val="Heading2"/>
        <w:spacing w:after="120" w:before="240"/>
      </w:pPr>
      <w:r>
        <w:rPr>
          <w:rFonts w:ascii="Arial" w:cs="Arial" w:eastAsia="Arial" w:hAnsi="Arial"/>
          <w:b/>
          <w:bCs/>
          <w:sz w:val="26"/>
          <w:szCs w:val="26"/>
        </w:rPr>
        <w:t xml:space="preserve">Análisis estadístico</w:t>
      </w:r>
    </w:p>
    <w:p>
      <w:pPr>
        <w:spacing w:after="160" w:line="360"/>
        <w:jc w:val="both"/>
      </w:pPr>
      <w:r>
        <w:t>Se aplicaron tres procedimientos no paramétricos. Primero, la prueba de Friedman global por métrica, considerando las imágenes como bloques y los métodos como tratamientos, contrasta la hipótesis nula de que todos los métodos producen distribuciones idénticas. Segundo, la prueba de Wilcoxon de rangos signados se aplica de manera pareada entre cada configuración Top-Hat (WTH y WTH+BTH) y cada baseline, controlando por imagen; dado el elevado número de contrastes se aplica corrección de Holm por métrica y se reporta el tamaño de efecto rank-biserial. Tercero, se calcula el ranking promedio por método y métrica (1 = mejor), respetando la dirección de cada una (en Nabf, menor es mejor) y promediando entre métricas para obtener un ranking global. Todos los cálculos utilizan scipy.stats con α = 0,05.</w:t>
      </w:r>
    </w:p>
    <w:p>
      <w:pPr>
        <w:pStyle w:val="Heading1"/>
        <w:pageBreakBefore/>
        <w:spacing w:after="240" w:before="360"/>
        <w:jc w:val="center"/>
      </w:pPr>
      <w:r>
        <w:rPr>
          <w:rFonts w:ascii="Arial" w:cs="Arial" w:eastAsia="Arial" w:hAnsi="Arial"/>
          <w:b/>
          <w:bCs/>
          <w:sz w:val="28"/>
          <w:szCs w:val="28"/>
        </w:rPr>
        <w:t xml:space="preserve">ANÁLISIS E INTERPRETACIÓN DE RESULTADOS</w:t>
      </w:r>
    </w:p>
    <w:p>
      <w:pPr>
        <w:pStyle w:val="Heading2"/>
        <w:spacing w:after="120" w:before="240"/>
      </w:pPr>
      <w:r>
        <w:rPr>
          <w:rFonts w:ascii="Arial" w:cs="Arial" w:eastAsia="Arial" w:hAnsi="Arial"/>
          <w:b/>
          <w:bCs/>
          <w:sz w:val="26"/>
          <w:szCs w:val="26"/>
        </w:rPr>
        <w:t xml:space="preserve">Caracterización del dataset</w:t>
      </w:r>
    </w:p>
    <w:p>
      <w:pPr>
        <w:spacing w:after="160" w:line="360"/>
        <w:jc w:val="both"/>
      </w:pPr>
      <w:r>
        <w:rPr>
          <w:rFonts w:ascii="Arial" w:cs="Arial" w:eastAsia="Arial" w:hAnsi="Arial"/>
          <w:sz w:val="24"/>
          <w:szCs w:val="24"/>
        </w:rPr>
        <w:t xml:space="preserve">Las veinte (20) imágenes pareadas del TNO Image Fusion Dataset cubren escenarios variados: vehículos blindados a la luz del día y nocturno, soldados detrás de humo, escenas urbanas con humanos a contraluz, espacios industriales y vegetación. Los pares poseen registro espacial previo y resoluciones del orden de 360×270 a 768×576 píxeles. La modalidad VIS exhibe textura rica en contornos, mientras que la IR concentra la información en focos de calor y siluetas humanas. Esta heterogeneidad es deliberada: la fusión multimodal solo es interesante cuando las dos fuentes aportan información que la otra no captura.</w:t>
      </w:r>
    </w:p>
    <w:p>
      <w:pPr>
        <w:pStyle w:val="Heading2"/>
        <w:spacing w:after="120" w:before="240"/>
      </w:pPr>
      <w:r>
        <w:rPr>
          <w:rFonts w:ascii="Arial" w:cs="Arial" w:eastAsia="Arial" w:hAnsi="Arial"/>
          <w:b/>
          <w:bCs/>
          <w:sz w:val="26"/>
          <w:szCs w:val="26"/>
        </w:rPr>
        <w:t xml:space="preserve">Análisis cualitativo: comparación visual</w:t>
      </w:r>
    </w:p>
    <w:p>
      <w:pPr>
        <w:spacing w:after="160" w:line="360"/>
        <w:jc w:val="both"/>
      </w:pPr>
      <w:r>
        <w:rPr>
          <w:rFonts w:ascii="Arial" w:cs="Arial" w:eastAsia="Arial" w:hAnsi="Arial"/>
          <w:sz w:val="24"/>
          <w:szCs w:val="24"/>
        </w:rPr>
        <w:t xml:space="preserve">La figura 2 muestra tres pares representativos del dataset junto con los resultados de los principales métodos. Visualmente, el promedio simple produce la imagen más plana, con pérdida evidente de contraste. Curvelet y la pirámide de Laplace recuperan detalles finos pero pueden introducir ligeros artefactos en bordes muy contrastantes. La Torre Top-Hat (disk, L = 3) preserva con nitidez tanto los puntos calientes IR como los detalles texturales VIS, sin introducir artefactos visibles.</w:t>
      </w:r>
    </w:p>
    <w:p>
      <w:pPr>
        <w:spacing w:after="80" w:before="200"/>
        <w:jc w:val="center"/>
      </w:pPr>
      <w:r>
        <w:drawing>
          <wp:inline distT="0" distB="0" distL="0" distR="0">
            <wp:extent cx="4953000" cy="3219450"/>
            <wp:effectExtent t="0" r="0" b="0" l="0"/>
            <wp:docPr id="1" name="fig_qualitative_comparison.png" descr="Figura 2. Comparación cualitativa de los métodos de fusión sobre tres pares representativos del dataset." title="fig_qualitative_comparis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953000" cy="3219450"/>
                    </a:xfrm>
                    <a:prstGeom prst="rect">
                      <a:avLst/>
                    </a:prstGeom>
                  </pic:spPr>
                </pic:pic>
              </a:graphicData>
            </a:graphic>
          </wp:inline>
        </w:drawing>
      </w:r>
    </w:p>
    <w:p>
      <w:pPr>
        <w:spacing w:after="240"/>
        <w:jc w:val="center"/>
      </w:pPr>
      <w:r>
        <w:rPr>
          <w:rFonts w:ascii="Arial" w:cs="Arial" w:eastAsia="Arial" w:hAnsi="Arial"/>
          <w:i/>
          <w:iCs/>
          <w:sz w:val="20"/>
          <w:szCs w:val="20"/>
        </w:rPr>
        <w:t xml:space="preserve">Figura 2. Comparación cualitativa de los métodos de fusión sobre tres pares representativos del dataset.</w:t>
      </w:r>
    </w:p>
    <w:p>
      <w:pPr>
        <w:pStyle w:val="Heading2"/>
        <w:spacing w:after="120" w:before="240"/>
      </w:pPr>
      <w:r>
        <w:rPr>
          <w:rFonts w:ascii="Arial" w:cs="Arial" w:eastAsia="Arial" w:hAnsi="Arial"/>
          <w:b/>
          <w:bCs/>
          <w:sz w:val="26"/>
          <w:szCs w:val="26"/>
        </w:rPr>
        <w:t xml:space="preserve">Resultados cuantitativos: promedio por método</w:t>
      </w:r>
    </w:p>
    <w:p>
      <w:pPr>
        <w:spacing w:after="160" w:line="360"/>
        <w:jc w:val="both"/>
      </w:pPr>
      <w:r>
        <w:t>La Tabla 3 presenta los promedios de las seis métricas clásicas y la Tabla 3b los de las seis métricas estándar de calidad, sobre los 20 pares para los 11 métodos evaluados (3 baselines, 4 configuraciones White Top-Hat y 4 con White+Black Top-Hat). En las métricas clásicas la pirámide de Laplace lidera en EN, SD y FE, y las variantes +BTH maximizan EN, SD, MG y SF al inyectar energía de detalle. Sin embargo, el panorama cambia en las métricas estándar: las configuraciones Top-Hat WTH alcanzan los mejores valores de SSIM y SCD —incluso por encima de la pirámide de Laplace— y la menor generación de artefactos (Nabf) entre los métodos multiescala, mientras que las variantes +BTH disparan el Nabf. El promedio simple, pese a su pobre desempeño en calidad de imagen, exhibe alta MI y SSIM por construcción (la combinación lineal preserva trivialmente contenido de ambas fuentes).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160"/>
        <w:gridCol w:w="1160"/>
        <w:gridCol w:w="1160"/>
        <w:gridCol w:w="1160"/>
        <w:gridCol w:w="1160"/>
        <w:gridCol w:w="1160"/>
      </w:tblGrid>
      <w:tr>
        <w:trPr>
          <w:tblHeader/>
        </w:trPr>
        <w:tc>
          <w:tcPr>
            <w:tcW w:type="dxa" w:w="2400"/>
            <w:shd w:fill="D5E8F0" w:color="auto" w:val="clear"/>
            <w:tcMar>
              <w:top w:type="dxa" w:w="80"/>
              <w:left w:type="dxa" w:w="120"/>
              <w:bottom w:type="dxa" w:w="80"/>
              <w:right w:type="dxa" w:w="120"/>
            </w:tcMar>
          </w:tcPr>
          <w:p>
            <w:pPr>
              <w:jc w:val="center"/>
            </w:pPr>
            <w:r>
              <w:rPr>
                <w:b/>
              </w:rPr>
              <w:t>Método</w:t>
            </w:r>
          </w:p>
        </w:tc>
        <w:tc>
          <w:tcPr>
            <w:tcW w:type="dxa" w:w="1160"/>
            <w:shd w:fill="D5E8F0" w:color="auto" w:val="clear"/>
            <w:tcMar>
              <w:top w:type="dxa" w:w="80"/>
              <w:left w:type="dxa" w:w="120"/>
              <w:bottom w:type="dxa" w:w="80"/>
              <w:right w:type="dxa" w:w="120"/>
            </w:tcMar>
          </w:tcPr>
          <w:p>
            <w:pPr>
              <w:jc w:val="center"/>
            </w:pPr>
            <w:r>
              <w:rPr>
                <w:b/>
              </w:rPr>
              <w:t>EN</w:t>
            </w:r>
          </w:p>
        </w:tc>
        <w:tc>
          <w:tcPr>
            <w:tcW w:type="dxa" w:w="1160"/>
            <w:shd w:fill="D5E8F0" w:color="auto" w:val="clear"/>
            <w:tcMar>
              <w:top w:type="dxa" w:w="80"/>
              <w:left w:type="dxa" w:w="120"/>
              <w:bottom w:type="dxa" w:w="80"/>
              <w:right w:type="dxa" w:w="120"/>
            </w:tcMar>
          </w:tcPr>
          <w:p>
            <w:pPr>
              <w:jc w:val="center"/>
            </w:pPr>
            <w:r>
              <w:rPr>
                <w:b/>
              </w:rPr>
              <w:t>SD</w:t>
            </w:r>
          </w:p>
        </w:tc>
        <w:tc>
          <w:tcPr>
            <w:tcW w:type="dxa" w:w="1160"/>
            <w:shd w:fill="D5E8F0" w:color="auto" w:val="clear"/>
            <w:tcMar>
              <w:top w:type="dxa" w:w="80"/>
              <w:left w:type="dxa" w:w="120"/>
              <w:bottom w:type="dxa" w:w="80"/>
              <w:right w:type="dxa" w:w="120"/>
            </w:tcMar>
          </w:tcPr>
          <w:p>
            <w:pPr>
              <w:jc w:val="center"/>
            </w:pPr>
            <w:r>
              <w:rPr>
                <w:b/>
              </w:rPr>
              <w:t>FE</w:t>
            </w:r>
          </w:p>
        </w:tc>
        <w:tc>
          <w:tcPr>
            <w:tcW w:type="dxa" w:w="1160"/>
            <w:shd w:fill="D5E8F0" w:color="auto" w:val="clear"/>
            <w:tcMar>
              <w:top w:type="dxa" w:w="80"/>
              <w:left w:type="dxa" w:w="120"/>
              <w:bottom w:type="dxa" w:w="80"/>
              <w:right w:type="dxa" w:w="120"/>
            </w:tcMar>
          </w:tcPr>
          <w:p>
            <w:pPr>
              <w:jc w:val="center"/>
            </w:pPr>
            <w:r>
              <w:rPr>
                <w:b/>
              </w:rPr>
              <w:t>MG</w:t>
            </w:r>
          </w:p>
        </w:tc>
        <w:tc>
          <w:tcPr>
            <w:tcW w:type="dxa" w:w="1160"/>
            <w:shd w:fill="D5E8F0" w:color="auto" w:val="clear"/>
            <w:tcMar>
              <w:top w:type="dxa" w:w="80"/>
              <w:left w:type="dxa" w:w="120"/>
              <w:bottom w:type="dxa" w:w="80"/>
              <w:right w:type="dxa" w:w="120"/>
            </w:tcMar>
          </w:tcPr>
          <w:p>
            <w:pPr>
              <w:jc w:val="center"/>
            </w:pPr>
            <w:r>
              <w:rPr>
                <w:b/>
              </w:rPr>
              <w:t>MI_vis</w:t>
            </w:r>
          </w:p>
        </w:tc>
        <w:tc>
          <w:tcPr>
            <w:tcW w:type="dxa" w:w="1160"/>
            <w:shd w:fill="D5E8F0" w:color="auto" w:val="clear"/>
            <w:tcMar>
              <w:top w:type="dxa" w:w="80"/>
              <w:left w:type="dxa" w:w="120"/>
              <w:bottom w:type="dxa" w:w="80"/>
              <w:right w:type="dxa" w:w="120"/>
            </w:tcMar>
          </w:tcPr>
          <w:p>
            <w:pPr>
              <w:jc w:val="center"/>
            </w:pPr>
            <w:r>
              <w:rPr>
                <w:b/>
              </w:rPr>
              <w:t>MI_ir</w:t>
            </w:r>
          </w:p>
        </w:tc>
      </w:tr>
      <w:tr>
        <w:tc>
          <w:tcPr>
            <w:tcW w:type="dxa" w:w="2400"/>
            <w:tcMar>
              <w:top w:type="dxa" w:w="80"/>
              <w:left w:type="dxa" w:w="120"/>
              <w:bottom w:type="dxa" w:w="80"/>
              <w:right w:type="dxa" w:w="120"/>
            </w:tcMar>
          </w:tcPr>
          <w:p>
            <w:pPr>
              <w:jc w:val="left"/>
            </w:pPr>
            <w:r>
              <w:t>Promedio</w:t>
            </w:r>
          </w:p>
        </w:tc>
        <w:tc>
          <w:tcPr>
            <w:tcW w:type="dxa" w:w="1160"/>
            <w:tcMar>
              <w:top w:type="dxa" w:w="80"/>
              <w:left w:type="dxa" w:w="120"/>
              <w:bottom w:type="dxa" w:w="80"/>
              <w:right w:type="dxa" w:w="120"/>
            </w:tcMar>
          </w:tcPr>
          <w:p>
            <w:pPr>
              <w:jc w:val="center"/>
            </w:pPr>
            <w:r>
              <w:t>6.5178</w:t>
            </w:r>
          </w:p>
        </w:tc>
        <w:tc>
          <w:tcPr>
            <w:tcW w:type="dxa" w:w="1160"/>
            <w:tcMar>
              <w:top w:type="dxa" w:w="80"/>
              <w:left w:type="dxa" w:w="120"/>
              <w:bottom w:type="dxa" w:w="80"/>
              <w:right w:type="dxa" w:w="120"/>
            </w:tcMar>
          </w:tcPr>
          <w:p>
            <w:pPr>
              <w:jc w:val="center"/>
            </w:pPr>
            <w:r>
              <w:t>0.1092</w:t>
            </w:r>
          </w:p>
        </w:tc>
        <w:tc>
          <w:tcPr>
            <w:tcW w:type="dxa" w:w="1160"/>
            <w:tcMar>
              <w:top w:type="dxa" w:w="80"/>
              <w:left w:type="dxa" w:w="120"/>
              <w:bottom w:type="dxa" w:w="80"/>
              <w:right w:type="dxa" w:w="120"/>
            </w:tcMar>
          </w:tcPr>
          <w:p>
            <w:pPr>
              <w:jc w:val="center"/>
            </w:pPr>
            <w:r>
              <w:t>1.0290</w:t>
            </w:r>
          </w:p>
        </w:tc>
        <w:tc>
          <w:tcPr>
            <w:tcW w:type="dxa" w:w="1160"/>
            <w:tcMar>
              <w:top w:type="dxa" w:w="80"/>
              <w:left w:type="dxa" w:w="120"/>
              <w:bottom w:type="dxa" w:w="80"/>
              <w:right w:type="dxa" w:w="120"/>
            </w:tcMar>
          </w:tcPr>
          <w:p>
            <w:pPr>
              <w:jc w:val="center"/>
            </w:pPr>
            <w:r>
              <w:t>0.0144</w:t>
            </w:r>
          </w:p>
        </w:tc>
        <w:tc>
          <w:tcPr>
            <w:tcW w:type="dxa" w:w="1160"/>
            <w:tcMar>
              <w:top w:type="dxa" w:w="80"/>
              <w:left w:type="dxa" w:w="120"/>
              <w:bottom w:type="dxa" w:w="80"/>
              <w:right w:type="dxa" w:w="120"/>
            </w:tcMar>
          </w:tcPr>
          <w:p>
            <w:pPr>
              <w:jc w:val="center"/>
            </w:pPr>
            <w:r>
              <w:t>1.5119</w:t>
            </w:r>
          </w:p>
        </w:tc>
        <w:tc>
          <w:tcPr>
            <w:tcW w:type="dxa" w:w="1160"/>
            <w:tcMar>
              <w:top w:type="dxa" w:w="80"/>
              <w:left w:type="dxa" w:w="120"/>
              <w:bottom w:type="dxa" w:w="80"/>
              <w:right w:type="dxa" w:w="120"/>
            </w:tcMar>
          </w:tcPr>
          <w:p>
            <w:pPr>
              <w:jc w:val="center"/>
            </w:pPr>
            <w:r>
              <w:t>1.0637</w:t>
            </w:r>
          </w:p>
        </w:tc>
      </w:tr>
      <w:tr>
        <w:tc>
          <w:tcPr>
            <w:tcW w:type="dxa" w:w="2400"/>
            <w:shd w:fill="F4F7F6" w:color="auto" w:val="clear"/>
            <w:tcMar>
              <w:top w:type="dxa" w:w="80"/>
              <w:left w:type="dxa" w:w="120"/>
              <w:bottom w:type="dxa" w:w="80"/>
              <w:right w:type="dxa" w:w="120"/>
            </w:tcMar>
          </w:tcPr>
          <w:p>
            <w:pPr>
              <w:jc w:val="left"/>
            </w:pPr>
            <w:r>
              <w:t>Pirámide Laplace</w:t>
            </w:r>
          </w:p>
        </w:tc>
        <w:tc>
          <w:tcPr>
            <w:tcW w:type="dxa" w:w="1160"/>
            <w:shd w:fill="F4F7F6" w:color="auto" w:val="clear"/>
            <w:tcMar>
              <w:top w:type="dxa" w:w="80"/>
              <w:left w:type="dxa" w:w="120"/>
              <w:bottom w:type="dxa" w:w="80"/>
              <w:right w:type="dxa" w:w="120"/>
            </w:tcMar>
          </w:tcPr>
          <w:p>
            <w:pPr>
              <w:jc w:val="center"/>
            </w:pPr>
            <w:r>
              <w:t>6.8350</w:t>
            </w:r>
          </w:p>
        </w:tc>
        <w:tc>
          <w:tcPr>
            <w:tcW w:type="dxa" w:w="1160"/>
            <w:shd w:fill="F4F7F6" w:color="auto" w:val="clear"/>
            <w:tcMar>
              <w:top w:type="dxa" w:w="80"/>
              <w:left w:type="dxa" w:w="120"/>
              <w:bottom w:type="dxa" w:w="80"/>
              <w:right w:type="dxa" w:w="120"/>
            </w:tcMar>
          </w:tcPr>
          <w:p>
            <w:pPr>
              <w:jc w:val="center"/>
            </w:pPr>
            <w:r>
              <w:t>0.1548</w:t>
            </w:r>
          </w:p>
        </w:tc>
        <w:tc>
          <w:tcPr>
            <w:tcW w:type="dxa" w:w="1160"/>
            <w:shd w:fill="F4F7F6" w:color="auto" w:val="clear"/>
            <w:tcMar>
              <w:top w:type="dxa" w:w="80"/>
              <w:left w:type="dxa" w:w="120"/>
              <w:bottom w:type="dxa" w:w="80"/>
              <w:right w:type="dxa" w:w="120"/>
            </w:tcMar>
          </w:tcPr>
          <w:p>
            <w:pPr>
              <w:jc w:val="center"/>
            </w:pPr>
            <w:r>
              <w:t>1.0792</w:t>
            </w:r>
          </w:p>
        </w:tc>
        <w:tc>
          <w:tcPr>
            <w:tcW w:type="dxa" w:w="1160"/>
            <w:shd w:fill="F4F7F6" w:color="auto" w:val="clear"/>
            <w:tcMar>
              <w:top w:type="dxa" w:w="80"/>
              <w:left w:type="dxa" w:w="120"/>
              <w:bottom w:type="dxa" w:w="80"/>
              <w:right w:type="dxa" w:w="120"/>
            </w:tcMar>
          </w:tcPr>
          <w:p>
            <w:pPr>
              <w:jc w:val="center"/>
            </w:pPr>
            <w:r>
              <w:t>0.0248</w:t>
            </w:r>
          </w:p>
        </w:tc>
        <w:tc>
          <w:tcPr>
            <w:tcW w:type="dxa" w:w="1160"/>
            <w:shd w:fill="F4F7F6" w:color="auto" w:val="clear"/>
            <w:tcMar>
              <w:top w:type="dxa" w:w="80"/>
              <w:left w:type="dxa" w:w="120"/>
              <w:bottom w:type="dxa" w:w="80"/>
              <w:right w:type="dxa" w:w="120"/>
            </w:tcMar>
          </w:tcPr>
          <w:p>
            <w:pPr>
              <w:jc w:val="center"/>
            </w:pPr>
            <w:r>
              <w:t>2.1183</w:t>
            </w:r>
          </w:p>
        </w:tc>
        <w:tc>
          <w:tcPr>
            <w:tcW w:type="dxa" w:w="1160"/>
            <w:shd w:fill="F4F7F6" w:color="auto" w:val="clear"/>
            <w:tcMar>
              <w:top w:type="dxa" w:w="80"/>
              <w:left w:type="dxa" w:w="120"/>
              <w:bottom w:type="dxa" w:w="80"/>
              <w:right w:type="dxa" w:w="120"/>
            </w:tcMar>
          </w:tcPr>
          <w:p>
            <w:pPr>
              <w:jc w:val="center"/>
            </w:pPr>
            <w:r>
              <w:t>1.0717</w:t>
            </w:r>
          </w:p>
        </w:tc>
      </w:tr>
      <w:tr>
        <w:tc>
          <w:tcPr>
            <w:tcW w:type="dxa" w:w="2400"/>
            <w:tcMar>
              <w:top w:type="dxa" w:w="80"/>
              <w:left w:type="dxa" w:w="120"/>
              <w:bottom w:type="dxa" w:w="80"/>
              <w:right w:type="dxa" w:w="120"/>
            </w:tcMar>
          </w:tcPr>
          <w:p>
            <w:pPr>
              <w:jc w:val="left"/>
            </w:pPr>
            <w:r>
              <w:t>Curvelet</w:t>
            </w:r>
          </w:p>
        </w:tc>
        <w:tc>
          <w:tcPr>
            <w:tcW w:type="dxa" w:w="1160"/>
            <w:tcMar>
              <w:top w:type="dxa" w:w="80"/>
              <w:left w:type="dxa" w:w="120"/>
              <w:bottom w:type="dxa" w:w="80"/>
              <w:right w:type="dxa" w:w="120"/>
            </w:tcMar>
          </w:tcPr>
          <w:p>
            <w:pPr>
              <w:jc w:val="center"/>
            </w:pPr>
            <w:r>
              <w:t>6.6645</w:t>
            </w:r>
          </w:p>
        </w:tc>
        <w:tc>
          <w:tcPr>
            <w:tcW w:type="dxa" w:w="1160"/>
            <w:tcMar>
              <w:top w:type="dxa" w:w="80"/>
              <w:left w:type="dxa" w:w="120"/>
              <w:bottom w:type="dxa" w:w="80"/>
              <w:right w:type="dxa" w:w="120"/>
            </w:tcMar>
          </w:tcPr>
          <w:p>
            <w:pPr>
              <w:jc w:val="center"/>
            </w:pPr>
            <w:r>
              <w:t>0.1167</w:t>
            </w:r>
          </w:p>
        </w:tc>
        <w:tc>
          <w:tcPr>
            <w:tcW w:type="dxa" w:w="1160"/>
            <w:tcMar>
              <w:top w:type="dxa" w:w="80"/>
              <w:left w:type="dxa" w:w="120"/>
              <w:bottom w:type="dxa" w:w="80"/>
              <w:right w:type="dxa" w:w="120"/>
            </w:tcMar>
          </w:tcPr>
          <w:p>
            <w:pPr>
              <w:jc w:val="center"/>
            </w:pPr>
            <w:r>
              <w:t>1.0529</w:t>
            </w:r>
          </w:p>
        </w:tc>
        <w:tc>
          <w:tcPr>
            <w:tcW w:type="dxa" w:w="1160"/>
            <w:tcMar>
              <w:top w:type="dxa" w:w="80"/>
              <w:left w:type="dxa" w:w="120"/>
              <w:bottom w:type="dxa" w:w="80"/>
              <w:right w:type="dxa" w:w="120"/>
            </w:tcMar>
          </w:tcPr>
          <w:p>
            <w:pPr>
              <w:jc w:val="center"/>
            </w:pPr>
            <w:r>
              <w:t>0.0256</w:t>
            </w:r>
          </w:p>
        </w:tc>
        <w:tc>
          <w:tcPr>
            <w:tcW w:type="dxa" w:w="1160"/>
            <w:tcMar>
              <w:top w:type="dxa" w:w="80"/>
              <w:left w:type="dxa" w:w="120"/>
              <w:bottom w:type="dxa" w:w="80"/>
              <w:right w:type="dxa" w:w="120"/>
            </w:tcMar>
          </w:tcPr>
          <w:p>
            <w:pPr>
              <w:jc w:val="center"/>
            </w:pPr>
            <w:r>
              <w:t>1.3038</w:t>
            </w:r>
          </w:p>
        </w:tc>
        <w:tc>
          <w:tcPr>
            <w:tcW w:type="dxa" w:w="1160"/>
            <w:tcMar>
              <w:top w:type="dxa" w:w="80"/>
              <w:left w:type="dxa" w:w="120"/>
              <w:bottom w:type="dxa" w:w="80"/>
              <w:right w:type="dxa" w:w="120"/>
            </w:tcMar>
          </w:tcPr>
          <w:p>
            <w:pPr>
              <w:jc w:val="center"/>
            </w:pPr>
            <w:r>
              <w:t>0.8843</w:t>
            </w:r>
          </w:p>
        </w:tc>
      </w:tr>
      <w:tr>
        <w:tc>
          <w:tcPr>
            <w:tcW w:type="dxa" w:w="2400"/>
            <w:shd w:fill="F4F7F6" w:color="auto" w:val="clear"/>
            <w:tcMar>
              <w:top w:type="dxa" w:w="80"/>
              <w:left w:type="dxa" w:w="120"/>
              <w:bottom w:type="dxa" w:w="80"/>
              <w:right w:type="dxa" w:w="120"/>
            </w:tcMar>
          </w:tcPr>
          <w:p>
            <w:pPr>
              <w:jc w:val="left"/>
            </w:pPr>
            <w:r>
              <w:t>Top-Hat disco L3 (WTH)</w:t>
            </w:r>
          </w:p>
        </w:tc>
        <w:tc>
          <w:tcPr>
            <w:tcW w:type="dxa" w:w="1160"/>
            <w:shd w:fill="F4F7F6" w:color="auto" w:val="clear"/>
            <w:tcMar>
              <w:top w:type="dxa" w:w="80"/>
              <w:left w:type="dxa" w:w="120"/>
              <w:bottom w:type="dxa" w:w="80"/>
              <w:right w:type="dxa" w:w="120"/>
            </w:tcMar>
          </w:tcPr>
          <w:p>
            <w:pPr>
              <w:jc w:val="center"/>
            </w:pPr>
            <w:r>
              <w:t>6.6765</w:t>
            </w:r>
          </w:p>
        </w:tc>
        <w:tc>
          <w:tcPr>
            <w:tcW w:type="dxa" w:w="1160"/>
            <w:shd w:fill="F4F7F6" w:color="auto" w:val="clear"/>
            <w:tcMar>
              <w:top w:type="dxa" w:w="80"/>
              <w:left w:type="dxa" w:w="120"/>
              <w:bottom w:type="dxa" w:w="80"/>
              <w:right w:type="dxa" w:w="120"/>
            </w:tcMar>
          </w:tcPr>
          <w:p>
            <w:pPr>
              <w:jc w:val="center"/>
            </w:pPr>
            <w:r>
              <w:t>0.1197</w:t>
            </w:r>
          </w:p>
        </w:tc>
        <w:tc>
          <w:tcPr>
            <w:tcW w:type="dxa" w:w="1160"/>
            <w:shd w:fill="F4F7F6" w:color="auto" w:val="clear"/>
            <w:tcMar>
              <w:top w:type="dxa" w:w="80"/>
              <w:left w:type="dxa" w:w="120"/>
              <w:bottom w:type="dxa" w:w="80"/>
              <w:right w:type="dxa" w:w="120"/>
            </w:tcMar>
          </w:tcPr>
          <w:p>
            <w:pPr>
              <w:jc w:val="center"/>
            </w:pPr>
            <w:r>
              <w:t>1.0546</w:t>
            </w:r>
          </w:p>
        </w:tc>
        <w:tc>
          <w:tcPr>
            <w:tcW w:type="dxa" w:w="1160"/>
            <w:shd w:fill="F4F7F6" w:color="auto" w:val="clear"/>
            <w:tcMar>
              <w:top w:type="dxa" w:w="80"/>
              <w:left w:type="dxa" w:w="120"/>
              <w:bottom w:type="dxa" w:w="80"/>
              <w:right w:type="dxa" w:w="120"/>
            </w:tcMar>
          </w:tcPr>
          <w:p>
            <w:pPr>
              <w:jc w:val="center"/>
            </w:pPr>
            <w:r>
              <w:t>0.0230</w:t>
            </w:r>
          </w:p>
        </w:tc>
        <w:tc>
          <w:tcPr>
            <w:tcW w:type="dxa" w:w="1160"/>
            <w:shd w:fill="F4F7F6" w:color="auto" w:val="clear"/>
            <w:tcMar>
              <w:top w:type="dxa" w:w="80"/>
              <w:left w:type="dxa" w:w="120"/>
              <w:bottom w:type="dxa" w:w="80"/>
              <w:right w:type="dxa" w:w="120"/>
            </w:tcMar>
          </w:tcPr>
          <w:p>
            <w:pPr>
              <w:jc w:val="center"/>
            </w:pPr>
            <w:r>
              <w:t>1.3954</w:t>
            </w:r>
          </w:p>
        </w:tc>
        <w:tc>
          <w:tcPr>
            <w:tcW w:type="dxa" w:w="1160"/>
            <w:shd w:fill="F4F7F6" w:color="auto" w:val="clear"/>
            <w:tcMar>
              <w:top w:type="dxa" w:w="80"/>
              <w:left w:type="dxa" w:w="120"/>
              <w:bottom w:type="dxa" w:w="80"/>
              <w:right w:type="dxa" w:w="120"/>
            </w:tcMar>
          </w:tcPr>
          <w:p>
            <w:pPr>
              <w:jc w:val="center"/>
            </w:pPr>
            <w:r>
              <w:t>0.9182</w:t>
            </w:r>
          </w:p>
        </w:tc>
      </w:tr>
      <w:tr>
        <w:tc>
          <w:tcPr>
            <w:tcW w:type="dxa" w:w="2400"/>
            <w:tcMar>
              <w:top w:type="dxa" w:w="80"/>
              <w:left w:type="dxa" w:w="120"/>
              <w:bottom w:type="dxa" w:w="80"/>
              <w:right w:type="dxa" w:w="120"/>
            </w:tcMar>
          </w:tcPr>
          <w:p>
            <w:pPr>
              <w:jc w:val="left"/>
            </w:pPr>
            <w:r>
              <w:t>Top-Hat cuadrado L3 (WTH)</w:t>
            </w:r>
          </w:p>
        </w:tc>
        <w:tc>
          <w:tcPr>
            <w:tcW w:type="dxa" w:w="1160"/>
            <w:tcMar>
              <w:top w:type="dxa" w:w="80"/>
              <w:left w:type="dxa" w:w="120"/>
              <w:bottom w:type="dxa" w:w="80"/>
              <w:right w:type="dxa" w:w="120"/>
            </w:tcMar>
          </w:tcPr>
          <w:p>
            <w:pPr>
              <w:jc w:val="center"/>
            </w:pPr>
            <w:r>
              <w:t>6.6901</w:t>
            </w:r>
          </w:p>
        </w:tc>
        <w:tc>
          <w:tcPr>
            <w:tcW w:type="dxa" w:w="1160"/>
            <w:tcMar>
              <w:top w:type="dxa" w:w="80"/>
              <w:left w:type="dxa" w:w="120"/>
              <w:bottom w:type="dxa" w:w="80"/>
              <w:right w:type="dxa" w:w="120"/>
            </w:tcMar>
          </w:tcPr>
          <w:p>
            <w:pPr>
              <w:jc w:val="center"/>
            </w:pPr>
            <w:r>
              <w:t>0.1209</w:t>
            </w:r>
          </w:p>
        </w:tc>
        <w:tc>
          <w:tcPr>
            <w:tcW w:type="dxa" w:w="1160"/>
            <w:tcMar>
              <w:top w:type="dxa" w:w="80"/>
              <w:left w:type="dxa" w:w="120"/>
              <w:bottom w:type="dxa" w:w="80"/>
              <w:right w:type="dxa" w:w="120"/>
            </w:tcMar>
          </w:tcPr>
          <w:p>
            <w:pPr>
              <w:jc w:val="center"/>
            </w:pPr>
            <w:r>
              <w:t>1.0568</w:t>
            </w:r>
          </w:p>
        </w:tc>
        <w:tc>
          <w:tcPr>
            <w:tcW w:type="dxa" w:w="1160"/>
            <w:tcMar>
              <w:top w:type="dxa" w:w="80"/>
              <w:left w:type="dxa" w:w="120"/>
              <w:bottom w:type="dxa" w:w="80"/>
              <w:right w:type="dxa" w:w="120"/>
            </w:tcMar>
          </w:tcPr>
          <w:p>
            <w:pPr>
              <w:jc w:val="center"/>
            </w:pPr>
            <w:r>
              <w:t>0.0231</w:t>
            </w:r>
          </w:p>
        </w:tc>
        <w:tc>
          <w:tcPr>
            <w:tcW w:type="dxa" w:w="1160"/>
            <w:tcMar>
              <w:top w:type="dxa" w:w="80"/>
              <w:left w:type="dxa" w:w="120"/>
              <w:bottom w:type="dxa" w:w="80"/>
              <w:right w:type="dxa" w:w="120"/>
            </w:tcMar>
          </w:tcPr>
          <w:p>
            <w:pPr>
              <w:jc w:val="center"/>
            </w:pPr>
            <w:r>
              <w:t>1.3906</w:t>
            </w:r>
          </w:p>
        </w:tc>
        <w:tc>
          <w:tcPr>
            <w:tcW w:type="dxa" w:w="1160"/>
            <w:tcMar>
              <w:top w:type="dxa" w:w="80"/>
              <w:left w:type="dxa" w:w="120"/>
              <w:bottom w:type="dxa" w:w="80"/>
              <w:right w:type="dxa" w:w="120"/>
            </w:tcMar>
          </w:tcPr>
          <w:p>
            <w:pPr>
              <w:jc w:val="center"/>
            </w:pPr>
            <w:r>
              <w:t>0.9145</w:t>
            </w:r>
          </w:p>
        </w:tc>
      </w:tr>
      <w:tr>
        <w:tc>
          <w:tcPr>
            <w:tcW w:type="dxa" w:w="2400"/>
            <w:shd w:fill="F4F7F6" w:color="auto" w:val="clear"/>
            <w:tcMar>
              <w:top w:type="dxa" w:w="80"/>
              <w:left w:type="dxa" w:w="120"/>
              <w:bottom w:type="dxa" w:w="80"/>
              <w:right w:type="dxa" w:w="120"/>
            </w:tcMar>
          </w:tcPr>
          <w:p>
            <w:pPr>
              <w:jc w:val="left"/>
            </w:pPr>
            <w:r>
              <w:t>Top-Hat cruz L3 (WTH)</w:t>
            </w:r>
          </w:p>
        </w:tc>
        <w:tc>
          <w:tcPr>
            <w:tcW w:type="dxa" w:w="1160"/>
            <w:shd w:fill="F4F7F6" w:color="auto" w:val="clear"/>
            <w:tcMar>
              <w:top w:type="dxa" w:w="80"/>
              <w:left w:type="dxa" w:w="120"/>
              <w:bottom w:type="dxa" w:w="80"/>
              <w:right w:type="dxa" w:w="120"/>
            </w:tcMar>
          </w:tcPr>
          <w:p>
            <w:pPr>
              <w:jc w:val="center"/>
            </w:pPr>
            <w:r>
              <w:t>6.6632</w:t>
            </w:r>
          </w:p>
        </w:tc>
        <w:tc>
          <w:tcPr>
            <w:tcW w:type="dxa" w:w="1160"/>
            <w:shd w:fill="F4F7F6" w:color="auto" w:val="clear"/>
            <w:tcMar>
              <w:top w:type="dxa" w:w="80"/>
              <w:left w:type="dxa" w:w="120"/>
              <w:bottom w:type="dxa" w:w="80"/>
              <w:right w:type="dxa" w:w="120"/>
            </w:tcMar>
          </w:tcPr>
          <w:p>
            <w:pPr>
              <w:jc w:val="center"/>
            </w:pPr>
            <w:r>
              <w:t>0.1187</w:t>
            </w:r>
          </w:p>
        </w:tc>
        <w:tc>
          <w:tcPr>
            <w:tcW w:type="dxa" w:w="1160"/>
            <w:shd w:fill="F4F7F6" w:color="auto" w:val="clear"/>
            <w:tcMar>
              <w:top w:type="dxa" w:w="80"/>
              <w:left w:type="dxa" w:w="120"/>
              <w:bottom w:type="dxa" w:w="80"/>
              <w:right w:type="dxa" w:w="120"/>
            </w:tcMar>
          </w:tcPr>
          <w:p>
            <w:pPr>
              <w:jc w:val="center"/>
            </w:pPr>
            <w:r>
              <w:t>1.0525</w:t>
            </w:r>
          </w:p>
        </w:tc>
        <w:tc>
          <w:tcPr>
            <w:tcW w:type="dxa" w:w="1160"/>
            <w:shd w:fill="F4F7F6" w:color="auto" w:val="clear"/>
            <w:tcMar>
              <w:top w:type="dxa" w:w="80"/>
              <w:left w:type="dxa" w:w="120"/>
              <w:bottom w:type="dxa" w:w="80"/>
              <w:right w:type="dxa" w:w="120"/>
            </w:tcMar>
          </w:tcPr>
          <w:p>
            <w:pPr>
              <w:jc w:val="center"/>
            </w:pPr>
            <w:r>
              <w:t>0.0226</w:t>
            </w:r>
          </w:p>
        </w:tc>
        <w:tc>
          <w:tcPr>
            <w:tcW w:type="dxa" w:w="1160"/>
            <w:shd w:fill="F4F7F6" w:color="auto" w:val="clear"/>
            <w:tcMar>
              <w:top w:type="dxa" w:w="80"/>
              <w:left w:type="dxa" w:w="120"/>
              <w:bottom w:type="dxa" w:w="80"/>
              <w:right w:type="dxa" w:w="120"/>
            </w:tcMar>
          </w:tcPr>
          <w:p>
            <w:pPr>
              <w:jc w:val="center"/>
            </w:pPr>
            <w:r>
              <w:t>1.3830</w:t>
            </w:r>
          </w:p>
        </w:tc>
        <w:tc>
          <w:tcPr>
            <w:tcW w:type="dxa" w:w="1160"/>
            <w:shd w:fill="F4F7F6" w:color="auto" w:val="clear"/>
            <w:tcMar>
              <w:top w:type="dxa" w:w="80"/>
              <w:left w:type="dxa" w:w="120"/>
              <w:bottom w:type="dxa" w:w="80"/>
              <w:right w:type="dxa" w:w="120"/>
            </w:tcMar>
          </w:tcPr>
          <w:p>
            <w:pPr>
              <w:jc w:val="center"/>
            </w:pPr>
            <w:r>
              <w:t>0.9381</w:t>
            </w:r>
          </w:p>
        </w:tc>
      </w:tr>
      <w:tr>
        <w:tc>
          <w:tcPr>
            <w:tcW w:type="dxa" w:w="2400"/>
            <w:tcMar>
              <w:top w:type="dxa" w:w="80"/>
              <w:left w:type="dxa" w:w="120"/>
              <w:bottom w:type="dxa" w:w="80"/>
              <w:right w:type="dxa" w:w="120"/>
            </w:tcMar>
          </w:tcPr>
          <w:p>
            <w:pPr>
              <w:jc w:val="left"/>
            </w:pPr>
            <w:r>
              <w:t>Top-Hat disco L5 (WTH)</w:t>
            </w:r>
          </w:p>
        </w:tc>
        <w:tc>
          <w:tcPr>
            <w:tcW w:type="dxa" w:w="1160"/>
            <w:tcMar>
              <w:top w:type="dxa" w:w="80"/>
              <w:left w:type="dxa" w:w="120"/>
              <w:bottom w:type="dxa" w:w="80"/>
              <w:right w:type="dxa" w:w="120"/>
            </w:tcMar>
          </w:tcPr>
          <w:p>
            <w:pPr>
              <w:jc w:val="center"/>
            </w:pPr>
            <w:r>
              <w:t>6.7217</w:t>
            </w:r>
          </w:p>
        </w:tc>
        <w:tc>
          <w:tcPr>
            <w:tcW w:type="dxa" w:w="1160"/>
            <w:tcMar>
              <w:top w:type="dxa" w:w="80"/>
              <w:left w:type="dxa" w:w="120"/>
              <w:bottom w:type="dxa" w:w="80"/>
              <w:right w:type="dxa" w:w="120"/>
            </w:tcMar>
          </w:tcPr>
          <w:p>
            <w:pPr>
              <w:jc w:val="center"/>
            </w:pPr>
            <w:r>
              <w:t>0.1246</w:t>
            </w:r>
          </w:p>
        </w:tc>
        <w:tc>
          <w:tcPr>
            <w:tcW w:type="dxa" w:w="1160"/>
            <w:tcMar>
              <w:top w:type="dxa" w:w="80"/>
              <w:left w:type="dxa" w:w="120"/>
              <w:bottom w:type="dxa" w:w="80"/>
              <w:right w:type="dxa" w:w="120"/>
            </w:tcMar>
          </w:tcPr>
          <w:p>
            <w:pPr>
              <w:jc w:val="center"/>
            </w:pPr>
            <w:r>
              <w:t>1.0618</w:t>
            </w:r>
          </w:p>
        </w:tc>
        <w:tc>
          <w:tcPr>
            <w:tcW w:type="dxa" w:w="1160"/>
            <w:tcMar>
              <w:top w:type="dxa" w:w="80"/>
              <w:left w:type="dxa" w:w="120"/>
              <w:bottom w:type="dxa" w:w="80"/>
              <w:right w:type="dxa" w:w="120"/>
            </w:tcMar>
          </w:tcPr>
          <w:p>
            <w:pPr>
              <w:jc w:val="center"/>
            </w:pPr>
            <w:r>
              <w:t>0.0235</w:t>
            </w:r>
          </w:p>
        </w:tc>
        <w:tc>
          <w:tcPr>
            <w:tcW w:type="dxa" w:w="1160"/>
            <w:tcMar>
              <w:top w:type="dxa" w:w="80"/>
              <w:left w:type="dxa" w:w="120"/>
              <w:bottom w:type="dxa" w:w="80"/>
              <w:right w:type="dxa" w:w="120"/>
            </w:tcMar>
          </w:tcPr>
          <w:p>
            <w:pPr>
              <w:jc w:val="center"/>
            </w:pPr>
            <w:r>
              <w:t>1.3628</w:t>
            </w:r>
          </w:p>
        </w:tc>
        <w:tc>
          <w:tcPr>
            <w:tcW w:type="dxa" w:w="1160"/>
            <w:tcMar>
              <w:top w:type="dxa" w:w="80"/>
              <w:left w:type="dxa" w:w="120"/>
              <w:bottom w:type="dxa" w:w="80"/>
              <w:right w:type="dxa" w:w="120"/>
            </w:tcMar>
          </w:tcPr>
          <w:p>
            <w:pPr>
              <w:jc w:val="center"/>
            </w:pPr>
            <w:r>
              <w:t>0.9140</w:t>
            </w:r>
          </w:p>
        </w:tc>
      </w:tr>
      <w:tr>
        <w:tc>
          <w:tcPr>
            <w:tcW w:type="dxa" w:w="2400"/>
          </w:tcPr>
          <w:p>
            <w:r>
              <w:t>Top-Hat disco L3 +BTH</w:t>
            </w:r>
          </w:p>
        </w:tc>
        <w:tc>
          <w:tcPr>
            <w:tcW w:type="dxa" w:w="1160"/>
          </w:tcPr>
          <w:p>
            <w:r>
              <w:t>6.9721</w:t>
            </w:r>
          </w:p>
        </w:tc>
        <w:tc>
          <w:tcPr>
            <w:tcW w:type="dxa" w:w="1160"/>
          </w:tcPr>
          <w:p>
            <w:r>
              <w:t>0.1430</w:t>
            </w:r>
          </w:p>
        </w:tc>
        <w:tc>
          <w:tcPr>
            <w:tcW w:type="dxa" w:w="1160"/>
          </w:tcPr>
          <w:p>
            <w:r>
              <w:t>1.1022</w:t>
            </w:r>
          </w:p>
        </w:tc>
        <w:tc>
          <w:tcPr>
            <w:tcW w:type="dxa" w:w="1160"/>
          </w:tcPr>
          <w:p>
            <w:r>
              <w:t>0.0444</w:t>
            </w:r>
          </w:p>
        </w:tc>
        <w:tc>
          <w:tcPr>
            <w:tcW w:type="dxa" w:w="1160"/>
          </w:tcPr>
          <w:p>
            <w:r>
              <w:t>0.8758</w:t>
            </w:r>
          </w:p>
        </w:tc>
        <w:tc>
          <w:tcPr>
            <w:tcW w:type="dxa" w:w="1160"/>
          </w:tcPr>
          <w:p>
            <w:r>
              <w:t>0.6181</w:t>
            </w:r>
          </w:p>
        </w:tc>
      </w:tr>
      <w:tr>
        <w:tc>
          <w:tcPr>
            <w:tcW w:type="dxa" w:w="2400"/>
          </w:tcPr>
          <w:p>
            <w:r>
              <w:t>Top-Hat cuadrado L3 +BTH</w:t>
            </w:r>
          </w:p>
        </w:tc>
        <w:tc>
          <w:tcPr>
            <w:tcW w:type="dxa" w:w="1160"/>
          </w:tcPr>
          <w:p>
            <w:r>
              <w:t>6.9970</w:t>
            </w:r>
          </w:p>
        </w:tc>
        <w:tc>
          <w:tcPr>
            <w:tcW w:type="dxa" w:w="1160"/>
          </w:tcPr>
          <w:p>
            <w:r>
              <w:t>0.1459</w:t>
            </w:r>
          </w:p>
        </w:tc>
        <w:tc>
          <w:tcPr>
            <w:tcW w:type="dxa" w:w="1160"/>
          </w:tcPr>
          <w:p>
            <w:r>
              <w:t>1.1062</w:t>
            </w:r>
          </w:p>
        </w:tc>
        <w:tc>
          <w:tcPr>
            <w:tcW w:type="dxa" w:w="1160"/>
          </w:tcPr>
          <w:p>
            <w:r>
              <w:t>0.0440</w:t>
            </w:r>
          </w:p>
        </w:tc>
        <w:tc>
          <w:tcPr>
            <w:tcW w:type="dxa" w:w="1160"/>
          </w:tcPr>
          <w:p>
            <w:r>
              <w:t>0.8578</w:t>
            </w:r>
          </w:p>
        </w:tc>
        <w:tc>
          <w:tcPr>
            <w:tcW w:type="dxa" w:w="1160"/>
          </w:tcPr>
          <w:p>
            <w:r>
              <w:t>0.6123</w:t>
            </w:r>
          </w:p>
        </w:tc>
      </w:tr>
      <w:tr>
        <w:tc>
          <w:tcPr>
            <w:tcW w:type="dxa" w:w="2400"/>
          </w:tcPr>
          <w:p>
            <w:r>
              <w:t>Top-Hat cruz L3 +BTH</w:t>
            </w:r>
          </w:p>
        </w:tc>
        <w:tc>
          <w:tcPr>
            <w:tcW w:type="dxa" w:w="1160"/>
          </w:tcPr>
          <w:p>
            <w:r>
              <w:t>6.9762</w:t>
            </w:r>
          </w:p>
        </w:tc>
        <w:tc>
          <w:tcPr>
            <w:tcW w:type="dxa" w:w="1160"/>
          </w:tcPr>
          <w:p>
            <w:r>
              <w:t>0.1433</w:t>
            </w:r>
          </w:p>
        </w:tc>
        <w:tc>
          <w:tcPr>
            <w:tcW w:type="dxa" w:w="1160"/>
          </w:tcPr>
          <w:p>
            <w:r>
              <w:t>1.1031</w:t>
            </w:r>
          </w:p>
        </w:tc>
        <w:tc>
          <w:tcPr>
            <w:tcW w:type="dxa" w:w="1160"/>
          </w:tcPr>
          <w:p>
            <w:r>
              <w:t>0.0444</w:t>
            </w:r>
          </w:p>
        </w:tc>
        <w:tc>
          <w:tcPr>
            <w:tcW w:type="dxa" w:w="1160"/>
          </w:tcPr>
          <w:p>
            <w:r>
              <w:t>0.8859</w:t>
            </w:r>
          </w:p>
        </w:tc>
        <w:tc>
          <w:tcPr>
            <w:tcW w:type="dxa" w:w="1160"/>
          </w:tcPr>
          <w:p>
            <w:r>
              <w:t>0.6336</w:t>
            </w:r>
          </w:p>
        </w:tc>
      </w:tr>
      <w:tr>
        <w:tc>
          <w:tcPr>
            <w:tcW w:type="dxa" w:w="2400"/>
          </w:tcPr>
          <w:p>
            <w:r>
              <w:t>Top-Hat disco L5 +BTH</w:t>
            </w:r>
          </w:p>
        </w:tc>
        <w:tc>
          <w:tcPr>
            <w:tcW w:type="dxa" w:w="1160"/>
          </w:tcPr>
          <w:p>
            <w:r>
              <w:t>7.1065</w:t>
            </w:r>
          </w:p>
        </w:tc>
        <w:tc>
          <w:tcPr>
            <w:tcW w:type="dxa" w:w="1160"/>
          </w:tcPr>
          <w:p>
            <w:r>
              <w:t>0.1610</w:t>
            </w:r>
          </w:p>
        </w:tc>
        <w:tc>
          <w:tcPr>
            <w:tcW w:type="dxa" w:w="1160"/>
          </w:tcPr>
          <w:p>
            <w:r>
              <w:t>1.1240</w:t>
            </w:r>
          </w:p>
        </w:tc>
        <w:tc>
          <w:tcPr>
            <w:tcW w:type="dxa" w:w="1160"/>
          </w:tcPr>
          <w:p>
            <w:r>
              <w:t>0.0473</w:t>
            </w:r>
          </w:p>
        </w:tc>
        <w:tc>
          <w:tcPr>
            <w:tcW w:type="dxa" w:w="1160"/>
          </w:tcPr>
          <w:p>
            <w:r>
              <w:t>0.7729</w:t>
            </w:r>
          </w:p>
        </w:tc>
        <w:tc>
          <w:tcPr>
            <w:tcW w:type="dxa" w:w="1160"/>
          </w:tcPr>
          <w:p>
            <w:r>
              <w:t>0.5949</w:t>
            </w:r>
          </w:p>
        </w:tc>
      </w:tr>
    </w:tbl>
    <w:p>
      <w:r>
        <w:t>Tabla 3b. Promedios de las seis métricas estándar de calidad de fusión por método (n = 20 pares).</w:t>
      </w:r>
    </w:p>
    <w:tbl>
      <w:tblPr>
        <w:tblW w:type="auto" w:w="0"/>
        <w:tblLook w:firstColumn="1" w:firstRow="1" w:lastColumn="0" w:lastRow="0" w:noHBand="0" w:noVBand="1" w:val="04A0"/>
      </w:tblPr>
      <w:tblGrid>
        <w:gridCol w:w="1300"/>
        <w:gridCol w:w="1300"/>
        <w:gridCol w:w="1300"/>
        <w:gridCol w:w="1300"/>
        <w:gridCol w:w="1300"/>
        <w:gridCol w:w="1300"/>
        <w:gridCol w:w="1300"/>
      </w:tblGrid>
      <w:tr>
        <w:tc>
          <w:tcPr>
            <w:tcW w:type="dxa" w:w="1300"/>
          </w:tcPr>
          <w:p>
            <w:r>
              <w:rPr>
                <w:b/>
              </w:rPr>
              <w:t>Método</w:t>
            </w:r>
          </w:p>
        </w:tc>
        <w:tc>
          <w:tcPr>
            <w:tcW w:type="dxa" w:w="1300"/>
          </w:tcPr>
          <w:p>
            <w:r>
              <w:rPr>
                <w:b/>
              </w:rPr>
              <w:t>SF</w:t>
            </w:r>
          </w:p>
        </w:tc>
        <w:tc>
          <w:tcPr>
            <w:tcW w:type="dxa" w:w="1300"/>
          </w:tcPr>
          <w:p>
            <w:r>
              <w:rPr>
                <w:b/>
              </w:rPr>
              <w:t>Qabf</w:t>
            </w:r>
          </w:p>
        </w:tc>
        <w:tc>
          <w:tcPr>
            <w:tcW w:type="dxa" w:w="1300"/>
          </w:tcPr>
          <w:p>
            <w:r>
              <w:rPr>
                <w:b/>
              </w:rPr>
              <w:t>Nabf</w:t>
            </w:r>
          </w:p>
        </w:tc>
        <w:tc>
          <w:tcPr>
            <w:tcW w:type="dxa" w:w="1300"/>
          </w:tcPr>
          <w:p>
            <w:r>
              <w:rPr>
                <w:b/>
              </w:rPr>
              <w:t>SSIM</w:t>
            </w:r>
          </w:p>
        </w:tc>
        <w:tc>
          <w:tcPr>
            <w:tcW w:type="dxa" w:w="1300"/>
          </w:tcPr>
          <w:p>
            <w:r>
              <w:rPr>
                <w:b/>
              </w:rPr>
              <w:t>SCD</w:t>
            </w:r>
          </w:p>
        </w:tc>
        <w:tc>
          <w:tcPr>
            <w:tcW w:type="dxa" w:w="1300"/>
          </w:tcPr>
          <w:p>
            <w:r>
              <w:rPr>
                <w:b/>
              </w:rPr>
              <w:t>VIF</w:t>
            </w:r>
          </w:p>
        </w:tc>
      </w:tr>
      <w:tr>
        <w:tc>
          <w:tcPr>
            <w:tcW w:type="dxa" w:w="1300"/>
          </w:tcPr>
          <w:p>
            <w:r>
              <w:t>Promedio</w:t>
            </w:r>
          </w:p>
        </w:tc>
        <w:tc>
          <w:tcPr>
            <w:tcW w:type="dxa" w:w="1300"/>
          </w:tcPr>
          <w:p>
            <w:r>
              <w:t>7.1120</w:t>
            </w:r>
          </w:p>
        </w:tc>
        <w:tc>
          <w:tcPr>
            <w:tcW w:type="dxa" w:w="1300"/>
          </w:tcPr>
          <w:p>
            <w:r>
              <w:t>0.3098</w:t>
            </w:r>
          </w:p>
        </w:tc>
        <w:tc>
          <w:tcPr>
            <w:tcW w:type="dxa" w:w="1300"/>
          </w:tcPr>
          <w:p>
            <w:r>
              <w:t>0.0000</w:t>
            </w:r>
          </w:p>
        </w:tc>
        <w:tc>
          <w:tcPr>
            <w:tcW w:type="dxa" w:w="1300"/>
          </w:tcPr>
          <w:p>
            <w:r>
              <w:t>0.7921</w:t>
            </w:r>
          </w:p>
        </w:tc>
        <w:tc>
          <w:tcPr>
            <w:tcW w:type="dxa" w:w="1300"/>
          </w:tcPr>
          <w:p>
            <w:r>
              <w:t>1.3247</w:t>
            </w:r>
          </w:p>
        </w:tc>
        <w:tc>
          <w:tcPr>
            <w:tcW w:type="dxa" w:w="1300"/>
          </w:tcPr>
          <w:p>
            <w:r>
              <w:t>0.3305</w:t>
            </w:r>
          </w:p>
        </w:tc>
      </w:tr>
      <w:tr>
        <w:tc>
          <w:tcPr>
            <w:tcW w:type="dxa" w:w="1300"/>
          </w:tcPr>
          <w:p>
            <w:r>
              <w:t>Pirámide Laplace</w:t>
            </w:r>
          </w:p>
        </w:tc>
        <w:tc>
          <w:tcPr>
            <w:tcW w:type="dxa" w:w="1300"/>
          </w:tcPr>
          <w:p>
            <w:r>
              <w:t>13.0400</w:t>
            </w:r>
          </w:p>
        </w:tc>
        <w:tc>
          <w:tcPr>
            <w:tcW w:type="dxa" w:w="1300"/>
          </w:tcPr>
          <w:p>
            <w:r>
              <w:t>0.4419</w:t>
            </w:r>
          </w:p>
        </w:tc>
        <w:tc>
          <w:tcPr>
            <w:tcW w:type="dxa" w:w="1300"/>
          </w:tcPr>
          <w:p>
            <w:r>
              <w:t>0.1080</w:t>
            </w:r>
          </w:p>
        </w:tc>
        <w:tc>
          <w:tcPr>
            <w:tcW w:type="dxa" w:w="1300"/>
          </w:tcPr>
          <w:p>
            <w:r>
              <w:t>0.7208</w:t>
            </w:r>
          </w:p>
        </w:tc>
        <w:tc>
          <w:tcPr>
            <w:tcW w:type="dxa" w:w="1300"/>
          </w:tcPr>
          <w:p>
            <w:r>
              <w:t>1.3217</w:t>
            </w:r>
          </w:p>
        </w:tc>
        <w:tc>
          <w:tcPr>
            <w:tcW w:type="dxa" w:w="1300"/>
          </w:tcPr>
          <w:p>
            <w:r>
              <w:t>0.4101</w:t>
            </w:r>
          </w:p>
        </w:tc>
      </w:tr>
      <w:tr>
        <w:tc>
          <w:tcPr>
            <w:tcW w:type="dxa" w:w="1300"/>
          </w:tcPr>
          <w:p>
            <w:r>
              <w:t>Curvelet</w:t>
            </w:r>
          </w:p>
        </w:tc>
        <w:tc>
          <w:tcPr>
            <w:tcW w:type="dxa" w:w="1300"/>
          </w:tcPr>
          <w:p>
            <w:r>
              <w:t>13.1510</w:t>
            </w:r>
          </w:p>
        </w:tc>
        <w:tc>
          <w:tcPr>
            <w:tcW w:type="dxa" w:w="1300"/>
          </w:tcPr>
          <w:p>
            <w:r>
              <w:t>0.4762</w:t>
            </w:r>
          </w:p>
        </w:tc>
        <w:tc>
          <w:tcPr>
            <w:tcW w:type="dxa" w:w="1300"/>
          </w:tcPr>
          <w:p>
            <w:r>
              <w:t>0.1915</w:t>
            </w:r>
          </w:p>
        </w:tc>
        <w:tc>
          <w:tcPr>
            <w:tcW w:type="dxa" w:w="1300"/>
          </w:tcPr>
          <w:p>
            <w:r>
              <w:t>0.7305</w:t>
            </w:r>
          </w:p>
        </w:tc>
        <w:tc>
          <w:tcPr>
            <w:tcW w:type="dxa" w:w="1300"/>
          </w:tcPr>
          <w:p>
            <w:r>
              <w:t>1.3208</w:t>
            </w:r>
          </w:p>
        </w:tc>
        <w:tc>
          <w:tcPr>
            <w:tcW w:type="dxa" w:w="1300"/>
          </w:tcPr>
          <w:p>
            <w:r>
              <w:t>0.3067</w:t>
            </w:r>
          </w:p>
        </w:tc>
      </w:tr>
      <w:tr>
        <w:tc>
          <w:tcPr>
            <w:tcW w:type="dxa" w:w="1300"/>
          </w:tcPr>
          <w:p>
            <w:r>
              <w:t>Top-Hat disco L3 (WTH)</w:t>
            </w:r>
          </w:p>
        </w:tc>
        <w:tc>
          <w:tcPr>
            <w:tcW w:type="dxa" w:w="1300"/>
          </w:tcPr>
          <w:p>
            <w:r>
              <w:t>11.6270</w:t>
            </w:r>
          </w:p>
        </w:tc>
        <w:tc>
          <w:tcPr>
            <w:tcW w:type="dxa" w:w="1300"/>
          </w:tcPr>
          <w:p>
            <w:r>
              <w:t>0.4559</w:t>
            </w:r>
          </w:p>
        </w:tc>
        <w:tc>
          <w:tcPr>
            <w:tcW w:type="dxa" w:w="1300"/>
          </w:tcPr>
          <w:p>
            <w:r>
              <w:t>0.1019</w:t>
            </w:r>
          </w:p>
        </w:tc>
        <w:tc>
          <w:tcPr>
            <w:tcW w:type="dxa" w:w="1300"/>
          </w:tcPr>
          <w:p>
            <w:r>
              <w:t>0.7441</w:t>
            </w:r>
          </w:p>
        </w:tc>
        <w:tc>
          <w:tcPr>
            <w:tcW w:type="dxa" w:w="1300"/>
          </w:tcPr>
          <w:p>
            <w:r>
              <w:t>1.3967</w:t>
            </w:r>
          </w:p>
        </w:tc>
        <w:tc>
          <w:tcPr>
            <w:tcW w:type="dxa" w:w="1300"/>
          </w:tcPr>
          <w:p>
            <w:r>
              <w:t>0.3523</w:t>
            </w:r>
          </w:p>
        </w:tc>
      </w:tr>
      <w:tr>
        <w:tc>
          <w:tcPr>
            <w:tcW w:type="dxa" w:w="1300"/>
          </w:tcPr>
          <w:p>
            <w:r>
              <w:t>Top-Hat cuadrado L3 (WTH)</w:t>
            </w:r>
          </w:p>
        </w:tc>
        <w:tc>
          <w:tcPr>
            <w:tcW w:type="dxa" w:w="1300"/>
          </w:tcPr>
          <w:p>
            <w:r>
              <w:t>11.5761</w:t>
            </w:r>
          </w:p>
        </w:tc>
        <w:tc>
          <w:tcPr>
            <w:tcW w:type="dxa" w:w="1300"/>
          </w:tcPr>
          <w:p>
            <w:r>
              <w:t>0.4392</w:t>
            </w:r>
          </w:p>
        </w:tc>
        <w:tc>
          <w:tcPr>
            <w:tcW w:type="dxa" w:w="1300"/>
          </w:tcPr>
          <w:p>
            <w:r>
              <w:t>0.1040</w:t>
            </w:r>
          </w:p>
        </w:tc>
        <w:tc>
          <w:tcPr>
            <w:tcW w:type="dxa" w:w="1300"/>
          </w:tcPr>
          <w:p>
            <w:r>
              <w:t>0.7414</w:t>
            </w:r>
          </w:p>
        </w:tc>
        <w:tc>
          <w:tcPr>
            <w:tcW w:type="dxa" w:w="1300"/>
          </w:tcPr>
          <w:p>
            <w:r>
              <w:t>1.4042</w:t>
            </w:r>
          </w:p>
        </w:tc>
        <w:tc>
          <w:tcPr>
            <w:tcW w:type="dxa" w:w="1300"/>
          </w:tcPr>
          <w:p>
            <w:r>
              <w:t>0.3528</w:t>
            </w:r>
          </w:p>
        </w:tc>
      </w:tr>
      <w:tr>
        <w:tc>
          <w:tcPr>
            <w:tcW w:type="dxa" w:w="1300"/>
          </w:tcPr>
          <w:p>
            <w:r>
              <w:t>Top-Hat cruz L3 (WTH)</w:t>
            </w:r>
          </w:p>
        </w:tc>
        <w:tc>
          <w:tcPr>
            <w:tcW w:type="dxa" w:w="1300"/>
          </w:tcPr>
          <w:p>
            <w:r>
              <w:t>11.4187</w:t>
            </w:r>
          </w:p>
        </w:tc>
        <w:tc>
          <w:tcPr>
            <w:tcW w:type="dxa" w:w="1300"/>
          </w:tcPr>
          <w:p>
            <w:r>
              <w:t>0.4556</w:t>
            </w:r>
          </w:p>
        </w:tc>
        <w:tc>
          <w:tcPr>
            <w:tcW w:type="dxa" w:w="1300"/>
          </w:tcPr>
          <w:p>
            <w:r>
              <w:t>0.1071</w:t>
            </w:r>
          </w:p>
        </w:tc>
        <w:tc>
          <w:tcPr>
            <w:tcW w:type="dxa" w:w="1300"/>
          </w:tcPr>
          <w:p>
            <w:r>
              <w:t>0.7494</w:t>
            </w:r>
          </w:p>
        </w:tc>
        <w:tc>
          <w:tcPr>
            <w:tcW w:type="dxa" w:w="1300"/>
          </w:tcPr>
          <w:p>
            <w:r>
              <w:t>1.3917</w:t>
            </w:r>
          </w:p>
        </w:tc>
        <w:tc>
          <w:tcPr>
            <w:tcW w:type="dxa" w:w="1300"/>
          </w:tcPr>
          <w:p>
            <w:r>
              <w:t>0.3440</w:t>
            </w:r>
          </w:p>
        </w:tc>
      </w:tr>
      <w:tr>
        <w:tc>
          <w:tcPr>
            <w:tcW w:type="dxa" w:w="1300"/>
          </w:tcPr>
          <w:p>
            <w:r>
              <w:t>Top-Hat disco L5 (WTH)</w:t>
            </w:r>
          </w:p>
        </w:tc>
        <w:tc>
          <w:tcPr>
            <w:tcW w:type="dxa" w:w="1300"/>
          </w:tcPr>
          <w:p>
            <w:r>
              <w:t>11.9234</w:t>
            </w:r>
          </w:p>
        </w:tc>
        <w:tc>
          <w:tcPr>
            <w:tcW w:type="dxa" w:w="1300"/>
          </w:tcPr>
          <w:p>
            <w:r>
              <w:t>0.4583</w:t>
            </w:r>
          </w:p>
        </w:tc>
        <w:tc>
          <w:tcPr>
            <w:tcW w:type="dxa" w:w="1300"/>
          </w:tcPr>
          <w:p>
            <w:r>
              <w:t>0.1168</w:t>
            </w:r>
          </w:p>
        </w:tc>
        <w:tc>
          <w:tcPr>
            <w:tcW w:type="dxa" w:w="1300"/>
          </w:tcPr>
          <w:p>
            <w:r>
              <w:t>0.7392</w:t>
            </w:r>
          </w:p>
        </w:tc>
        <w:tc>
          <w:tcPr>
            <w:tcW w:type="dxa" w:w="1300"/>
          </w:tcPr>
          <w:p>
            <w:r>
              <w:t>1.4302</w:t>
            </w:r>
          </w:p>
        </w:tc>
        <w:tc>
          <w:tcPr>
            <w:tcW w:type="dxa" w:w="1300"/>
          </w:tcPr>
          <w:p>
            <w:r>
              <w:t>0.3564</w:t>
            </w:r>
          </w:p>
        </w:tc>
      </w:tr>
      <w:tr>
        <w:tc>
          <w:tcPr>
            <w:tcW w:type="dxa" w:w="1300"/>
          </w:tcPr>
          <w:p>
            <w:r>
              <w:t>Top-Hat disco L3 +BTH</w:t>
            </w:r>
          </w:p>
        </w:tc>
        <w:tc>
          <w:tcPr>
            <w:tcW w:type="dxa" w:w="1300"/>
          </w:tcPr>
          <w:p>
            <w:r>
              <w:t>21.7436</w:t>
            </w:r>
          </w:p>
        </w:tc>
        <w:tc>
          <w:tcPr>
            <w:tcW w:type="dxa" w:w="1300"/>
          </w:tcPr>
          <w:p>
            <w:r>
              <w:t>0.3259</w:t>
            </w:r>
          </w:p>
        </w:tc>
        <w:tc>
          <w:tcPr>
            <w:tcW w:type="dxa" w:w="1300"/>
          </w:tcPr>
          <w:p>
            <w:r>
              <w:t>0.5368</w:t>
            </w:r>
          </w:p>
        </w:tc>
        <w:tc>
          <w:tcPr>
            <w:tcW w:type="dxa" w:w="1300"/>
          </w:tcPr>
          <w:p>
            <w:r>
              <w:t>0.5765</w:t>
            </w:r>
          </w:p>
        </w:tc>
        <w:tc>
          <w:tcPr>
            <w:tcW w:type="dxa" w:w="1300"/>
          </w:tcPr>
          <w:p>
            <w:r>
              <w:t>1.3408</w:t>
            </w:r>
          </w:p>
        </w:tc>
        <w:tc>
          <w:tcPr>
            <w:tcW w:type="dxa" w:w="1300"/>
          </w:tcPr>
          <w:p>
            <w:r>
              <w:t>0.3137</w:t>
            </w:r>
          </w:p>
        </w:tc>
      </w:tr>
      <w:tr>
        <w:tc>
          <w:tcPr>
            <w:tcW w:type="dxa" w:w="1300"/>
          </w:tcPr>
          <w:p>
            <w:r>
              <w:t>Top-Hat cuadrado L3 +BTH</w:t>
            </w:r>
          </w:p>
        </w:tc>
        <w:tc>
          <w:tcPr>
            <w:tcW w:type="dxa" w:w="1300"/>
          </w:tcPr>
          <w:p>
            <w:r>
              <w:t>21.3473</w:t>
            </w:r>
          </w:p>
        </w:tc>
        <w:tc>
          <w:tcPr>
            <w:tcW w:type="dxa" w:w="1300"/>
          </w:tcPr>
          <w:p>
            <w:r>
              <w:t>0.3287</w:t>
            </w:r>
          </w:p>
        </w:tc>
        <w:tc>
          <w:tcPr>
            <w:tcW w:type="dxa" w:w="1300"/>
          </w:tcPr>
          <w:p>
            <w:r>
              <w:t>0.5319</w:t>
            </w:r>
          </w:p>
        </w:tc>
        <w:tc>
          <w:tcPr>
            <w:tcW w:type="dxa" w:w="1300"/>
          </w:tcPr>
          <w:p>
            <w:r>
              <w:t>0.5750</w:t>
            </w:r>
          </w:p>
        </w:tc>
        <w:tc>
          <w:tcPr>
            <w:tcW w:type="dxa" w:w="1300"/>
          </w:tcPr>
          <w:p>
            <w:r>
              <w:t>1.3386</w:t>
            </w:r>
          </w:p>
        </w:tc>
        <w:tc>
          <w:tcPr>
            <w:tcW w:type="dxa" w:w="1300"/>
          </w:tcPr>
          <w:p>
            <w:r>
              <w:t>0.3182</w:t>
            </w:r>
          </w:p>
        </w:tc>
      </w:tr>
      <w:tr>
        <w:tc>
          <w:tcPr>
            <w:tcW w:type="dxa" w:w="1300"/>
          </w:tcPr>
          <w:p>
            <w:r>
              <w:t>Top-Hat cruz L3 +BTH</w:t>
            </w:r>
          </w:p>
        </w:tc>
        <w:tc>
          <w:tcPr>
            <w:tcW w:type="dxa" w:w="1300"/>
          </w:tcPr>
          <w:p>
            <w:r>
              <w:t>21.8316</w:t>
            </w:r>
          </w:p>
        </w:tc>
        <w:tc>
          <w:tcPr>
            <w:tcW w:type="dxa" w:w="1300"/>
          </w:tcPr>
          <w:p>
            <w:r>
              <w:t>0.3109</w:t>
            </w:r>
          </w:p>
        </w:tc>
        <w:tc>
          <w:tcPr>
            <w:tcW w:type="dxa" w:w="1300"/>
          </w:tcPr>
          <w:p>
            <w:r>
              <w:t>0.5369</w:t>
            </w:r>
          </w:p>
        </w:tc>
        <w:tc>
          <w:tcPr>
            <w:tcW w:type="dxa" w:w="1300"/>
          </w:tcPr>
          <w:p>
            <w:r>
              <w:t>0.5724</w:t>
            </w:r>
          </w:p>
        </w:tc>
        <w:tc>
          <w:tcPr>
            <w:tcW w:type="dxa" w:w="1300"/>
          </w:tcPr>
          <w:p>
            <w:r>
              <w:t>1.3378</w:t>
            </w:r>
          </w:p>
        </w:tc>
        <w:tc>
          <w:tcPr>
            <w:tcW w:type="dxa" w:w="1300"/>
          </w:tcPr>
          <w:p>
            <w:r>
              <w:t>0.3004</w:t>
            </w:r>
          </w:p>
        </w:tc>
      </w:tr>
      <w:tr>
        <w:tc>
          <w:tcPr>
            <w:tcW w:type="dxa" w:w="1300"/>
          </w:tcPr>
          <w:p>
            <w:r>
              <w:t>Top-Hat disco L5 +BTH</w:t>
            </w:r>
          </w:p>
        </w:tc>
        <w:tc>
          <w:tcPr>
            <w:tcW w:type="dxa" w:w="1300"/>
          </w:tcPr>
          <w:p>
            <w:r>
              <w:t>22.9396</w:t>
            </w:r>
          </w:p>
        </w:tc>
        <w:tc>
          <w:tcPr>
            <w:tcW w:type="dxa" w:w="1300"/>
          </w:tcPr>
          <w:p>
            <w:r>
              <w:t>0.2913</w:t>
            </w:r>
          </w:p>
        </w:tc>
        <w:tc>
          <w:tcPr>
            <w:tcW w:type="dxa" w:w="1300"/>
          </w:tcPr>
          <w:p>
            <w:r>
              <w:t>0.5745</w:t>
            </w:r>
          </w:p>
        </w:tc>
        <w:tc>
          <w:tcPr>
            <w:tcW w:type="dxa" w:w="1300"/>
          </w:tcPr>
          <w:p>
            <w:r>
              <w:t>0.5338</w:t>
            </w:r>
          </w:p>
        </w:tc>
        <w:tc>
          <w:tcPr>
            <w:tcW w:type="dxa" w:w="1300"/>
          </w:tcPr>
          <w:p>
            <w:r>
              <w:t>1.2791</w:t>
            </w:r>
          </w:p>
        </w:tc>
        <w:tc>
          <w:tcPr>
            <w:tcW w:type="dxa" w:w="1300"/>
          </w:tcPr>
          <w:p>
            <w:r>
              <w:t>0.2977</w:t>
            </w:r>
          </w:p>
        </w:tc>
      </w:tr>
    </w:tbl>
    <w:p>
      <w:pPr>
        <w:spacing w:after="160" w:line="360"/>
        <w:jc w:val="both"/>
      </w:pPr>
      <w:r>
        <w:rPr>
          <w:rFonts w:ascii="Arial" w:cs="Arial" w:eastAsia="Arial" w:hAnsi="Arial"/>
          <w:sz w:val="24"/>
          <w:szCs w:val="24"/>
        </w:rPr>
        <w:t xml:space="preserve">Una distribución más completa de las métricas, no reducida al promedio, se aprecia en los diagramas de caja de la figura 3.</w:t>
      </w:r>
    </w:p>
    <w:p>
      <w:pPr>
        <w:spacing w:after="80" w:before="200"/>
        <w:jc w:val="center"/>
      </w:pPr>
      <w:r>
        <w:drawing>
          <wp:inline xmlns:a="http://schemas.openxmlformats.org/drawingml/2006/main" xmlns:pic="http://schemas.openxmlformats.org/drawingml/2006/picture">
            <wp:extent cx="5394960" cy="2877312"/>
            <wp:docPr id="2" name="Picture 2"/>
            <wp:cNvGraphicFramePr>
              <a:graphicFrameLocks noChangeAspect="1"/>
            </wp:cNvGraphicFramePr>
            <a:graphic>
              <a:graphicData uri="http://schemas.openxmlformats.org/drawingml/2006/picture">
                <pic:pic>
                  <pic:nvPicPr>
                    <pic:cNvPr id="0" name="fig_boxplot_metricas_calidad.png"/>
                    <pic:cNvPicPr/>
                  </pic:nvPicPr>
                  <pic:blipFill>
                    <a:blip r:embed="rId15"/>
                    <a:stretch>
                      <a:fillRect/>
                    </a:stretch>
                  </pic:blipFill>
                  <pic:spPr>
                    <a:xfrm>
                      <a:off x="0" y="0"/>
                      <a:ext cx="5394960" cy="2877312"/>
                    </a:xfrm>
                    <a:prstGeom prst="rect"/>
                  </pic:spPr>
                </pic:pic>
              </a:graphicData>
            </a:graphic>
          </wp:inline>
        </w:drawing>
      </w:r>
    </w:p>
    <w:p>
      <w:pPr>
        <w:spacing w:after="240"/>
        <w:jc w:val="center"/>
      </w:pPr>
      <w:r>
        <w:t>Figura 3. Diagramas de caja de seis métricas estándar de calidad (Qabf, Nabf, SSIM, SCD, VIF, SF) para métodos representativos (n = 20 pares VIS/IR).</w:t>
      </w:r>
    </w:p>
    <w:p>
      <w:pPr>
        <w:pStyle w:val="Heading2"/>
        <w:spacing w:after="120" w:before="240"/>
      </w:pPr>
      <w:r>
        <w:rPr>
          <w:rFonts w:ascii="Arial" w:cs="Arial" w:eastAsia="Arial" w:hAnsi="Arial"/>
          <w:b/>
          <w:bCs/>
          <w:sz w:val="26"/>
          <w:szCs w:val="26"/>
        </w:rPr>
        <w:t xml:space="preserve">Análisis estadístico no paramétrico</w:t>
      </w:r>
    </w:p>
    <w:p>
      <w:pPr>
        <w:pStyle w:val="Heading3"/>
        <w:spacing w:after="100" w:before="180"/>
      </w:pPr>
      <w:r>
        <w:rPr>
          <w:rFonts w:ascii="Arial" w:cs="Arial" w:eastAsia="Arial" w:hAnsi="Arial"/>
          <w:b/>
          <w:bCs/>
          <w:i/>
          <w:iCs/>
          <w:sz w:val="24"/>
          <w:szCs w:val="24"/>
        </w:rPr>
        <w:t xml:space="preserve">Prueba de Friedman global</w:t>
      </w:r>
    </w:p>
    <w:p>
      <w:pPr>
        <w:spacing w:after="160" w:line="360"/>
        <w:jc w:val="both"/>
      </w:pPr>
      <w:r>
        <w:t>La Tabla 4 reporta la prueba de Friedman aplicada de forma independiente a cada métrica, considerando los 11 métodos como tratamientos y los 20 pares como bloques. La hipótesis nula se rechaza con amplio margen en las doce métricas (todos los p ≪ 0,001), confirmando que la elección del método tiene un efecto estadísticamente significativo sobre cada dimensión de calidad.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2400"/>
        <w:gridCol w:w="2760"/>
      </w:tblGrid>
      <w:tr>
        <w:trPr>
          <w:tblHeader/>
        </w:trPr>
        <w:tc>
          <w:tcPr>
            <w:tcW w:type="dxa" w:w="1800"/>
            <w:shd w:fill="D5E8F0" w:color="auto" w:val="clear"/>
            <w:tcMar>
              <w:top w:type="dxa" w:w="80"/>
              <w:left w:type="dxa" w:w="120"/>
              <w:bottom w:type="dxa" w:w="80"/>
              <w:right w:type="dxa" w:w="120"/>
            </w:tcMar>
          </w:tcPr>
          <w:p>
            <w:pPr>
              <w:jc w:val="center"/>
            </w:pPr>
            <w:r>
              <w:rPr>
                <w:b/>
              </w:rPr>
              <w:t>Métrica</w:t>
            </w:r>
          </w:p>
        </w:tc>
        <w:tc>
          <w:tcPr>
            <w:tcW w:type="dxa" w:w="2400"/>
            <w:shd w:fill="D5E8F0" w:color="auto" w:val="clear"/>
            <w:tcMar>
              <w:top w:type="dxa" w:w="80"/>
              <w:left w:type="dxa" w:w="120"/>
              <w:bottom w:type="dxa" w:w="80"/>
              <w:right w:type="dxa" w:w="120"/>
            </w:tcMar>
          </w:tcPr>
          <w:p>
            <w:pPr>
              <w:jc w:val="center"/>
            </w:pPr>
            <w:r>
              <w:rPr>
                <w:b/>
              </w:rPr>
              <w:t>χ² de Friedman</w:t>
            </w:r>
          </w:p>
        </w:tc>
        <w:tc>
          <w:tcPr>
            <w:tcW w:type="dxa" w:w="2400"/>
            <w:shd w:fill="D5E8F0" w:color="auto" w:val="clear"/>
            <w:tcMar>
              <w:top w:type="dxa" w:w="80"/>
              <w:left w:type="dxa" w:w="120"/>
              <w:bottom w:type="dxa" w:w="80"/>
              <w:right w:type="dxa" w:w="120"/>
            </w:tcMar>
          </w:tcPr>
          <w:p>
            <w:pPr>
              <w:jc w:val="center"/>
            </w:pPr>
            <w:r>
              <w:rPr>
                <w:b/>
              </w:rPr>
              <w:t>p-valor</w:t>
            </w:r>
          </w:p>
        </w:tc>
        <w:tc>
          <w:tcPr>
            <w:tcW w:type="dxa" w:w="2760"/>
            <w:shd w:fill="D5E8F0" w:color="auto" w:val="clear"/>
            <w:tcMar>
              <w:top w:type="dxa" w:w="80"/>
              <w:left w:type="dxa" w:w="120"/>
              <w:bottom w:type="dxa" w:w="80"/>
              <w:right w:type="dxa" w:w="120"/>
            </w:tcMar>
          </w:tcPr>
          <w:p>
            <w:pPr>
              <w:jc w:val="center"/>
            </w:pPr>
            <w:r>
              <w:rPr>
                <w:b/>
              </w:rPr>
              <w:t>Significativo (α = 0,05)</w:t>
            </w:r>
          </w:p>
        </w:tc>
      </w:tr>
      <w:tr>
        <w:tc>
          <w:tcPr>
            <w:tcW w:type="dxa" w:w="1800"/>
            <w:tcMar>
              <w:top w:type="dxa" w:w="80"/>
              <w:left w:type="dxa" w:w="120"/>
              <w:bottom w:type="dxa" w:w="80"/>
              <w:right w:type="dxa" w:w="120"/>
            </w:tcMar>
          </w:tcPr>
          <w:p>
            <w:pPr>
              <w:jc w:val="left"/>
            </w:pPr>
            <w:r>
              <w:t>EN</w:t>
            </w:r>
          </w:p>
        </w:tc>
        <w:tc>
          <w:tcPr>
            <w:tcW w:type="dxa" w:w="2400"/>
            <w:tcMar>
              <w:top w:type="dxa" w:w="80"/>
              <w:left w:type="dxa" w:w="120"/>
              <w:bottom w:type="dxa" w:w="80"/>
              <w:right w:type="dxa" w:w="120"/>
            </w:tcMar>
          </w:tcPr>
          <w:p>
            <w:pPr>
              <w:jc w:val="center"/>
            </w:pPr>
            <w:r>
              <w:t>158.00</w:t>
            </w:r>
          </w:p>
        </w:tc>
        <w:tc>
          <w:tcPr>
            <w:tcW w:type="dxa" w:w="2400"/>
            <w:tcMar>
              <w:top w:type="dxa" w:w="80"/>
              <w:left w:type="dxa" w:w="120"/>
              <w:bottom w:type="dxa" w:w="80"/>
              <w:right w:type="dxa" w:w="120"/>
            </w:tcMar>
          </w:tcPr>
          <w:p>
            <w:pPr>
              <w:jc w:val="center"/>
            </w:pPr>
            <w:r>
              <w:t>8.37e-29</w:t>
            </w:r>
          </w:p>
        </w:tc>
        <w:tc>
          <w:tcPr>
            <w:tcW w:type="dxa" w:w="2760"/>
            <w:tcMar>
              <w:top w:type="dxa" w:w="80"/>
              <w:left w:type="dxa" w:w="120"/>
              <w:bottom w:type="dxa" w:w="80"/>
              <w:right w:type="dxa" w:w="120"/>
            </w:tcMar>
          </w:tcPr>
          <w:p>
            <w:pPr>
              <w:jc w:val="center"/>
            </w:pPr>
            <w:r>
              <w:t>Sí</w:t>
            </w:r>
          </w:p>
        </w:tc>
      </w:tr>
      <w:tr>
        <w:tc>
          <w:tcPr>
            <w:tcW w:type="dxa" w:w="1800"/>
            <w:shd w:fill="F4F7F6" w:color="auto" w:val="clear"/>
            <w:tcMar>
              <w:top w:type="dxa" w:w="80"/>
              <w:left w:type="dxa" w:w="120"/>
              <w:bottom w:type="dxa" w:w="80"/>
              <w:right w:type="dxa" w:w="120"/>
            </w:tcMar>
          </w:tcPr>
          <w:p>
            <w:pPr>
              <w:jc w:val="left"/>
            </w:pPr>
            <w:r>
              <w:t>SD</w:t>
            </w:r>
          </w:p>
        </w:tc>
        <w:tc>
          <w:tcPr>
            <w:tcW w:type="dxa" w:w="2400"/>
            <w:shd w:fill="F4F7F6" w:color="auto" w:val="clear"/>
            <w:tcMar>
              <w:top w:type="dxa" w:w="80"/>
              <w:left w:type="dxa" w:w="120"/>
              <w:bottom w:type="dxa" w:w="80"/>
              <w:right w:type="dxa" w:w="120"/>
            </w:tcMar>
          </w:tcPr>
          <w:p>
            <w:pPr>
              <w:jc w:val="center"/>
            </w:pPr>
            <w:r>
              <w:t>179.41</w:t>
            </w:r>
          </w:p>
        </w:tc>
        <w:tc>
          <w:tcPr>
            <w:tcW w:type="dxa" w:w="2400"/>
            <w:shd w:fill="F4F7F6" w:color="auto" w:val="clear"/>
            <w:tcMar>
              <w:top w:type="dxa" w:w="80"/>
              <w:left w:type="dxa" w:w="120"/>
              <w:bottom w:type="dxa" w:w="80"/>
              <w:right w:type="dxa" w:w="120"/>
            </w:tcMar>
          </w:tcPr>
          <w:p>
            <w:pPr>
              <w:jc w:val="center"/>
            </w:pPr>
            <w:r>
              <w:t>3.11e-33</w:t>
            </w:r>
          </w:p>
        </w:tc>
        <w:tc>
          <w:tcPr>
            <w:tcW w:type="dxa" w:w="2760"/>
            <w:shd w:fill="F4F7F6" w:color="auto" w:val="clear"/>
            <w:tcMar>
              <w:top w:type="dxa" w:w="80"/>
              <w:left w:type="dxa" w:w="120"/>
              <w:bottom w:type="dxa" w:w="80"/>
              <w:right w:type="dxa" w:w="120"/>
            </w:tcMar>
          </w:tcPr>
          <w:p>
            <w:pPr>
              <w:jc w:val="center"/>
            </w:pPr>
            <w:r>
              <w:t>Sí</w:t>
            </w:r>
          </w:p>
        </w:tc>
      </w:tr>
      <w:tr>
        <w:tc>
          <w:tcPr>
            <w:tcW w:type="dxa" w:w="1800"/>
            <w:tcMar>
              <w:top w:type="dxa" w:w="80"/>
              <w:left w:type="dxa" w:w="120"/>
              <w:bottom w:type="dxa" w:w="80"/>
              <w:right w:type="dxa" w:w="120"/>
            </w:tcMar>
          </w:tcPr>
          <w:p>
            <w:pPr>
              <w:jc w:val="left"/>
            </w:pPr>
            <w:r>
              <w:t>FE</w:t>
            </w:r>
          </w:p>
        </w:tc>
        <w:tc>
          <w:tcPr>
            <w:tcW w:type="dxa" w:w="2400"/>
            <w:tcMar>
              <w:top w:type="dxa" w:w="80"/>
              <w:left w:type="dxa" w:w="120"/>
              <w:bottom w:type="dxa" w:w="80"/>
              <w:right w:type="dxa" w:w="120"/>
            </w:tcMar>
          </w:tcPr>
          <w:p>
            <w:pPr>
              <w:jc w:val="center"/>
            </w:pPr>
            <w:r>
              <w:t>158.00</w:t>
            </w:r>
          </w:p>
        </w:tc>
        <w:tc>
          <w:tcPr>
            <w:tcW w:type="dxa" w:w="2400"/>
            <w:tcMar>
              <w:top w:type="dxa" w:w="80"/>
              <w:left w:type="dxa" w:w="120"/>
              <w:bottom w:type="dxa" w:w="80"/>
              <w:right w:type="dxa" w:w="120"/>
            </w:tcMar>
          </w:tcPr>
          <w:p>
            <w:pPr>
              <w:jc w:val="center"/>
            </w:pPr>
            <w:r>
              <w:t>8.37e-29</w:t>
            </w:r>
          </w:p>
        </w:tc>
        <w:tc>
          <w:tcPr>
            <w:tcW w:type="dxa" w:w="2760"/>
            <w:tcMar>
              <w:top w:type="dxa" w:w="80"/>
              <w:left w:type="dxa" w:w="120"/>
              <w:bottom w:type="dxa" w:w="80"/>
              <w:right w:type="dxa" w:w="120"/>
            </w:tcMar>
          </w:tcPr>
          <w:p>
            <w:pPr>
              <w:jc w:val="center"/>
            </w:pPr>
            <w:r>
              <w:t>Sí</w:t>
            </w:r>
          </w:p>
        </w:tc>
      </w:tr>
      <w:tr>
        <w:tc>
          <w:tcPr>
            <w:tcW w:type="dxa" w:w="1800"/>
            <w:shd w:fill="F4F7F6" w:color="auto" w:val="clear"/>
            <w:tcMar>
              <w:top w:type="dxa" w:w="80"/>
              <w:left w:type="dxa" w:w="120"/>
              <w:bottom w:type="dxa" w:w="80"/>
              <w:right w:type="dxa" w:w="120"/>
            </w:tcMar>
          </w:tcPr>
          <w:p>
            <w:pPr>
              <w:jc w:val="left"/>
            </w:pPr>
            <w:r>
              <w:t>MG</w:t>
            </w:r>
          </w:p>
        </w:tc>
        <w:tc>
          <w:tcPr>
            <w:tcW w:type="dxa" w:w="2400"/>
            <w:shd w:fill="F4F7F6" w:color="auto" w:val="clear"/>
            <w:tcMar>
              <w:top w:type="dxa" w:w="80"/>
              <w:left w:type="dxa" w:w="120"/>
              <w:bottom w:type="dxa" w:w="80"/>
              <w:right w:type="dxa" w:w="120"/>
            </w:tcMar>
          </w:tcPr>
          <w:p>
            <w:pPr>
              <w:jc w:val="center"/>
            </w:pPr>
            <w:r>
              <w:t>192.66</w:t>
            </w:r>
          </w:p>
        </w:tc>
        <w:tc>
          <w:tcPr>
            <w:tcW w:type="dxa" w:w="2400"/>
            <w:shd w:fill="F4F7F6" w:color="auto" w:val="clear"/>
            <w:tcMar>
              <w:top w:type="dxa" w:w="80"/>
              <w:left w:type="dxa" w:w="120"/>
              <w:bottom w:type="dxa" w:w="80"/>
              <w:right w:type="dxa" w:w="120"/>
            </w:tcMar>
          </w:tcPr>
          <w:p>
            <w:pPr>
              <w:jc w:val="center"/>
            </w:pPr>
            <w:r>
              <w:t>5.46e-36</w:t>
            </w:r>
          </w:p>
        </w:tc>
        <w:tc>
          <w:tcPr>
            <w:tcW w:type="dxa" w:w="2760"/>
            <w:shd w:fill="F4F7F6" w:color="auto" w:val="clear"/>
            <w:tcMar>
              <w:top w:type="dxa" w:w="80"/>
              <w:left w:type="dxa" w:w="120"/>
              <w:bottom w:type="dxa" w:w="80"/>
              <w:right w:type="dxa" w:w="120"/>
            </w:tcMar>
          </w:tcPr>
          <w:p>
            <w:pPr>
              <w:jc w:val="center"/>
            </w:pPr>
            <w:r>
              <w:t>Sí</w:t>
            </w:r>
          </w:p>
        </w:tc>
      </w:tr>
      <w:tr>
        <w:tc>
          <w:tcPr>
            <w:tcW w:type="dxa" w:w="1800"/>
            <w:tcMar>
              <w:top w:type="dxa" w:w="80"/>
              <w:left w:type="dxa" w:w="120"/>
              <w:bottom w:type="dxa" w:w="80"/>
              <w:right w:type="dxa" w:w="120"/>
            </w:tcMar>
          </w:tcPr>
          <w:p>
            <w:pPr>
              <w:jc w:val="left"/>
            </w:pPr>
            <w:r>
              <w:t>MI_vis</w:t>
            </w:r>
          </w:p>
        </w:tc>
        <w:tc>
          <w:tcPr>
            <w:tcW w:type="dxa" w:w="2400"/>
            <w:tcMar>
              <w:top w:type="dxa" w:w="80"/>
              <w:left w:type="dxa" w:w="120"/>
              <w:bottom w:type="dxa" w:w="80"/>
              <w:right w:type="dxa" w:w="120"/>
            </w:tcMar>
          </w:tcPr>
          <w:p>
            <w:pPr>
              <w:jc w:val="center"/>
            </w:pPr>
            <w:r>
              <w:t>159.67</w:t>
            </w:r>
          </w:p>
        </w:tc>
        <w:tc>
          <w:tcPr>
            <w:tcW w:type="dxa" w:w="2400"/>
            <w:tcMar>
              <w:top w:type="dxa" w:w="80"/>
              <w:left w:type="dxa" w:w="120"/>
              <w:bottom w:type="dxa" w:w="80"/>
              <w:right w:type="dxa" w:w="120"/>
            </w:tcMar>
          </w:tcPr>
          <w:p>
            <w:pPr>
              <w:jc w:val="center"/>
            </w:pPr>
            <w:r>
              <w:t>3.79e-29</w:t>
            </w:r>
          </w:p>
        </w:tc>
        <w:tc>
          <w:tcPr>
            <w:tcW w:type="dxa" w:w="2760"/>
            <w:tcMar>
              <w:top w:type="dxa" w:w="80"/>
              <w:left w:type="dxa" w:w="120"/>
              <w:bottom w:type="dxa" w:w="80"/>
              <w:right w:type="dxa" w:w="120"/>
            </w:tcMar>
          </w:tcPr>
          <w:p>
            <w:pPr>
              <w:jc w:val="center"/>
            </w:pPr>
            <w:r>
              <w:t>Sí</w:t>
            </w:r>
          </w:p>
        </w:tc>
      </w:tr>
      <w:tr>
        <w:tc>
          <w:tcPr>
            <w:tcW w:type="dxa" w:w="1800"/>
            <w:shd w:fill="F4F7F6" w:color="auto" w:val="clear"/>
            <w:tcMar>
              <w:top w:type="dxa" w:w="80"/>
              <w:left w:type="dxa" w:w="120"/>
              <w:bottom w:type="dxa" w:w="80"/>
              <w:right w:type="dxa" w:w="120"/>
            </w:tcMar>
          </w:tcPr>
          <w:p>
            <w:pPr>
              <w:jc w:val="left"/>
            </w:pPr>
            <w:r>
              <w:t>MI_ir</w:t>
            </w:r>
          </w:p>
        </w:tc>
        <w:tc>
          <w:tcPr>
            <w:tcW w:type="dxa" w:w="2400"/>
            <w:shd w:fill="F4F7F6" w:color="auto" w:val="clear"/>
            <w:tcMar>
              <w:top w:type="dxa" w:w="80"/>
              <w:left w:type="dxa" w:w="120"/>
              <w:bottom w:type="dxa" w:w="80"/>
              <w:right w:type="dxa" w:w="120"/>
            </w:tcMar>
          </w:tcPr>
          <w:p>
            <w:pPr>
              <w:jc w:val="center"/>
            </w:pPr>
            <w:r>
              <w:t>147.37</w:t>
            </w:r>
          </w:p>
        </w:tc>
        <w:tc>
          <w:tcPr>
            <w:tcW w:type="dxa" w:w="2400"/>
            <w:shd w:fill="F4F7F6" w:color="auto" w:val="clear"/>
            <w:tcMar>
              <w:top w:type="dxa" w:w="80"/>
              <w:left w:type="dxa" w:w="120"/>
              <w:bottom w:type="dxa" w:w="80"/>
              <w:right w:type="dxa" w:w="120"/>
            </w:tcMar>
          </w:tcPr>
          <w:p>
            <w:pPr>
              <w:jc w:val="center"/>
            </w:pPr>
            <w:r>
              <w:t>1.29e-26</w:t>
            </w:r>
          </w:p>
        </w:tc>
        <w:tc>
          <w:tcPr>
            <w:tcW w:type="dxa" w:w="2760"/>
            <w:shd w:fill="F4F7F6" w:color="auto" w:val="clear"/>
            <w:tcMar>
              <w:top w:type="dxa" w:w="80"/>
              <w:left w:type="dxa" w:w="120"/>
              <w:bottom w:type="dxa" w:w="80"/>
              <w:right w:type="dxa" w:w="120"/>
            </w:tcMar>
          </w:tcPr>
          <w:p>
            <w:pPr>
              <w:jc w:val="center"/>
            </w:pPr>
            <w:r>
              <w:t>Sí</w:t>
            </w:r>
          </w:p>
        </w:tc>
      </w:tr>
      <w:tr>
        <w:tc>
          <w:tcPr>
            <w:tcW w:type="dxa" w:w="1800"/>
          </w:tcPr>
          <w:p>
            <w:r>
              <w:t>SF</w:t>
            </w:r>
          </w:p>
        </w:tc>
        <w:tc>
          <w:tcPr>
            <w:tcW w:type="dxa" w:w="2400"/>
          </w:tcPr>
          <w:p>
            <w:r>
              <w:t>194.17</w:t>
            </w:r>
          </w:p>
        </w:tc>
        <w:tc>
          <w:tcPr>
            <w:tcW w:type="dxa" w:w="2400"/>
          </w:tcPr>
          <w:p>
            <w:r>
              <w:t>2.65e-36</w:t>
            </w:r>
          </w:p>
        </w:tc>
        <w:tc>
          <w:tcPr>
            <w:tcW w:type="dxa" w:w="2760"/>
          </w:tcPr>
          <w:p>
            <w:r>
              <w:t>Sí</w:t>
            </w:r>
          </w:p>
        </w:tc>
      </w:tr>
      <w:tr>
        <w:tc>
          <w:tcPr>
            <w:tcW w:type="dxa" w:w="1800"/>
          </w:tcPr>
          <w:p>
            <w:r>
              <w:t>Qabf</w:t>
            </w:r>
          </w:p>
        </w:tc>
        <w:tc>
          <w:tcPr>
            <w:tcW w:type="dxa" w:w="2400"/>
          </w:tcPr>
          <w:p>
            <w:r>
              <w:t>148.59</w:t>
            </w:r>
          </w:p>
        </w:tc>
        <w:tc>
          <w:tcPr>
            <w:tcW w:type="dxa" w:w="2400"/>
          </w:tcPr>
          <w:p>
            <w:r>
              <w:t>7.26e-27</w:t>
            </w:r>
          </w:p>
        </w:tc>
        <w:tc>
          <w:tcPr>
            <w:tcW w:type="dxa" w:w="2760"/>
          </w:tcPr>
          <w:p>
            <w:r>
              <w:t>Sí</w:t>
            </w:r>
          </w:p>
        </w:tc>
      </w:tr>
      <w:tr>
        <w:tc>
          <w:tcPr>
            <w:tcW w:type="dxa" w:w="1800"/>
          </w:tcPr>
          <w:p>
            <w:r>
              <w:t>Nabf</w:t>
            </w:r>
          </w:p>
        </w:tc>
        <w:tc>
          <w:tcPr>
            <w:tcW w:type="dxa" w:w="2400"/>
          </w:tcPr>
          <w:p>
            <w:r>
              <w:t>187.84</w:t>
            </w:r>
          </w:p>
        </w:tc>
        <w:tc>
          <w:tcPr>
            <w:tcW w:type="dxa" w:w="2400"/>
          </w:tcPr>
          <w:p>
            <w:r>
              <w:t>5.51e-35</w:t>
            </w:r>
          </w:p>
        </w:tc>
        <w:tc>
          <w:tcPr>
            <w:tcW w:type="dxa" w:w="2760"/>
          </w:tcPr>
          <w:p>
            <w:r>
              <w:t>Sí</w:t>
            </w:r>
          </w:p>
        </w:tc>
      </w:tr>
      <w:tr>
        <w:tc>
          <w:tcPr>
            <w:tcW w:type="dxa" w:w="1800"/>
          </w:tcPr>
          <w:p>
            <w:r>
              <w:t>SSIM</w:t>
            </w:r>
          </w:p>
        </w:tc>
        <w:tc>
          <w:tcPr>
            <w:tcW w:type="dxa" w:w="2400"/>
          </w:tcPr>
          <w:p>
            <w:r>
              <w:t>195.34</w:t>
            </w:r>
          </w:p>
        </w:tc>
        <w:tc>
          <w:tcPr>
            <w:tcW w:type="dxa" w:w="2400"/>
          </w:tcPr>
          <w:p>
            <w:r>
              <w:t>1.51e-36</w:t>
            </w:r>
          </w:p>
        </w:tc>
        <w:tc>
          <w:tcPr>
            <w:tcW w:type="dxa" w:w="2760"/>
          </w:tcPr>
          <w:p>
            <w:r>
              <w:t>Sí</w:t>
            </w:r>
          </w:p>
        </w:tc>
      </w:tr>
      <w:tr>
        <w:tc>
          <w:tcPr>
            <w:tcW w:type="dxa" w:w="1800"/>
          </w:tcPr>
          <w:p>
            <w:r>
              <w:t>SCD</w:t>
            </w:r>
          </w:p>
        </w:tc>
        <w:tc>
          <w:tcPr>
            <w:tcW w:type="dxa" w:w="2400"/>
          </w:tcPr>
          <w:p>
            <w:r>
              <w:t>97.32</w:t>
            </w:r>
          </w:p>
        </w:tc>
        <w:tc>
          <w:tcPr>
            <w:tcW w:type="dxa" w:w="2400"/>
          </w:tcPr>
          <w:p>
            <w:r>
              <w:t>1.87e-16</w:t>
            </w:r>
          </w:p>
        </w:tc>
        <w:tc>
          <w:tcPr>
            <w:tcW w:type="dxa" w:w="2760"/>
          </w:tcPr>
          <w:p>
            <w:r>
              <w:t>Sí</w:t>
            </w:r>
          </w:p>
        </w:tc>
      </w:tr>
      <w:tr>
        <w:tc>
          <w:tcPr>
            <w:tcW w:type="dxa" w:w="1800"/>
          </w:tcPr>
          <w:p>
            <w:r>
              <w:t>VIF</w:t>
            </w:r>
          </w:p>
        </w:tc>
        <w:tc>
          <w:tcPr>
            <w:tcW w:type="dxa" w:w="2400"/>
          </w:tcPr>
          <w:p>
            <w:r>
              <w:t>170.10</w:t>
            </w:r>
          </w:p>
        </w:tc>
        <w:tc>
          <w:tcPr>
            <w:tcW w:type="dxa" w:w="2400"/>
          </w:tcPr>
          <w:p>
            <w:r>
              <w:t>2.64e-31</w:t>
            </w:r>
          </w:p>
        </w:tc>
        <w:tc>
          <w:tcPr>
            <w:tcW w:type="dxa" w:w="2760"/>
          </w:tcPr>
          <w:p>
            <w:r>
              <w:t>Sí</w:t>
            </w:r>
          </w:p>
        </w:tc>
      </w:tr>
    </w:tbl>
    <w:p>
      <w:pPr>
        <w:pStyle w:val="Heading3"/>
        <w:spacing w:after="100" w:before="180"/>
      </w:pPr>
      <w:r>
        <w:rPr>
          <w:rFonts w:ascii="Arial" w:cs="Arial" w:eastAsia="Arial" w:hAnsi="Arial"/>
          <w:b/>
          <w:bCs/>
          <w:i/>
          <w:iCs/>
          <w:sz w:val="24"/>
          <w:szCs w:val="24"/>
        </w:rPr>
        <w:t xml:space="preserve">Comparaciones pareadas Wilcoxon</w:t>
      </w:r>
    </w:p>
    <w:p>
      <w:pPr>
        <w:spacing w:after="160" w:line="360"/>
        <w:jc w:val="both"/>
      </w:pPr>
      <w:r>
        <w:t>Para precisar dónde residen las diferencias se aplicó la prueba de Wilcoxon de rangos signados entre cada configuración Top-Hat (WTH y WTH+BTH) y cada baseline, sobre las doce métricas, con corrección de Holm y tamaño de efecto rank-biserial (288 contrastes; detalle en el Apéndice C). El hallazgo central es un reparto de fortalezas frente a la pirámide de Laplace: la mejor configuración Top-Hat WTH (disco, L = 5) supera a Laplace de forma significativa en SSIM (0,739 vs 0,721; p_Holm = 0,001; r = 1,00) y en SCD (1,430 vs 1,322; p_Holm = 0,019; r = 0,78); empata en Qabf (0,458 vs 0,442; diferencia no significativa) y en Nabf; y cede de forma significativa en SD (p_Holm = 0,009) y en VIF (p_Holm = 0,003). Es decir, la Torre Top-Hat preserva mejor la fidelidad estructural a las fuentes, mientras que Laplace produce mayor contraste y fidelidad perceptual. En las métricas de información mutua el promedio simple sigue siendo el más fuerte por el sesgo aritmético ya señalado.</w:t>
      </w:r>
    </w:p>
    <w:p>
      <w:pPr>
        <w:pStyle w:val="Heading3"/>
        <w:spacing w:after="100" w:before="180"/>
      </w:pPr>
      <w:r>
        <w:rPr>
          <w:rFonts w:ascii="Arial" w:cs="Arial" w:eastAsia="Arial" w:hAnsi="Arial"/>
          <w:b/>
          <w:bCs/>
          <w:i/>
          <w:iCs/>
          <w:sz w:val="24"/>
          <w:szCs w:val="24"/>
        </w:rPr>
        <w:t xml:space="preserve">Ranking promedio</w:t>
      </w:r>
    </w:p>
    <w:p>
      <w:pPr>
        <w:spacing w:after="160" w:line="360"/>
        <w:jc w:val="both"/>
      </w:pPr>
      <w:r>
        <w:t>La Tabla 5 muestra el ranking promedio de cada método (1 = mejor) en seis métricas clave y el ranking global obtenido al promediar las doce métricas, respetando la dirección de cada una. La pirámide de Laplace mantiene el primer lugar global (4,42), pero la mejor configuración Top-Hat WTH (disco L = 5) queda muy próxima en segundo lugar (5,00), seguida por disco L = 3 (5,25) y cuadrado L = 3 (5,42). Las cuatro variantes +BTH se ubican por debajo de sus contrapartes WTH (6,00 a 6,83), penalizadas por los artefactos. Notablemente, Curvelet cae al último lugar junto al promedio (7,08): al penalizar los artefactos (Nabf), su aparente competitividad bajo las métricas clásicas de actividad se desvanece. La brecha entre Laplace y la mejor Top-Hat se reduce respecto al análisis con sólo seis métricas y, sobre todo, cambia de naturaleza: ya no es una derrota en todos los frentes sino un equilibrio de fortalezas complementarias.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1010"/>
        <w:gridCol w:w="1010"/>
        <w:gridCol w:w="1010"/>
        <w:gridCol w:w="1010"/>
        <w:gridCol w:w="1010"/>
        <w:gridCol w:w="1010"/>
        <w:gridCol w:w="1000"/>
      </w:tblGrid>
      <w:tr>
        <w:trPr>
          <w:tblHeader/>
        </w:trPr>
        <w:tc>
          <w:tcPr>
            <w:tcW w:type="dxa" w:w="2300"/>
            <w:shd w:fill="D5E8F0" w:color="auto" w:val="clear"/>
            <w:tcMar>
              <w:top w:type="dxa" w:w="80"/>
              <w:left w:type="dxa" w:w="120"/>
              <w:bottom w:type="dxa" w:w="80"/>
              <w:right w:type="dxa" w:w="120"/>
            </w:tcMar>
          </w:tcPr>
          <w:p>
            <w:pPr>
              <w:jc w:val="center"/>
            </w:pPr>
            <w:r>
              <w:rPr>
                <w:b/>
              </w:rPr>
              <w:t>Método</w:t>
            </w:r>
          </w:p>
        </w:tc>
        <w:tc>
          <w:tcPr>
            <w:tcW w:type="dxa" w:w="1010"/>
            <w:shd w:fill="D5E8F0" w:color="auto" w:val="clear"/>
            <w:tcMar>
              <w:top w:type="dxa" w:w="80"/>
              <w:left w:type="dxa" w:w="120"/>
              <w:bottom w:type="dxa" w:w="80"/>
              <w:right w:type="dxa" w:w="120"/>
            </w:tcMar>
          </w:tcPr>
          <w:p>
            <w:pPr>
              <w:jc w:val="center"/>
            </w:pPr>
            <w:r>
              <w:rPr>
                <w:b/>
              </w:rPr>
              <w:t>SD</w:t>
            </w:r>
          </w:p>
        </w:tc>
        <w:tc>
          <w:tcPr>
            <w:tcW w:type="dxa" w:w="1010"/>
            <w:shd w:fill="D5E8F0" w:color="auto" w:val="clear"/>
            <w:tcMar>
              <w:top w:type="dxa" w:w="80"/>
              <w:left w:type="dxa" w:w="120"/>
              <w:bottom w:type="dxa" w:w="80"/>
              <w:right w:type="dxa" w:w="120"/>
            </w:tcMar>
          </w:tcPr>
          <w:p>
            <w:pPr>
              <w:jc w:val="center"/>
            </w:pPr>
            <w:r>
              <w:rPr>
                <w:b/>
              </w:rPr>
              <w:t>MG</w:t>
            </w:r>
          </w:p>
        </w:tc>
        <w:tc>
          <w:tcPr>
            <w:tcW w:type="dxa" w:w="1010"/>
            <w:shd w:fill="D5E8F0" w:color="auto" w:val="clear"/>
            <w:tcMar>
              <w:top w:type="dxa" w:w="80"/>
              <w:left w:type="dxa" w:w="120"/>
              <w:bottom w:type="dxa" w:w="80"/>
              <w:right w:type="dxa" w:w="120"/>
            </w:tcMar>
          </w:tcPr>
          <w:p>
            <w:pPr>
              <w:jc w:val="center"/>
            </w:pPr>
            <w:r>
              <w:rPr>
                <w:b/>
              </w:rPr>
              <w:t>Qabf</w:t>
            </w:r>
          </w:p>
        </w:tc>
        <w:tc>
          <w:tcPr>
            <w:tcW w:type="dxa" w:w="1010"/>
            <w:shd w:fill="D5E8F0" w:color="auto" w:val="clear"/>
            <w:tcMar>
              <w:top w:type="dxa" w:w="80"/>
              <w:left w:type="dxa" w:w="120"/>
              <w:bottom w:type="dxa" w:w="80"/>
              <w:right w:type="dxa" w:w="120"/>
            </w:tcMar>
          </w:tcPr>
          <w:p>
            <w:pPr>
              <w:jc w:val="center"/>
            </w:pPr>
            <w:r>
              <w:rPr>
                <w:b/>
              </w:rPr>
              <w:t>Nabf</w:t>
            </w:r>
          </w:p>
        </w:tc>
        <w:tc>
          <w:tcPr>
            <w:tcW w:type="dxa" w:w="1010"/>
            <w:shd w:fill="D5E8F0" w:color="auto" w:val="clear"/>
            <w:tcMar>
              <w:top w:type="dxa" w:w="80"/>
              <w:left w:type="dxa" w:w="120"/>
              <w:bottom w:type="dxa" w:w="80"/>
              <w:right w:type="dxa" w:w="120"/>
            </w:tcMar>
          </w:tcPr>
          <w:p>
            <w:pPr>
              <w:jc w:val="center"/>
            </w:pPr>
            <w:r>
              <w:rPr>
                <w:b/>
              </w:rPr>
              <w:t>SSIM</w:t>
            </w:r>
          </w:p>
        </w:tc>
        <w:tc>
          <w:tcPr>
            <w:tcW w:type="dxa" w:w="1010"/>
            <w:shd w:fill="D5E8F0" w:color="auto" w:val="clear"/>
            <w:tcMar>
              <w:top w:type="dxa" w:w="80"/>
              <w:left w:type="dxa" w:w="120"/>
              <w:bottom w:type="dxa" w:w="80"/>
              <w:right w:type="dxa" w:w="120"/>
            </w:tcMar>
          </w:tcPr>
          <w:p>
            <w:pPr>
              <w:jc w:val="center"/>
            </w:pPr>
            <w:r>
              <w:rPr>
                <w:b/>
              </w:rPr>
              <w:t>VIF</w:t>
            </w:r>
          </w:p>
        </w:tc>
        <w:tc>
          <w:tcPr>
            <w:tcW w:type="dxa" w:w="1000"/>
            <w:shd w:fill="D5E8F0" w:color="auto" w:val="clear"/>
            <w:tcMar>
              <w:top w:type="dxa" w:w="80"/>
              <w:left w:type="dxa" w:w="120"/>
              <w:bottom w:type="dxa" w:w="80"/>
              <w:right w:type="dxa" w:w="120"/>
            </w:tcMar>
          </w:tcPr>
          <w:p>
            <w:pPr>
              <w:jc w:val="center"/>
            </w:pPr>
            <w:r>
              <w:rPr>
                <w:b/>
              </w:rPr>
              <w:t>Global</w:t>
            </w:r>
          </w:p>
        </w:tc>
      </w:tr>
      <w:tr>
        <w:tc>
          <w:tcPr>
            <w:tcW w:type="dxa" w:w="2300"/>
            <w:tcMar>
              <w:top w:type="dxa" w:w="80"/>
              <w:left w:type="dxa" w:w="120"/>
              <w:bottom w:type="dxa" w:w="80"/>
              <w:right w:type="dxa" w:w="120"/>
            </w:tcMar>
          </w:tcPr>
          <w:p>
            <w:pPr>
              <w:jc w:val="left"/>
            </w:pPr>
            <w:r>
              <w:t>Pirámide Laplace</w:t>
            </w:r>
          </w:p>
        </w:tc>
        <w:tc>
          <w:tcPr>
            <w:tcW w:type="dxa" w:w="1010"/>
            <w:tcMar>
              <w:top w:type="dxa" w:w="80"/>
              <w:left w:type="dxa" w:w="120"/>
              <w:bottom w:type="dxa" w:w="80"/>
              <w:right w:type="dxa" w:w="120"/>
            </w:tcMar>
          </w:tcPr>
          <w:p>
            <w:pPr>
              <w:jc w:val="center"/>
            </w:pPr>
            <w:r>
              <w:t>2.00</w:t>
            </w:r>
          </w:p>
        </w:tc>
        <w:tc>
          <w:tcPr>
            <w:tcW w:type="dxa" w:w="1010"/>
            <w:tcMar>
              <w:top w:type="dxa" w:w="80"/>
              <w:left w:type="dxa" w:w="120"/>
              <w:bottom w:type="dxa" w:w="80"/>
              <w:right w:type="dxa" w:w="120"/>
            </w:tcMar>
          </w:tcPr>
          <w:p>
            <w:pPr>
              <w:jc w:val="center"/>
            </w:pPr>
            <w:r>
              <w:t>6.00</w:t>
            </w:r>
          </w:p>
        </w:tc>
        <w:tc>
          <w:tcPr>
            <w:tcW w:type="dxa" w:w="1010"/>
            <w:tcMar>
              <w:top w:type="dxa" w:w="80"/>
              <w:left w:type="dxa" w:w="120"/>
              <w:bottom w:type="dxa" w:w="80"/>
              <w:right w:type="dxa" w:w="120"/>
            </w:tcMar>
          </w:tcPr>
          <w:p>
            <w:pPr>
              <w:jc w:val="center"/>
            </w:pPr>
            <w:r>
              <w:t>5.00</w:t>
            </w:r>
          </w:p>
        </w:tc>
        <w:tc>
          <w:tcPr>
            <w:tcW w:type="dxa" w:w="1010"/>
            <w:tcMar>
              <w:top w:type="dxa" w:w="80"/>
              <w:left w:type="dxa" w:w="120"/>
              <w:bottom w:type="dxa" w:w="80"/>
              <w:right w:type="dxa" w:w="120"/>
            </w:tcMar>
          </w:tcPr>
          <w:p>
            <w:pPr>
              <w:jc w:val="center"/>
            </w:pPr>
            <w:r>
              <w:t>5.00</w:t>
            </w:r>
          </w:p>
        </w:tc>
        <w:tc>
          <w:tcPr>
            <w:tcW w:type="dxa" w:w="1010"/>
            <w:tcMar>
              <w:top w:type="dxa" w:w="80"/>
              <w:left w:type="dxa" w:w="120"/>
              <w:bottom w:type="dxa" w:w="80"/>
              <w:right w:type="dxa" w:w="120"/>
            </w:tcMar>
          </w:tcPr>
          <w:p>
            <w:pPr>
              <w:jc w:val="center"/>
            </w:pPr>
            <w:r>
              <w:t>7.00</w:t>
            </w:r>
          </w:p>
        </w:tc>
        <w:tc>
          <w:tcPr>
            <w:tcW w:type="dxa" w:w="1010"/>
            <w:tcMar>
              <w:top w:type="dxa" w:w="80"/>
              <w:left w:type="dxa" w:w="120"/>
              <w:bottom w:type="dxa" w:w="80"/>
              <w:right w:type="dxa" w:w="120"/>
            </w:tcMar>
          </w:tcPr>
          <w:p>
            <w:pPr>
              <w:jc w:val="center"/>
            </w:pPr>
            <w:r>
              <w:t>1.00</w:t>
            </w:r>
          </w:p>
        </w:tc>
        <w:tc>
          <w:tcPr>
            <w:tcW w:type="dxa" w:w="1000"/>
            <w:tcMar>
              <w:top w:type="dxa" w:w="80"/>
              <w:left w:type="dxa" w:w="120"/>
              <w:bottom w:type="dxa" w:w="80"/>
              <w:right w:type="dxa" w:w="120"/>
            </w:tcMar>
          </w:tcPr>
          <w:p>
            <w:pPr>
              <w:jc w:val="center"/>
            </w:pPr>
            <w:r>
              <w:t>4.42</w:t>
            </w:r>
          </w:p>
        </w:tc>
      </w:tr>
      <w:tr>
        <w:tc>
          <w:tcPr>
            <w:tcW w:type="dxa" w:w="2300"/>
            <w:shd w:fill="F4F7F6" w:color="auto" w:val="clear"/>
            <w:tcMar>
              <w:top w:type="dxa" w:w="80"/>
              <w:left w:type="dxa" w:w="120"/>
              <w:bottom w:type="dxa" w:w="80"/>
              <w:right w:type="dxa" w:w="120"/>
            </w:tcMar>
          </w:tcPr>
          <w:p>
            <w:pPr>
              <w:jc w:val="left"/>
            </w:pPr>
            <w:r>
              <w:t>Top-Hat disco L5 (WTH)</w:t>
            </w:r>
          </w:p>
        </w:tc>
        <w:tc>
          <w:tcPr>
            <w:tcW w:type="dxa" w:w="1010"/>
            <w:shd w:fill="F4F7F6" w:color="auto" w:val="clear"/>
            <w:tcMar>
              <w:top w:type="dxa" w:w="80"/>
              <w:left w:type="dxa" w:w="120"/>
              <w:bottom w:type="dxa" w:w="80"/>
              <w:right w:type="dxa" w:w="120"/>
            </w:tcMar>
          </w:tcPr>
          <w:p>
            <w:pPr>
              <w:jc w:val="center"/>
            </w:pPr>
            <w:r>
              <w:t>6.00</w:t>
            </w:r>
          </w:p>
        </w:tc>
        <w:tc>
          <w:tcPr>
            <w:tcW w:type="dxa" w:w="1010"/>
            <w:shd w:fill="F4F7F6" w:color="auto" w:val="clear"/>
            <w:tcMar>
              <w:top w:type="dxa" w:w="80"/>
              <w:left w:type="dxa" w:w="120"/>
              <w:bottom w:type="dxa" w:w="80"/>
              <w:right w:type="dxa" w:w="120"/>
            </w:tcMar>
          </w:tcPr>
          <w:p>
            <w:pPr>
              <w:jc w:val="center"/>
            </w:pPr>
            <w:r>
              <w:t>7.00</w:t>
            </w:r>
          </w:p>
        </w:tc>
        <w:tc>
          <w:tcPr>
            <w:tcW w:type="dxa" w:w="1010"/>
            <w:shd w:fill="F4F7F6" w:color="auto" w:val="clear"/>
            <w:tcMar>
              <w:top w:type="dxa" w:w="80"/>
              <w:left w:type="dxa" w:w="120"/>
              <w:bottom w:type="dxa" w:w="80"/>
              <w:right w:type="dxa" w:w="120"/>
            </w:tcMar>
          </w:tcPr>
          <w:p>
            <w:pPr>
              <w:jc w:val="center"/>
            </w:pPr>
            <w:r>
              <w:t>2.00</w:t>
            </w:r>
          </w:p>
        </w:tc>
        <w:tc>
          <w:tcPr>
            <w:tcW w:type="dxa" w:w="1010"/>
            <w:shd w:fill="F4F7F6" w:color="auto" w:val="clear"/>
            <w:tcMar>
              <w:top w:type="dxa" w:w="80"/>
              <w:left w:type="dxa" w:w="120"/>
              <w:bottom w:type="dxa" w:w="80"/>
              <w:right w:type="dxa" w:w="120"/>
            </w:tcMar>
          </w:tcPr>
          <w:p>
            <w:pPr>
              <w:jc w:val="center"/>
            </w:pPr>
            <w:r>
              <w:t>6.00</w:t>
            </w:r>
          </w:p>
        </w:tc>
        <w:tc>
          <w:tcPr>
            <w:tcW w:type="dxa" w:w="1010"/>
            <w:shd w:fill="F4F7F6" w:color="auto" w:val="clear"/>
            <w:tcMar>
              <w:top w:type="dxa" w:w="80"/>
              <w:left w:type="dxa" w:w="120"/>
              <w:bottom w:type="dxa" w:w="80"/>
              <w:right w:type="dxa" w:w="120"/>
            </w:tcMar>
          </w:tcPr>
          <w:p>
            <w:pPr>
              <w:jc w:val="center"/>
            </w:pPr>
            <w:r>
              <w:t>5.00</w:t>
            </w:r>
          </w:p>
        </w:tc>
        <w:tc>
          <w:tcPr>
            <w:tcW w:type="dxa" w:w="1010"/>
            <w:shd w:fill="F4F7F6" w:color="auto" w:val="clear"/>
            <w:tcMar>
              <w:top w:type="dxa" w:w="80"/>
              <w:left w:type="dxa" w:w="120"/>
              <w:bottom w:type="dxa" w:w="80"/>
              <w:right w:type="dxa" w:w="120"/>
            </w:tcMar>
          </w:tcPr>
          <w:p>
            <w:pPr>
              <w:jc w:val="center"/>
            </w:pPr>
            <w:r>
              <w:t>2.00</w:t>
            </w:r>
          </w:p>
        </w:tc>
        <w:tc>
          <w:tcPr>
            <w:tcW w:type="dxa" w:w="1000"/>
            <w:shd w:fill="F4F7F6" w:color="auto" w:val="clear"/>
            <w:tcMar>
              <w:top w:type="dxa" w:w="80"/>
              <w:left w:type="dxa" w:w="120"/>
              <w:bottom w:type="dxa" w:w="80"/>
              <w:right w:type="dxa" w:w="120"/>
            </w:tcMar>
          </w:tcPr>
          <w:p>
            <w:pPr>
              <w:jc w:val="center"/>
            </w:pPr>
            <w:r>
              <w:t>5.00</w:t>
            </w:r>
          </w:p>
        </w:tc>
      </w:tr>
      <w:tr>
        <w:tc>
          <w:tcPr>
            <w:tcW w:type="dxa" w:w="2300"/>
            <w:tcMar>
              <w:top w:type="dxa" w:w="80"/>
              <w:left w:type="dxa" w:w="120"/>
              <w:bottom w:type="dxa" w:w="80"/>
              <w:right w:type="dxa" w:w="120"/>
            </w:tcMar>
          </w:tcPr>
          <w:p>
            <w:pPr>
              <w:jc w:val="left"/>
            </w:pPr>
            <w:r>
              <w:t>Top-Hat disco L3 (WTH)</w:t>
            </w:r>
          </w:p>
        </w:tc>
        <w:tc>
          <w:tcPr>
            <w:tcW w:type="dxa" w:w="1010"/>
            <w:tcMar>
              <w:top w:type="dxa" w:w="80"/>
              <w:left w:type="dxa" w:w="120"/>
              <w:bottom w:type="dxa" w:w="80"/>
              <w:right w:type="dxa" w:w="120"/>
            </w:tcMar>
          </w:tcPr>
          <w:p>
            <w:pPr>
              <w:jc w:val="center"/>
            </w:pPr>
            <w:r>
              <w:t>8.00</w:t>
            </w:r>
          </w:p>
        </w:tc>
        <w:tc>
          <w:tcPr>
            <w:tcW w:type="dxa" w:w="1010"/>
            <w:tcMar>
              <w:top w:type="dxa" w:w="80"/>
              <w:left w:type="dxa" w:w="120"/>
              <w:bottom w:type="dxa" w:w="80"/>
              <w:right w:type="dxa" w:w="120"/>
            </w:tcMar>
          </w:tcPr>
          <w:p>
            <w:pPr>
              <w:jc w:val="center"/>
            </w:pPr>
            <w:r>
              <w:t>9.00</w:t>
            </w:r>
          </w:p>
        </w:tc>
        <w:tc>
          <w:tcPr>
            <w:tcW w:type="dxa" w:w="1010"/>
            <w:tcMar>
              <w:top w:type="dxa" w:w="80"/>
              <w:left w:type="dxa" w:w="120"/>
              <w:bottom w:type="dxa" w:w="80"/>
              <w:right w:type="dxa" w:w="120"/>
            </w:tcMar>
          </w:tcPr>
          <w:p>
            <w:pPr>
              <w:jc w:val="center"/>
            </w:pPr>
            <w:r>
              <w:t>3.00</w:t>
            </w:r>
          </w:p>
        </w:tc>
        <w:tc>
          <w:tcPr>
            <w:tcW w:type="dxa" w:w="1010"/>
            <w:tcMar>
              <w:top w:type="dxa" w:w="80"/>
              <w:left w:type="dxa" w:w="120"/>
              <w:bottom w:type="dxa" w:w="80"/>
              <w:right w:type="dxa" w:w="120"/>
            </w:tcMar>
          </w:tcPr>
          <w:p>
            <w:pPr>
              <w:jc w:val="center"/>
            </w:pPr>
            <w:r>
              <w:t>2.00</w:t>
            </w:r>
          </w:p>
        </w:tc>
        <w:tc>
          <w:tcPr>
            <w:tcW w:type="dxa" w:w="1010"/>
            <w:tcMar>
              <w:top w:type="dxa" w:w="80"/>
              <w:left w:type="dxa" w:w="120"/>
              <w:bottom w:type="dxa" w:w="80"/>
              <w:right w:type="dxa" w:w="120"/>
            </w:tcMar>
          </w:tcPr>
          <w:p>
            <w:pPr>
              <w:jc w:val="center"/>
            </w:pPr>
            <w:r>
              <w:t>3.00</w:t>
            </w:r>
          </w:p>
        </w:tc>
        <w:tc>
          <w:tcPr>
            <w:tcW w:type="dxa" w:w="1010"/>
            <w:tcMar>
              <w:top w:type="dxa" w:w="80"/>
              <w:left w:type="dxa" w:w="120"/>
              <w:bottom w:type="dxa" w:w="80"/>
              <w:right w:type="dxa" w:w="120"/>
            </w:tcMar>
          </w:tcPr>
          <w:p>
            <w:pPr>
              <w:jc w:val="center"/>
            </w:pPr>
            <w:r>
              <w:t>4.00</w:t>
            </w:r>
          </w:p>
        </w:tc>
        <w:tc>
          <w:tcPr>
            <w:tcW w:type="dxa" w:w="1000"/>
            <w:tcMar>
              <w:top w:type="dxa" w:w="80"/>
              <w:left w:type="dxa" w:w="120"/>
              <w:bottom w:type="dxa" w:w="80"/>
              <w:right w:type="dxa" w:w="120"/>
            </w:tcMar>
          </w:tcPr>
          <w:p>
            <w:pPr>
              <w:jc w:val="center"/>
            </w:pPr>
            <w:r>
              <w:t>5.25</w:t>
            </w:r>
          </w:p>
        </w:tc>
      </w:tr>
      <w:tr>
        <w:tc>
          <w:tcPr>
            <w:tcW w:type="dxa" w:w="2300"/>
            <w:shd w:fill="F4F7F6" w:color="auto" w:val="clear"/>
            <w:tcMar>
              <w:top w:type="dxa" w:w="80"/>
              <w:left w:type="dxa" w:w="120"/>
              <w:bottom w:type="dxa" w:w="80"/>
              <w:right w:type="dxa" w:w="120"/>
            </w:tcMar>
          </w:tcPr>
          <w:p>
            <w:pPr>
              <w:jc w:val="left"/>
            </w:pPr>
            <w:r>
              <w:t>Top-Hat cuadrado L3 (WTH)</w:t>
            </w:r>
          </w:p>
        </w:tc>
        <w:tc>
          <w:tcPr>
            <w:tcW w:type="dxa" w:w="1010"/>
            <w:shd w:fill="F4F7F6" w:color="auto" w:val="clear"/>
            <w:tcMar>
              <w:top w:type="dxa" w:w="80"/>
              <w:left w:type="dxa" w:w="120"/>
              <w:bottom w:type="dxa" w:w="80"/>
              <w:right w:type="dxa" w:w="120"/>
            </w:tcMar>
          </w:tcPr>
          <w:p>
            <w:pPr>
              <w:jc w:val="center"/>
            </w:pPr>
            <w:r>
              <w:t>7.00</w:t>
            </w:r>
          </w:p>
        </w:tc>
        <w:tc>
          <w:tcPr>
            <w:tcW w:type="dxa" w:w="1010"/>
            <w:shd w:fill="F4F7F6" w:color="auto" w:val="clear"/>
            <w:tcMar>
              <w:top w:type="dxa" w:w="80"/>
              <w:left w:type="dxa" w:w="120"/>
              <w:bottom w:type="dxa" w:w="80"/>
              <w:right w:type="dxa" w:w="120"/>
            </w:tcMar>
          </w:tcPr>
          <w:p>
            <w:pPr>
              <w:jc w:val="center"/>
            </w:pPr>
            <w:r>
              <w:t>8.00</w:t>
            </w:r>
          </w:p>
        </w:tc>
        <w:tc>
          <w:tcPr>
            <w:tcW w:type="dxa" w:w="1010"/>
            <w:shd w:fill="F4F7F6" w:color="auto" w:val="clear"/>
            <w:tcMar>
              <w:top w:type="dxa" w:w="80"/>
              <w:left w:type="dxa" w:w="120"/>
              <w:bottom w:type="dxa" w:w="80"/>
              <w:right w:type="dxa" w:w="120"/>
            </w:tcMar>
          </w:tcPr>
          <w:p>
            <w:pPr>
              <w:jc w:val="center"/>
            </w:pPr>
            <w:r>
              <w:t>6.00</w:t>
            </w:r>
          </w:p>
        </w:tc>
        <w:tc>
          <w:tcPr>
            <w:tcW w:type="dxa" w:w="1010"/>
            <w:shd w:fill="F4F7F6" w:color="auto" w:val="clear"/>
            <w:tcMar>
              <w:top w:type="dxa" w:w="80"/>
              <w:left w:type="dxa" w:w="120"/>
              <w:bottom w:type="dxa" w:w="80"/>
              <w:right w:type="dxa" w:w="120"/>
            </w:tcMar>
          </w:tcPr>
          <w:p>
            <w:pPr>
              <w:jc w:val="center"/>
            </w:pPr>
            <w:r>
              <w:t>3.00</w:t>
            </w:r>
          </w:p>
        </w:tc>
        <w:tc>
          <w:tcPr>
            <w:tcW w:type="dxa" w:w="1010"/>
            <w:shd w:fill="F4F7F6" w:color="auto" w:val="clear"/>
            <w:tcMar>
              <w:top w:type="dxa" w:w="80"/>
              <w:left w:type="dxa" w:w="120"/>
              <w:bottom w:type="dxa" w:w="80"/>
              <w:right w:type="dxa" w:w="120"/>
            </w:tcMar>
          </w:tcPr>
          <w:p>
            <w:pPr>
              <w:jc w:val="center"/>
            </w:pPr>
            <w:r>
              <w:t>4.00</w:t>
            </w:r>
          </w:p>
        </w:tc>
        <w:tc>
          <w:tcPr>
            <w:tcW w:type="dxa" w:w="1010"/>
            <w:shd w:fill="F4F7F6" w:color="auto" w:val="clear"/>
            <w:tcMar>
              <w:top w:type="dxa" w:w="80"/>
              <w:left w:type="dxa" w:w="120"/>
              <w:bottom w:type="dxa" w:w="80"/>
              <w:right w:type="dxa" w:w="120"/>
            </w:tcMar>
          </w:tcPr>
          <w:p>
            <w:pPr>
              <w:jc w:val="center"/>
            </w:pPr>
            <w:r>
              <w:t>3.00</w:t>
            </w:r>
          </w:p>
        </w:tc>
        <w:tc>
          <w:tcPr>
            <w:tcW w:type="dxa" w:w="1000"/>
            <w:shd w:fill="F4F7F6" w:color="auto" w:val="clear"/>
            <w:tcMar>
              <w:top w:type="dxa" w:w="80"/>
              <w:left w:type="dxa" w:w="120"/>
              <w:bottom w:type="dxa" w:w="80"/>
              <w:right w:type="dxa" w:w="120"/>
            </w:tcMar>
          </w:tcPr>
          <w:p>
            <w:pPr>
              <w:jc w:val="center"/>
            </w:pPr>
            <w:r>
              <w:t>5.42</w:t>
            </w:r>
          </w:p>
        </w:tc>
      </w:tr>
      <w:tr>
        <w:tc>
          <w:tcPr>
            <w:tcW w:type="dxa" w:w="2300"/>
            <w:tcMar>
              <w:top w:type="dxa" w:w="80"/>
              <w:left w:type="dxa" w:w="120"/>
              <w:bottom w:type="dxa" w:w="80"/>
              <w:right w:type="dxa" w:w="120"/>
            </w:tcMar>
          </w:tcPr>
          <w:p>
            <w:pPr>
              <w:jc w:val="left"/>
            </w:pPr>
            <w:r>
              <w:t>Top-Hat cuadrado L3 +BTH</w:t>
            </w:r>
          </w:p>
        </w:tc>
        <w:tc>
          <w:tcPr>
            <w:tcW w:type="dxa" w:w="1010"/>
            <w:tcMar>
              <w:top w:type="dxa" w:w="80"/>
              <w:left w:type="dxa" w:w="120"/>
              <w:bottom w:type="dxa" w:w="80"/>
              <w:right w:type="dxa" w:w="120"/>
            </w:tcMar>
          </w:tcPr>
          <w:p>
            <w:pPr>
              <w:jc w:val="center"/>
            </w:pPr>
            <w:r>
              <w:t>3.00</w:t>
            </w:r>
          </w:p>
        </w:tc>
        <w:tc>
          <w:tcPr>
            <w:tcW w:type="dxa" w:w="1010"/>
            <w:tcMar>
              <w:top w:type="dxa" w:w="80"/>
              <w:left w:type="dxa" w:w="120"/>
              <w:bottom w:type="dxa" w:w="80"/>
              <w:right w:type="dxa" w:w="120"/>
            </w:tcMar>
          </w:tcPr>
          <w:p>
            <w:pPr>
              <w:jc w:val="center"/>
            </w:pPr>
            <w:r>
              <w:t>4.00</w:t>
            </w:r>
          </w:p>
        </w:tc>
        <w:tc>
          <w:tcPr>
            <w:tcW w:type="dxa" w:w="1010"/>
            <w:tcMar>
              <w:top w:type="dxa" w:w="80"/>
              <w:left w:type="dxa" w:w="120"/>
              <w:bottom w:type="dxa" w:w="80"/>
              <w:right w:type="dxa" w:w="120"/>
            </w:tcMar>
          </w:tcPr>
          <w:p>
            <w:pPr>
              <w:jc w:val="center"/>
            </w:pPr>
            <w:r>
              <w:t>7.00</w:t>
            </w:r>
          </w:p>
        </w:tc>
        <w:tc>
          <w:tcPr>
            <w:tcW w:type="dxa" w:w="1010"/>
            <w:tcMar>
              <w:top w:type="dxa" w:w="80"/>
              <w:left w:type="dxa" w:w="120"/>
              <w:bottom w:type="dxa" w:w="80"/>
              <w:right w:type="dxa" w:w="120"/>
            </w:tcMar>
          </w:tcPr>
          <w:p>
            <w:pPr>
              <w:jc w:val="center"/>
            </w:pPr>
            <w:r>
              <w:t>8.00</w:t>
            </w:r>
          </w:p>
        </w:tc>
        <w:tc>
          <w:tcPr>
            <w:tcW w:type="dxa" w:w="1010"/>
            <w:tcMar>
              <w:top w:type="dxa" w:w="80"/>
              <w:left w:type="dxa" w:w="120"/>
              <w:bottom w:type="dxa" w:w="80"/>
              <w:right w:type="dxa" w:w="120"/>
            </w:tcMar>
          </w:tcPr>
          <w:p>
            <w:pPr>
              <w:jc w:val="center"/>
            </w:pPr>
            <w:r>
              <w:t>9.00</w:t>
            </w:r>
          </w:p>
        </w:tc>
        <w:tc>
          <w:tcPr>
            <w:tcW w:type="dxa" w:w="1010"/>
            <w:tcMar>
              <w:top w:type="dxa" w:w="80"/>
              <w:left w:type="dxa" w:w="120"/>
              <w:bottom w:type="dxa" w:w="80"/>
              <w:right w:type="dxa" w:w="120"/>
            </w:tcMar>
          </w:tcPr>
          <w:p>
            <w:pPr>
              <w:jc w:val="center"/>
            </w:pPr>
            <w:r>
              <w:t>7.00</w:t>
            </w:r>
          </w:p>
        </w:tc>
        <w:tc>
          <w:tcPr>
            <w:tcW w:type="dxa" w:w="1000"/>
            <w:tcMar>
              <w:top w:type="dxa" w:w="80"/>
              <w:left w:type="dxa" w:w="120"/>
              <w:bottom w:type="dxa" w:w="80"/>
              <w:right w:type="dxa" w:w="120"/>
            </w:tcMar>
          </w:tcPr>
          <w:p>
            <w:pPr>
              <w:jc w:val="center"/>
            </w:pPr>
            <w:r>
              <w:t>6.00</w:t>
            </w:r>
          </w:p>
        </w:tc>
      </w:tr>
      <w:tr>
        <w:tc>
          <w:tcPr>
            <w:tcW w:type="dxa" w:w="2300"/>
            <w:shd w:fill="F4F7F6" w:color="auto" w:val="clear"/>
            <w:tcMar>
              <w:top w:type="dxa" w:w="80"/>
              <w:left w:type="dxa" w:w="120"/>
              <w:bottom w:type="dxa" w:w="80"/>
              <w:right w:type="dxa" w:w="120"/>
            </w:tcMar>
          </w:tcPr>
          <w:p>
            <w:pPr>
              <w:jc w:val="left"/>
            </w:pPr>
            <w:r>
              <w:t>Top-Hat disco L3 +BTH</w:t>
            </w:r>
          </w:p>
        </w:tc>
        <w:tc>
          <w:tcPr>
            <w:tcW w:type="dxa" w:w="1010"/>
            <w:shd w:fill="F4F7F6" w:color="auto" w:val="clear"/>
            <w:tcMar>
              <w:top w:type="dxa" w:w="80"/>
              <w:left w:type="dxa" w:w="120"/>
              <w:bottom w:type="dxa" w:w="80"/>
              <w:right w:type="dxa" w:w="120"/>
            </w:tcMar>
          </w:tcPr>
          <w:p>
            <w:pPr>
              <w:jc w:val="center"/>
            </w:pPr>
            <w:r>
              <w:t>5.00</w:t>
            </w:r>
          </w:p>
        </w:tc>
        <w:tc>
          <w:tcPr>
            <w:tcW w:type="dxa" w:w="1010"/>
            <w:shd w:fill="F4F7F6" w:color="auto" w:val="clear"/>
            <w:tcMar>
              <w:top w:type="dxa" w:w="80"/>
              <w:left w:type="dxa" w:w="120"/>
              <w:bottom w:type="dxa" w:w="80"/>
              <w:right w:type="dxa" w:w="120"/>
            </w:tcMar>
          </w:tcPr>
          <w:p>
            <w:pPr>
              <w:jc w:val="center"/>
            </w:pPr>
            <w:r>
              <w:t>2.50</w:t>
            </w:r>
          </w:p>
        </w:tc>
        <w:tc>
          <w:tcPr>
            <w:tcW w:type="dxa" w:w="1010"/>
            <w:shd w:fill="F4F7F6" w:color="auto" w:val="clear"/>
            <w:tcMar>
              <w:top w:type="dxa" w:w="80"/>
              <w:left w:type="dxa" w:w="120"/>
              <w:bottom w:type="dxa" w:w="80"/>
              <w:right w:type="dxa" w:w="120"/>
            </w:tcMar>
          </w:tcPr>
          <w:p>
            <w:pPr>
              <w:jc w:val="center"/>
            </w:pPr>
            <w:r>
              <w:t>8.00</w:t>
            </w:r>
          </w:p>
        </w:tc>
        <w:tc>
          <w:tcPr>
            <w:tcW w:type="dxa" w:w="1010"/>
            <w:shd w:fill="F4F7F6" w:color="auto" w:val="clear"/>
            <w:tcMar>
              <w:top w:type="dxa" w:w="80"/>
              <w:left w:type="dxa" w:w="120"/>
              <w:bottom w:type="dxa" w:w="80"/>
              <w:right w:type="dxa" w:w="120"/>
            </w:tcMar>
          </w:tcPr>
          <w:p>
            <w:pPr>
              <w:jc w:val="center"/>
            </w:pPr>
            <w:r>
              <w:t>9.00</w:t>
            </w:r>
          </w:p>
        </w:tc>
        <w:tc>
          <w:tcPr>
            <w:tcW w:type="dxa" w:w="1010"/>
            <w:shd w:fill="F4F7F6" w:color="auto" w:val="clear"/>
            <w:tcMar>
              <w:top w:type="dxa" w:w="80"/>
              <w:left w:type="dxa" w:w="120"/>
              <w:bottom w:type="dxa" w:w="80"/>
              <w:right w:type="dxa" w:w="120"/>
            </w:tcMar>
          </w:tcPr>
          <w:p>
            <w:pPr>
              <w:jc w:val="center"/>
            </w:pPr>
            <w:r>
              <w:t>8.00</w:t>
            </w:r>
          </w:p>
        </w:tc>
        <w:tc>
          <w:tcPr>
            <w:tcW w:type="dxa" w:w="1010"/>
            <w:shd w:fill="F4F7F6" w:color="auto" w:val="clear"/>
            <w:tcMar>
              <w:top w:type="dxa" w:w="80"/>
              <w:left w:type="dxa" w:w="120"/>
              <w:bottom w:type="dxa" w:w="80"/>
              <w:right w:type="dxa" w:w="120"/>
            </w:tcMar>
          </w:tcPr>
          <w:p>
            <w:pPr>
              <w:jc w:val="center"/>
            </w:pPr>
            <w:r>
              <w:t>8.00</w:t>
            </w:r>
          </w:p>
        </w:tc>
        <w:tc>
          <w:tcPr>
            <w:tcW w:type="dxa" w:w="1000"/>
            <w:shd w:fill="F4F7F6" w:color="auto" w:val="clear"/>
            <w:tcMar>
              <w:top w:type="dxa" w:w="80"/>
              <w:left w:type="dxa" w:w="120"/>
              <w:bottom w:type="dxa" w:w="80"/>
              <w:right w:type="dxa" w:w="120"/>
            </w:tcMar>
          </w:tcPr>
          <w:p>
            <w:pPr>
              <w:jc w:val="center"/>
            </w:pPr>
            <w:r>
              <w:t>6.21</w:t>
            </w:r>
          </w:p>
        </w:tc>
      </w:tr>
      <w:tr>
        <w:tc>
          <w:tcPr>
            <w:tcW w:type="dxa" w:w="2300"/>
            <w:tcMar>
              <w:top w:type="dxa" w:w="80"/>
              <w:left w:type="dxa" w:w="120"/>
              <w:bottom w:type="dxa" w:w="80"/>
              <w:right w:type="dxa" w:w="120"/>
            </w:tcMar>
          </w:tcPr>
          <w:p>
            <w:pPr>
              <w:jc w:val="left"/>
            </w:pPr>
            <w:r>
              <w:t>Top-Hat cruz L3 (WTH)</w:t>
            </w:r>
          </w:p>
        </w:tc>
        <w:tc>
          <w:tcPr>
            <w:tcW w:type="dxa" w:w="1010"/>
            <w:tcMar>
              <w:top w:type="dxa" w:w="80"/>
              <w:left w:type="dxa" w:w="120"/>
              <w:bottom w:type="dxa" w:w="80"/>
              <w:right w:type="dxa" w:w="120"/>
            </w:tcMar>
          </w:tcPr>
          <w:p>
            <w:pPr>
              <w:jc w:val="center"/>
            </w:pPr>
            <w:r>
              <w:t>9.00</w:t>
            </w:r>
          </w:p>
        </w:tc>
        <w:tc>
          <w:tcPr>
            <w:tcW w:type="dxa" w:w="1010"/>
            <w:tcMar>
              <w:top w:type="dxa" w:w="80"/>
              <w:left w:type="dxa" w:w="120"/>
              <w:bottom w:type="dxa" w:w="80"/>
              <w:right w:type="dxa" w:w="120"/>
            </w:tcMar>
          </w:tcPr>
          <w:p>
            <w:pPr>
              <w:jc w:val="center"/>
            </w:pPr>
            <w:r>
              <w:t>10.00</w:t>
            </w:r>
          </w:p>
        </w:tc>
        <w:tc>
          <w:tcPr>
            <w:tcW w:type="dxa" w:w="1010"/>
            <w:tcMar>
              <w:top w:type="dxa" w:w="80"/>
              <w:left w:type="dxa" w:w="120"/>
              <w:bottom w:type="dxa" w:w="80"/>
              <w:right w:type="dxa" w:w="120"/>
            </w:tcMar>
          </w:tcPr>
          <w:p>
            <w:pPr>
              <w:jc w:val="center"/>
            </w:pPr>
            <w:r>
              <w:t>4.00</w:t>
            </w:r>
          </w:p>
        </w:tc>
        <w:tc>
          <w:tcPr>
            <w:tcW w:type="dxa" w:w="1010"/>
            <w:tcMar>
              <w:top w:type="dxa" w:w="80"/>
              <w:left w:type="dxa" w:w="120"/>
              <w:bottom w:type="dxa" w:w="80"/>
              <w:right w:type="dxa" w:w="120"/>
            </w:tcMar>
          </w:tcPr>
          <w:p>
            <w:pPr>
              <w:jc w:val="center"/>
            </w:pPr>
            <w:r>
              <w:t>4.00</w:t>
            </w:r>
          </w:p>
        </w:tc>
        <w:tc>
          <w:tcPr>
            <w:tcW w:type="dxa" w:w="1010"/>
            <w:tcMar>
              <w:top w:type="dxa" w:w="80"/>
              <w:left w:type="dxa" w:w="120"/>
              <w:bottom w:type="dxa" w:w="80"/>
              <w:right w:type="dxa" w:w="120"/>
            </w:tcMar>
          </w:tcPr>
          <w:p>
            <w:pPr>
              <w:jc w:val="center"/>
            </w:pPr>
            <w:r>
              <w:t>2.00</w:t>
            </w:r>
          </w:p>
        </w:tc>
        <w:tc>
          <w:tcPr>
            <w:tcW w:type="dxa" w:w="1010"/>
            <w:tcMar>
              <w:top w:type="dxa" w:w="80"/>
              <w:left w:type="dxa" w:w="120"/>
              <w:bottom w:type="dxa" w:w="80"/>
              <w:right w:type="dxa" w:w="120"/>
            </w:tcMar>
          </w:tcPr>
          <w:p>
            <w:pPr>
              <w:jc w:val="center"/>
            </w:pPr>
            <w:r>
              <w:t>5.00</w:t>
            </w:r>
          </w:p>
        </w:tc>
        <w:tc>
          <w:tcPr>
            <w:tcW w:type="dxa" w:w="1000"/>
            <w:tcMar>
              <w:top w:type="dxa" w:w="80"/>
              <w:left w:type="dxa" w:w="120"/>
              <w:bottom w:type="dxa" w:w="80"/>
              <w:right w:type="dxa" w:w="120"/>
            </w:tcMar>
          </w:tcPr>
          <w:p>
            <w:pPr>
              <w:jc w:val="center"/>
            </w:pPr>
            <w:r>
              <w:t>6.33</w:t>
            </w:r>
          </w:p>
        </w:tc>
      </w:tr>
      <w:tr>
        <w:tc>
          <w:tcPr>
            <w:tcW w:type="dxa" w:w="2300"/>
          </w:tcPr>
          <w:p>
            <w:r>
              <w:t>Top-Hat cruz L3 +BTH</w:t>
            </w:r>
          </w:p>
        </w:tc>
        <w:tc>
          <w:tcPr>
            <w:tcW w:type="dxa" w:w="1010"/>
          </w:tcPr>
          <w:p>
            <w:r>
              <w:t>4.00</w:t>
            </w:r>
          </w:p>
        </w:tc>
        <w:tc>
          <w:tcPr>
            <w:tcW w:type="dxa" w:w="1010"/>
          </w:tcPr>
          <w:p>
            <w:r>
              <w:t>2.50</w:t>
            </w:r>
          </w:p>
        </w:tc>
        <w:tc>
          <w:tcPr>
            <w:tcW w:type="dxa" w:w="1010"/>
          </w:tcPr>
          <w:p>
            <w:r>
              <w:t>9.00</w:t>
            </w:r>
          </w:p>
        </w:tc>
        <w:tc>
          <w:tcPr>
            <w:tcW w:type="dxa" w:w="1010"/>
          </w:tcPr>
          <w:p>
            <w:r>
              <w:t>10.00</w:t>
            </w:r>
          </w:p>
        </w:tc>
        <w:tc>
          <w:tcPr>
            <w:tcW w:type="dxa" w:w="1010"/>
          </w:tcPr>
          <w:p>
            <w:r>
              <w:t>10.00</w:t>
            </w:r>
          </w:p>
        </w:tc>
        <w:tc>
          <w:tcPr>
            <w:tcW w:type="dxa" w:w="1010"/>
          </w:tcPr>
          <w:p>
            <w:r>
              <w:t>10.00</w:t>
            </w:r>
          </w:p>
        </w:tc>
        <w:tc>
          <w:tcPr>
            <w:tcW w:type="dxa" w:w="1000"/>
          </w:tcPr>
          <w:p>
            <w:r>
              <w:t>6.38</w:t>
            </w:r>
          </w:p>
        </w:tc>
      </w:tr>
      <w:tr>
        <w:tc>
          <w:tcPr>
            <w:tcW w:type="dxa" w:w="2300"/>
          </w:tcPr>
          <w:p>
            <w:r>
              <w:t>Top-Hat disco L5 +BTH</w:t>
            </w:r>
          </w:p>
        </w:tc>
        <w:tc>
          <w:tcPr>
            <w:tcW w:type="dxa" w:w="1010"/>
          </w:tcPr>
          <w:p>
            <w:r>
              <w:t>1.00</w:t>
            </w:r>
          </w:p>
        </w:tc>
        <w:tc>
          <w:tcPr>
            <w:tcW w:type="dxa" w:w="1010"/>
          </w:tcPr>
          <w:p>
            <w:r>
              <w:t>1.00</w:t>
            </w:r>
          </w:p>
        </w:tc>
        <w:tc>
          <w:tcPr>
            <w:tcW w:type="dxa" w:w="1010"/>
          </w:tcPr>
          <w:p>
            <w:r>
              <w:t>11.00</w:t>
            </w:r>
          </w:p>
        </w:tc>
        <w:tc>
          <w:tcPr>
            <w:tcW w:type="dxa" w:w="1010"/>
          </w:tcPr>
          <w:p>
            <w:r>
              <w:t>11.00</w:t>
            </w:r>
          </w:p>
        </w:tc>
        <w:tc>
          <w:tcPr>
            <w:tcW w:type="dxa" w:w="1010"/>
          </w:tcPr>
          <w:p>
            <w:r>
              <w:t>11.00</w:t>
            </w:r>
          </w:p>
        </w:tc>
        <w:tc>
          <w:tcPr>
            <w:tcW w:type="dxa" w:w="1010"/>
          </w:tcPr>
          <w:p>
            <w:r>
              <w:t>11.00</w:t>
            </w:r>
          </w:p>
        </w:tc>
        <w:tc>
          <w:tcPr>
            <w:tcW w:type="dxa" w:w="1000"/>
          </w:tcPr>
          <w:p>
            <w:r>
              <w:t>6.83</w:t>
            </w:r>
          </w:p>
        </w:tc>
      </w:tr>
      <w:tr>
        <w:tc>
          <w:tcPr>
            <w:tcW w:type="dxa" w:w="2300"/>
          </w:tcPr>
          <w:p>
            <w:r>
              <w:t>Promedio</w:t>
            </w:r>
          </w:p>
        </w:tc>
        <w:tc>
          <w:tcPr>
            <w:tcW w:type="dxa" w:w="1010"/>
          </w:tcPr>
          <w:p>
            <w:r>
              <w:t>11.00</w:t>
            </w:r>
          </w:p>
        </w:tc>
        <w:tc>
          <w:tcPr>
            <w:tcW w:type="dxa" w:w="1010"/>
          </w:tcPr>
          <w:p>
            <w:r>
              <w:t>11.00</w:t>
            </w:r>
          </w:p>
        </w:tc>
        <w:tc>
          <w:tcPr>
            <w:tcW w:type="dxa" w:w="1010"/>
          </w:tcPr>
          <w:p>
            <w:r>
              <w:t>10.00</w:t>
            </w:r>
          </w:p>
        </w:tc>
        <w:tc>
          <w:tcPr>
            <w:tcW w:type="dxa" w:w="1010"/>
          </w:tcPr>
          <w:p>
            <w:r>
              <w:t>1.00</w:t>
            </w:r>
          </w:p>
        </w:tc>
        <w:tc>
          <w:tcPr>
            <w:tcW w:type="dxa" w:w="1010"/>
          </w:tcPr>
          <w:p>
            <w:r>
              <w:t>1.00</w:t>
            </w:r>
          </w:p>
        </w:tc>
        <w:tc>
          <w:tcPr>
            <w:tcW w:type="dxa" w:w="1010"/>
          </w:tcPr>
          <w:p>
            <w:r>
              <w:t>6.00</w:t>
            </w:r>
          </w:p>
        </w:tc>
        <w:tc>
          <w:tcPr>
            <w:tcW w:type="dxa" w:w="1000"/>
          </w:tcPr>
          <w:p>
            <w:r>
              <w:t>7.08</w:t>
            </w:r>
          </w:p>
        </w:tc>
      </w:tr>
      <w:tr>
        <w:tc>
          <w:tcPr>
            <w:tcW w:type="dxa" w:w="2300"/>
          </w:tcPr>
          <w:p>
            <w:r>
              <w:t>Curvelet</w:t>
            </w:r>
          </w:p>
        </w:tc>
        <w:tc>
          <w:tcPr>
            <w:tcW w:type="dxa" w:w="1010"/>
          </w:tcPr>
          <w:p>
            <w:r>
              <w:t>10.00</w:t>
            </w:r>
          </w:p>
        </w:tc>
        <w:tc>
          <w:tcPr>
            <w:tcW w:type="dxa" w:w="1010"/>
          </w:tcPr>
          <w:p>
            <w:r>
              <w:t>5.00</w:t>
            </w:r>
          </w:p>
        </w:tc>
        <w:tc>
          <w:tcPr>
            <w:tcW w:type="dxa" w:w="1010"/>
          </w:tcPr>
          <w:p>
            <w:r>
              <w:t>1.00</w:t>
            </w:r>
          </w:p>
        </w:tc>
        <w:tc>
          <w:tcPr>
            <w:tcW w:type="dxa" w:w="1010"/>
          </w:tcPr>
          <w:p>
            <w:r>
              <w:t>7.00</w:t>
            </w:r>
          </w:p>
        </w:tc>
        <w:tc>
          <w:tcPr>
            <w:tcW w:type="dxa" w:w="1010"/>
          </w:tcPr>
          <w:p>
            <w:r>
              <w:t>6.00</w:t>
            </w:r>
          </w:p>
        </w:tc>
        <w:tc>
          <w:tcPr>
            <w:tcW w:type="dxa" w:w="1010"/>
          </w:tcPr>
          <w:p>
            <w:r>
              <w:t>9.00</w:t>
            </w:r>
          </w:p>
        </w:tc>
        <w:tc>
          <w:tcPr>
            <w:tcW w:type="dxa" w:w="1000"/>
          </w:tcPr>
          <w:p>
            <w:r>
              <w:t>7.08</w:t>
            </w:r>
          </w:p>
        </w:tc>
      </w:tr>
    </w:tbl>
    <w:p>
      <w:pPr>
        <w:spacing w:after="80" w:before="200"/>
        <w:jc w:val="center"/>
      </w:pPr>
      <w:r>
        <w:drawing>
          <wp:inline xmlns:a="http://schemas.openxmlformats.org/drawingml/2006/main" xmlns:pic="http://schemas.openxmlformats.org/drawingml/2006/picture">
            <wp:extent cx="4754880" cy="3169920"/>
            <wp:docPr id="3" name="Picture 3"/>
            <wp:cNvGraphicFramePr>
              <a:graphicFrameLocks noChangeAspect="1"/>
            </wp:cNvGraphicFramePr>
            <a:graphic>
              <a:graphicData uri="http://schemas.openxmlformats.org/drawingml/2006/picture">
                <pic:pic>
                  <pic:nvPicPr>
                    <pic:cNvPr id="0" name="fig_ranking_global_12metricas.png"/>
                    <pic:cNvPicPr/>
                  </pic:nvPicPr>
                  <pic:blipFill>
                    <a:blip r:embed="rId16"/>
                    <a:stretch>
                      <a:fillRect/>
                    </a:stretch>
                  </pic:blipFill>
                  <pic:spPr>
                    <a:xfrm>
                      <a:off x="0" y="0"/>
                      <a:ext cx="4754880" cy="3169920"/>
                    </a:xfrm>
                    <a:prstGeom prst="rect"/>
                  </pic:spPr>
                </pic:pic>
              </a:graphicData>
            </a:graphic>
          </wp:inline>
        </w:drawing>
      </w:r>
    </w:p>
    <w:p>
      <w:pPr>
        <w:spacing w:after="240"/>
        <w:jc w:val="center"/>
      </w:pPr>
      <w:r>
        <w:t>Figura 4. Ranking global por método (promedio de rangos sobre las doce métricas, con la dirección de cada una corregida).</w:t>
      </w:r>
    </w:p>
    <w:p>
      <w:pPr>
        <w:pStyle w:val="Heading2"/>
        <w:spacing w:after="120" w:before="240"/>
      </w:pPr>
      <w:r>
        <w:rPr>
          <w:rFonts w:ascii="Arial" w:cs="Arial" w:eastAsia="Arial" w:hAnsi="Arial"/>
          <w:b/>
          <w:bCs/>
          <w:sz w:val="26"/>
          <w:szCs w:val="26"/>
        </w:rPr>
        <w:t xml:space="preserve">Análisis del benchmark exhaustivo de la Torre Top-Hat</w:t>
      </w:r>
    </w:p>
    <w:p>
      <w:pPr>
        <w:spacing w:after="160" w:line="360"/>
        <w:jc w:val="both"/>
      </w:pPr>
      <w:r>
        <w:rPr>
          <w:rFonts w:ascii="Arial" w:cs="Arial" w:eastAsia="Arial" w:hAnsi="Arial"/>
          <w:sz w:val="24"/>
          <w:szCs w:val="24"/>
        </w:rPr>
        <w:t xml:space="preserve">Más allá de la comparación inter-método, se ejecutó un benchmark exhaustivo de las 36 configuraciones de la Torre Top-Hat. La figura 5 sintetiza los promedios por configuración mediante mapas de calor por métrica. Cuatro patrones emergen con claridad. Primero, en EN, SD y FE los valores crecen suavemente con el número de niveles y el radio base, alcanzando los máximos en SE cuadrado con L = 5 y r₀ = 5. Segundo, en MG la dependencia es más débil y el óptimo se sitúa en disco con L = 5 y r₀ = 3, sugiriendo que profundizar la descomposición sin agrandar excesivamente el SE preserva mejor el detalle de bordes. Tercero, las métricas de información mutua (MI_vis, MI_ir) muestran tendencia opuesta: alcanzan los valores más altos en configuraciones someras y radios pequeños (disco L = 2 r₀ = 2 para MI_vis; cruz L = 2 r₀ = 2 para MI_ir), confirmando que cada nivel adicional de descomposición desacopla progresivamente la imagen fusionada de sus fuentes individuales. Cuarto, las diferencias absolutas dentro del cuadro de 36 configuraciones son modestas (rangos de aproximadamente 0,1 puntos en EN, 0,01 en SD, 0,002 en MG), lo que sugiere que la elección de hiperparámetros de la Torre Top-Hat es relativamente robusta dentro de los rangos explorados.</w:t>
      </w:r>
    </w:p>
    <w:p>
      <w:pPr>
        <w:spacing w:after="80" w:before="200"/>
        <w:jc w:val="center"/>
      </w:pPr>
      <w:r>
        <w:drawing>
          <wp:inline distT="0" distB="0" distL="0" distR="0">
            <wp:extent cx="4953000" cy="3219450"/>
            <wp:effectExtent t="0" r="0" b="0" l="0"/>
            <wp:docPr id="1" name="fig_heatmap_tophat.png" descr="Figura 5. Mapas de calor de las seis métricas para las 36 configuraciones de la Torre Top-Hat." title="fig_heatmap_topha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953000" cy="3219450"/>
                    </a:xfrm>
                    <a:prstGeom prst="rect">
                      <a:avLst/>
                    </a:prstGeom>
                  </pic:spPr>
                </pic:pic>
              </a:graphicData>
            </a:graphic>
          </wp:inline>
        </w:drawing>
      </w:r>
    </w:p>
    <w:p>
      <w:pPr>
        <w:spacing w:after="240"/>
        <w:jc w:val="center"/>
      </w:pPr>
      <w:r>
        <w:rPr>
          <w:rFonts w:ascii="Arial" w:cs="Arial" w:eastAsia="Arial" w:hAnsi="Arial"/>
          <w:i/>
          <w:iCs/>
          <w:sz w:val="20"/>
          <w:szCs w:val="20"/>
        </w:rPr>
        <w:t xml:space="preserve">Figura 5. Mapas de calor de las seis métricas para las 36 configuraciones de la Torre Top-Hat.</w:t>
      </w:r>
    </w:p>
    <w:p>
      <w:pPr>
        <w:pStyle w:val="Heading2"/>
      </w:pPr>
      <w:r>
        <w:t>Efecto de la variante Black Top-Hat</w:t>
      </w:r>
    </w:p>
    <w:p>
      <w:r>
        <w:t>Se comparó cada configuración White Top-Hat con su contraparte que añade Black Top-Hat (WTH+BTH). El efecto es nítido y de signo opuesto entre familias de métricas, con todas las diferencias significativas (p &lt; 0,001). Agregar el BTH incrementa fuertemente la actividad y el contraste —frecuencia espacial SF +87 %, gradiente medio MG +93 %, entropía y desviación estándar al alza— pero degrada la calidad de la fusión: la preservación de bordes Qabf cae 29 %, la similitud estructural SSIM 22 %, la fidelidad visual VIF y la información mutua descienden, y sobre todo los artefactos Nabf se multiplican por más de cinco (+427 %). En otras palabras, el Black Top-Hat infla las métricas de actividad inyectando energía de detalle oscuro que en gran parte no proviene fielmente de las fuentes, sino que constituye artefactos. Por ello todas las variantes +BTH quedan por debajo de su contraparte WTH en el ranking global (Tabla 5). La variante WTH+BTH sólo sería preferible en aplicaciones cuyo objetivo explícito es maximizar el realce de contraste aceptando artefactos, no la fusión fiel; el punto de operación recomendado del método propuesto es el modo White Top-Hat con disco y L = 5.</w:t>
      </w:r>
    </w:p>
    <w:p>
      <w:r>
        <w:drawing>
          <wp:inline xmlns:a="http://schemas.openxmlformats.org/drawingml/2006/main" xmlns:pic="http://schemas.openxmlformats.org/drawingml/2006/picture">
            <wp:extent cx="5486400" cy="2011680"/>
            <wp:docPr id="4" name="Picture 4"/>
            <wp:cNvGraphicFramePr>
              <a:graphicFrameLocks noChangeAspect="1"/>
            </wp:cNvGraphicFramePr>
            <a:graphic>
              <a:graphicData uri="http://schemas.openxmlformats.org/drawingml/2006/picture">
                <pic:pic>
                  <pic:nvPicPr>
                    <pic:cNvPr id="0" name="fig_efecto_black_top_hat.png"/>
                    <pic:cNvPicPr/>
                  </pic:nvPicPr>
                  <pic:blipFill>
                    <a:blip r:embed="rId17"/>
                    <a:stretch>
                      <a:fillRect/>
                    </a:stretch>
                  </pic:blipFill>
                  <pic:spPr>
                    <a:xfrm>
                      <a:off x="0" y="0"/>
                      <a:ext cx="5486400" cy="2011680"/>
                    </a:xfrm>
                    <a:prstGeom prst="rect"/>
                  </pic:spPr>
                </pic:pic>
              </a:graphicData>
            </a:graphic>
          </wp:inline>
        </w:drawing>
      </w:r>
    </w:p>
    <w:p>
      <w:r>
        <w:t>Figura 6. Impacto de añadir Black Top-Hat sobre las configuraciones disco L3 y L5: cambio relativo por métrica (verde = mejora, rojo = empeora).</w:t>
      </w:r>
    </w:p>
    <w:p>
      <w:pPr>
        <w:pStyle w:val="Heading2"/>
        <w:spacing w:after="120" w:before="240"/>
      </w:pPr>
      <w:r>
        <w:rPr>
          <w:rFonts w:ascii="Arial" w:cs="Arial" w:eastAsia="Arial" w:hAnsi="Arial"/>
          <w:b/>
          <w:bCs/>
          <w:sz w:val="26"/>
          <w:szCs w:val="26"/>
        </w:rPr>
        <w:t xml:space="preserve">Discusión integrada</w:t>
      </w:r>
    </w:p>
    <w:p>
      <w:pPr>
        <w:spacing w:after="160" w:line="360"/>
        <w:jc w:val="both"/>
      </w:pPr>
      <w:r>
        <w:t>Los hallazgos cuantitativos pueden sintetizarse en cinco observaciones. Primero, no existe un método universalmente dominante: la pirámide de Laplace encabeza el ranking global (4,42) por su ventaja en contraste (SD) y fidelidad perceptual (VIF), pero la Torre Top-Hat WTH (disco L = 5, ranking 5,00) la supera de forma significativa en fidelidad estructural (SSIM, SCD) y la iguala en preservación de bordes (Qabf, Nabf). Son óptimos de criterios distintos y complementarios. Segundo, la incorporación de las métricas estándar de calidad es la que revela este reparto: bajo las métricas clásicas —todas de actividad e información— el método parecía simplemente segundo, porque esas métricas favorecen al contraste y a la combinación lineal. Tercero, Curvelet resulta el método más débil al penalizar artefactos (Nabf), corrigiendo la impresión de las métricas de actividad. Cuarto, la variante Black Top-Hat intercambia calidad por contraste: mejora EN, SD, SF y MG pero degrada Qabf, SSIM, VIF y MI y dispara el Nabf, por lo que no se recomienda por defecto. Quinto, la información mutua y, en menor medida, la SSIM están sesgadas a favor del promedio simple, lo que obliga a reportarlas junto a métricas de preservación de bordes y artefactos.</w:t>
      </w:r>
    </w:p>
    <w:p>
      <w:pPr>
        <w:pStyle w:val="Heading1"/>
        <w:pageBreakBefore/>
        <w:spacing w:after="240" w:before="360"/>
        <w:jc w:val="center"/>
      </w:pPr>
      <w:r>
        <w:rPr>
          <w:rFonts w:ascii="Arial" w:cs="Arial" w:eastAsia="Arial" w:hAnsi="Arial"/>
          <w:b/>
          <w:bCs/>
          <w:sz w:val="28"/>
          <w:szCs w:val="28"/>
        </w:rPr>
        <w:t xml:space="preserve">CONCLUSIONES Y RECOMENDACIONES</w:t>
      </w:r>
    </w:p>
    <w:p>
      <w:pPr>
        <w:pStyle w:val="Heading2"/>
        <w:spacing w:after="120" w:before="240"/>
      </w:pPr>
      <w:r>
        <w:rPr>
          <w:rFonts w:ascii="Arial" w:cs="Arial" w:eastAsia="Arial" w:hAnsi="Arial"/>
          <w:b/>
          <w:bCs/>
          <w:sz w:val="26"/>
          <w:szCs w:val="26"/>
        </w:rPr>
        <w:t xml:space="preserve">Conclusiones</w:t>
      </w:r>
    </w:p>
    <w:p>
      <w:pPr>
        <w:spacing w:after="160" w:line="360"/>
        <w:jc w:val="both"/>
      </w:pPr>
      <w:r>
        <w:rPr>
          <w:rFonts w:ascii="Arial" w:cs="Arial" w:eastAsia="Arial" w:hAnsi="Arial"/>
          <w:sz w:val="24"/>
          <w:szCs w:val="24"/>
        </w:rPr>
        <w:t xml:space="preserve">Se diseñó, implementó y evaluó la Torre Top-Hat, una descomposición morfológica multiescala configurable, comparándola estadísticamente con tres baselines clásicos sobre el TNO Image Fusion Dataset. Las conclusiones específicas son las siguientes.</w:t>
      </w:r>
    </w:p>
    <w:p>
      <w:pPr>
        <w:pStyle w:val="ListParagraph"/>
        <w:numPr>
          <w:ilvl w:val="0"/>
          <w:numId w:val="2"/>
        </w:numPr>
        <w:spacing w:after="100" w:line="320"/>
        <w:jc w:val="both"/>
      </w:pPr>
      <w:r>
        <w:t>La Torre Top-Hat en su modo White Top-Hat es un método de fusión VIS+IR competitivo y, en las métricas estándar de calidad, superior a la pirámide de Laplace en fidelidad estructural: gana de forma estadísticamente significativa en SSIM y SCD, y empata en preservación de bordes (Qabf) y en artefactos (Nabf). Su mejor configuración es disco con L = 5 (segundo lugar en el ranking global de doce métricas, 5,00; Laplace primero con 4,42).</w:t>
      </w:r>
    </w:p>
    <w:p>
      <w:pPr>
        <w:pStyle w:val="ListParagraph"/>
        <w:numPr>
          <w:ilvl w:val="0"/>
          <w:numId w:val="2"/>
        </w:numPr>
        <w:spacing w:after="100" w:line="320"/>
        <w:jc w:val="both"/>
      </w:pPr>
      <w:r>
        <w:t>La pirámide de Laplace presenta el mejor ranking global agregado (4,42), sostenido por su ventaja en contraste (SD) y fidelidad perceptual (VIF); no domina, en cambio, en fidelidad estructural, donde la Torre Top-Hat la supera. Curvelet, al penalizar artefactos, resulta el método más débil.</w:t>
      </w:r>
    </w:p>
    <w:p>
      <w:pPr>
        <w:pStyle w:val="ListParagraph"/>
        <w:numPr>
          <w:ilvl w:val="0"/>
          <w:numId w:val="2"/>
        </w:numPr>
        <w:spacing w:after="100" w:line="320"/>
        <w:jc w:val="both"/>
      </w:pPr>
      <w:r>
        <w:rPr>
          <w:rFonts w:ascii="Arial" w:cs="Arial" w:eastAsia="Arial" w:hAnsi="Arial"/>
          <w:sz w:val="24"/>
          <w:szCs w:val="24"/>
        </w:rPr>
        <w:t xml:space="preserve">La métrica de información mutua (MI) está sesgada a favor del promedio simple, dado que la combinación lineal preserva trivialmente contenido de ambas fuentes. Este hallazgo invita a reportar MI siempre acompañada de métricas de calidad global y a no interpretarla aisladamente como veredicto de fidelidad.</w:t>
      </w:r>
    </w:p>
    <w:p>
      <w:pPr>
        <w:pStyle w:val="ListParagraph"/>
        <w:numPr>
          <w:ilvl w:val="0"/>
          <w:numId w:val="2"/>
        </w:numPr>
        <w:spacing w:after="100" w:line="320"/>
        <w:jc w:val="both"/>
      </w:pPr>
      <w:r>
        <w:rPr>
          <w:rFonts w:ascii="Arial" w:cs="Arial" w:eastAsia="Arial" w:hAnsi="Arial"/>
          <w:sz w:val="24"/>
          <w:szCs w:val="24"/>
        </w:rPr>
        <w:t xml:space="preserve">Dentro de la familia Top-Hat, la geometría del elemento estructurante introduce diferencias modestas: el disco tiende a maximizar EN, SD y FE; la cruz preserva ligeramente mejor la información mutua entre las configuraciones morfológicas; el cuadrado se sitúa en una posición intermedia.</w:t>
      </w:r>
    </w:p>
    <w:p>
      <w:pPr>
        <w:pStyle w:val="ListParagraph"/>
        <w:numPr>
          <w:ilvl w:val="0"/>
          <w:numId w:val="2"/>
        </w:numPr>
        <w:spacing w:after="100" w:line="320"/>
        <w:jc w:val="both"/>
      </w:pPr>
      <w:r>
        <w:rPr>
          <w:rFonts w:ascii="Arial" w:cs="Arial" w:eastAsia="Arial" w:hAnsi="Arial"/>
          <w:sz w:val="24"/>
          <w:szCs w:val="24"/>
        </w:rPr>
        <w:t xml:space="preserve">La profundidad de descomposición (L) y el radio base (r₀) tienen efectos complementarios: mayor profundidad incrementa entropía y contraste; menor radio preserva mejor el gradiente.</w:t>
      </w:r>
    </w:p>
    <w:p>
      <w:pPr>
        <w:pStyle w:val="ListParagraph"/>
        <w:numPr>
          <w:ilvl w:val="0"/>
          <w:numId w:val="2"/>
        </w:numPr>
        <w:spacing w:after="100" w:line="320"/>
        <w:jc w:val="both"/>
      </w:pPr>
      <w:r>
        <w:t>Las pruebas no paramétricas confirman que las diferencias observadas no son fruto del azar: la prueba de Friedman es altamente significativa (p &lt; 0,001) en las doce métricas, y las comparaciones pareadas Wilcoxon con corrección de Holm corroboran las superioridades específicas reportadas (ganancia en SSIM y SCD frente a Laplace, paridad en Qabf y Nabf).</w:t>
      </w:r>
    </w:p>
    <w:p>
      <w:pPr>
        <w:pStyle w:val="ListParagraph"/>
      </w:pPr>
      <w:r>
        <w:t>La variante con Black Top-Hat no se recomienda como configuración por defecto: aunque incrementa el contraste y la actividad (EN, SD, SF, MG), degrada significativamente la calidad de la fusión (Qabf, SSIM, VIF, MI) y multiplica los artefactos (Nabf ×5). El detalle oscuro que añade es en gran parte ruido no presente en las fuentes.</w:t>
      </w:r>
    </w:p>
    <w:p>
      <w:pPr>
        <w:pStyle w:val="ListParagraph"/>
        <w:numPr>
          <w:ilvl w:val="0"/>
          <w:numId w:val="2"/>
        </w:numPr>
        <w:spacing w:after="100" w:line="320"/>
        <w:jc w:val="both"/>
      </w:pPr>
      <w:r>
        <w:rPr>
          <w:rFonts w:ascii="Arial" w:cs="Arial" w:eastAsia="Arial" w:hAnsi="Arial"/>
          <w:sz w:val="24"/>
          <w:szCs w:val="24"/>
        </w:rPr>
        <w:t xml:space="preserve">Es metodológicamente fundamental separar la regla de fusión de detalle (max-actividad por pixel) de la regla de fusión de la base (promedio): aplicar selección por actividad a la capa base introduce discontinuidades de iluminación y sesga las métricas de información mutua. Este aprendizaje es transferible a cualquier descomposición multiescala.</w:t>
      </w:r>
    </w:p>
    <w:p>
      <w:pPr>
        <w:pStyle w:val="ListParagraph"/>
        <w:numPr>
          <w:ilvl w:val="0"/>
          <w:numId w:val="2"/>
        </w:numPr>
        <w:spacing w:after="100" w:line="320"/>
        <w:jc w:val="both"/>
      </w:pPr>
      <w:r>
        <w:rPr>
          <w:rFonts w:ascii="Arial" w:cs="Arial" w:eastAsia="Arial" w:hAnsi="Arial"/>
          <w:sz w:val="24"/>
          <w:szCs w:val="24"/>
        </w:rPr>
        <w:t xml:space="preserve">No existe un método universalmente óptimo: la decisión de qué algoritmo de fusión emplear debe estar guiada por el criterio operativo prioritario más que por una métrica única.</w:t>
      </w:r>
    </w:p>
    <w:p>
      <w:pPr>
        <w:pStyle w:val="Heading2"/>
        <w:spacing w:after="120" w:before="240"/>
      </w:pPr>
      <w:r>
        <w:rPr>
          <w:rFonts w:ascii="Arial" w:cs="Arial" w:eastAsia="Arial" w:hAnsi="Arial"/>
          <w:b/>
          <w:bCs/>
          <w:sz w:val="26"/>
          <w:szCs w:val="26"/>
        </w:rPr>
        <w:t xml:space="preserve">Recomendaciones</w:t>
      </w:r>
    </w:p>
    <w:p>
      <w:pPr>
        <w:spacing w:after="160" w:line="360"/>
        <w:jc w:val="both"/>
      </w:pPr>
      <w:r>
        <w:rPr>
          <w:rFonts w:ascii="Arial" w:cs="Arial" w:eastAsia="Arial" w:hAnsi="Arial"/>
          <w:sz w:val="24"/>
          <w:szCs w:val="24"/>
        </w:rPr>
        <w:t xml:space="preserve">A partir de los hallazgos se proponen las siguientes líneas de trabajo futuro y de aplicación.</w:t>
      </w:r>
    </w:p>
    <w:p>
      <w:pPr>
        <w:pStyle w:val="ListParagraph"/>
        <w:numPr>
          <w:ilvl w:val="0"/>
          <w:numId w:val="3"/>
        </w:numPr>
        <w:spacing w:after="100" w:line="320"/>
        <w:jc w:val="both"/>
      </w:pPr>
      <w:r>
        <w:t>Profundizar en reglas de fusión que aprovechen el Black Top-Hat de forma selectiva (p. ej. ponderando el detalle oscuro por su consistencia con las fuentes) para capturar valles oscuros sin introducir los artefactos observados en la variante WTH+BTH directa.</w:t>
      </w:r>
    </w:p>
    <w:p>
      <w:pPr>
        <w:pStyle w:val="ListParagraph"/>
        <w:numPr>
          <w:ilvl w:val="0"/>
          <w:numId w:val="3"/>
        </w:numPr>
        <w:spacing w:after="100" w:line="320"/>
        <w:jc w:val="both"/>
      </w:pPr>
      <w:r>
        <w:rPr>
          <w:rFonts w:ascii="Arial" w:cs="Arial" w:eastAsia="Arial" w:hAnsi="Arial"/>
          <w:sz w:val="24"/>
          <w:szCs w:val="24"/>
        </w:rPr>
        <w:t xml:space="preserve">Replicar la evaluación sobre datasets adicionales (RoadScene, M3FD, MS-COCO multiespectral) para verificar la transferibilidad de las conclusiones.</w:t>
      </w:r>
    </w:p>
    <w:p>
      <w:pPr>
        <w:pStyle w:val="ListParagraph"/>
        <w:numPr>
          <w:ilvl w:val="0"/>
          <w:numId w:val="3"/>
        </w:numPr>
        <w:spacing w:after="100" w:line="320"/>
        <w:jc w:val="both"/>
      </w:pPr>
      <w:r>
        <w:rPr>
          <w:rFonts w:ascii="Arial" w:cs="Arial" w:eastAsia="Arial" w:hAnsi="Arial"/>
          <w:sz w:val="24"/>
          <w:szCs w:val="24"/>
        </w:rPr>
        <w:t xml:space="preserve">Explorar reglas de fusión adaptativas que ponderen la actividad local en función de estadísticos globales de la imagen, en lugar de la regla de máximo aplicada en este trabajo.</w:t>
      </w:r>
    </w:p>
    <w:p>
      <w:pPr>
        <w:pStyle w:val="ListParagraph"/>
        <w:numPr>
          <w:ilvl w:val="0"/>
          <w:numId w:val="3"/>
        </w:numPr>
        <w:spacing w:after="100" w:line="320"/>
        <w:jc w:val="both"/>
      </w:pPr>
      <w:r>
        <w:rPr>
          <w:rFonts w:ascii="Arial" w:cs="Arial" w:eastAsia="Arial" w:hAnsi="Arial"/>
          <w:sz w:val="24"/>
          <w:szCs w:val="24"/>
        </w:rPr>
        <w:t xml:space="preserve">Evaluar híbridos Top-Hat ↔ pirámide de Laplace que combinen la fidelidad a fuentes del primero con la riqueza global del segundo.</w:t>
      </w:r>
    </w:p>
    <w:p>
      <w:pPr>
        <w:pStyle w:val="ListParagraph"/>
        <w:numPr>
          <w:ilvl w:val="0"/>
          <w:numId w:val="3"/>
        </w:numPr>
        <w:spacing w:after="100" w:line="320"/>
        <w:jc w:val="both"/>
      </w:pPr>
      <w:r>
        <w:rPr>
          <w:rFonts w:ascii="Arial" w:cs="Arial" w:eastAsia="Arial" w:hAnsi="Arial"/>
          <w:sz w:val="24"/>
          <w:szCs w:val="24"/>
        </w:rPr>
        <w:t xml:space="preserve">Comparar contra modelos de fusión profundos preentrenados (FusionGAN, U2Fusion, SeAFusion) para situar el costo y el beneficio de los métodos clásicos en el panorama actual del estado del arte.</w:t>
      </w:r>
    </w:p>
    <w:p>
      <w:pPr>
        <w:pStyle w:val="ListParagraph"/>
        <w:numPr>
          <w:ilvl w:val="0"/>
          <w:numId w:val="3"/>
        </w:numPr>
        <w:spacing w:after="100" w:line="320"/>
        <w:jc w:val="both"/>
      </w:pPr>
      <w:r>
        <w:rPr>
          <w:rFonts w:ascii="Arial" w:cs="Arial" w:eastAsia="Arial" w:hAnsi="Arial"/>
          <w:sz w:val="24"/>
          <w:szCs w:val="24"/>
        </w:rPr>
        <w:t xml:space="preserve">Para aplicaciones donde se prioriza el equilibrio entre todas las métricas, recomendar la pirámide de Laplace como método por defecto. Para aplicaciones donde la interpretabilidad morfológica y el bajo costo computacional son críticos, recomendar la Torre Top-Hat con disco, L = 5 y r₀ = 3 como punto de partida.</w:t>
      </w:r>
    </w:p>
    <w:p>
      <w:pPr>
        <w:pStyle w:val="ListParagraph"/>
        <w:numPr>
          <w:ilvl w:val="0"/>
          <w:numId w:val="3"/>
        </w:numPr>
        <w:spacing w:after="100" w:line="320"/>
        <w:jc w:val="both"/>
      </w:pPr>
      <w:r>
        <w:rPr>
          <w:rFonts w:ascii="Arial" w:cs="Arial" w:eastAsia="Arial" w:hAnsi="Arial"/>
          <w:sz w:val="24"/>
          <w:szCs w:val="24"/>
        </w:rPr>
        <w:t xml:space="preserve">Reportar siempre la información mutua junto con métricas de calidad global (EN, SD, MG) para evitar interpretaciones engañosas; el caso del promedio simple ilustra que MI alta no equivale necesariamente a fusión de mejor calidad perceptual.</w:t>
      </w:r>
    </w:p>
    <w:p>
      <w:pPr>
        <w:pStyle w:val="Heading1"/>
        <w:pageBreakBefore/>
        <w:spacing w:after="240" w:before="360"/>
        <w:jc w:val="center"/>
      </w:pPr>
      <w:r>
        <w:rPr>
          <w:rFonts w:ascii="Arial" w:cs="Arial" w:eastAsia="Arial" w:hAnsi="Arial"/>
          <w:b/>
          <w:bCs/>
          <w:sz w:val="28"/>
          <w:szCs w:val="28"/>
        </w:rPr>
        <w:t xml:space="preserve">REFERENCIAS BIBLIOGRÁFICAS</w:t>
      </w:r>
    </w:p>
    <w:p>
      <w:r>
        <w:t>Aslantas, V., y Bendes, E. (2015). A new image quality metric for image fusion: The sum of the correlations of differences. AEU - International Journal of Electronics and Communications, 69(12), 1890–1896.</w:t>
      </w:r>
    </w:p>
    <w:p>
      <w:pPr>
        <w:spacing w:after="160" w:line="360"/>
        <w:jc w:val="both"/>
      </w:pPr>
      <w:r>
        <w:rPr>
          <w:rFonts w:ascii="Arial" w:cs="Arial" w:eastAsia="Arial" w:hAnsi="Arial"/>
          <w:sz w:val="24"/>
          <w:szCs w:val="24"/>
        </w:rPr>
        <w:t xml:space="preserve">Bai, X. (2013). Morphological image fusion using the extracted image regions and details based on multi-scale top-hat transform and toggle contrast operator. Digital Signal Processing, 23(1), 244–263.</w:t>
      </w:r>
    </w:p>
    <w:p>
      <w:pPr>
        <w:spacing w:after="160" w:line="360"/>
        <w:jc w:val="both"/>
      </w:pPr>
      <w:r>
        <w:rPr>
          <w:rFonts w:ascii="Arial" w:cs="Arial" w:eastAsia="Arial" w:hAnsi="Arial"/>
          <w:sz w:val="24"/>
          <w:szCs w:val="24"/>
        </w:rPr>
        <w:t xml:space="preserve">Bai, X., Zhou, F., y Xue, B. (2015). Image enhancement using multi-scale image features extracted by top-hat transform. Optics &amp; Laser Technology, 65, 145–150.</w:t>
      </w:r>
    </w:p>
    <w:p>
      <w:pPr>
        <w:spacing w:after="160" w:line="360"/>
        <w:jc w:val="both"/>
      </w:pPr>
      <w:r>
        <w:rPr>
          <w:rFonts w:ascii="Arial" w:cs="Arial" w:eastAsia="Arial" w:hAnsi="Arial"/>
          <w:sz w:val="24"/>
          <w:szCs w:val="24"/>
        </w:rPr>
        <w:t xml:space="preserve">Burt, P. J., y Adelson, E. H. (1983). The Laplacian pyramid as a compact image code. IEEE Transactions on Communications, 31(4), 532–540.</w:t>
      </w:r>
    </w:p>
    <w:p>
      <w:pPr>
        <w:spacing w:after="160" w:line="360"/>
        <w:jc w:val="both"/>
      </w:pPr>
      <w:r>
        <w:rPr>
          <w:rFonts w:ascii="Arial" w:cs="Arial" w:eastAsia="Arial" w:hAnsi="Arial"/>
          <w:sz w:val="24"/>
          <w:szCs w:val="24"/>
        </w:rPr>
        <w:t xml:space="preserve">Candès, E., Demanet, L., Donoho, D., y Ying, L. (2006). Fast discrete curvelet transforms. SIAM Multiscale Modeling &amp; Simulation, 5(3), 861–899.</w:t>
      </w:r>
    </w:p>
    <w:p>
      <w:pPr>
        <w:spacing w:after="160" w:line="360"/>
        <w:jc w:val="both"/>
      </w:pPr>
      <w:r>
        <w:rPr>
          <w:rFonts w:ascii="Arial" w:cs="Arial" w:eastAsia="Arial" w:hAnsi="Arial"/>
          <w:sz w:val="24"/>
          <w:szCs w:val="24"/>
        </w:rPr>
        <w:t xml:space="preserve">Friedman, M. (1937). The use of ranks to avoid the assumption of normality implicit in the analysis of variance. Journal of the American Statistical Association, 32(200), 675–701.</w:t>
      </w:r>
    </w:p>
    <w:p>
      <w:pPr>
        <w:spacing w:after="160" w:line="360"/>
        <w:jc w:val="both"/>
      </w:pPr>
      <w:r>
        <w:rPr>
          <w:rFonts w:ascii="Arial" w:cs="Arial" w:eastAsia="Arial" w:hAnsi="Arial"/>
          <w:sz w:val="24"/>
          <w:szCs w:val="24"/>
        </w:rPr>
        <w:t xml:space="preserve">Gonzalez, R. C., y Woods, R. E. (2018). Digital Image Processing (4ª ed.). Pearson.</w:t>
      </w:r>
    </w:p>
    <w:p>
      <w:r>
        <w:t>Kumar, B. K. S. (2013). Multifocus and multispectral image fusion based on pixel significance using discrete cosine harmonic wavelet transform. Signal, Image and Video Processing, 7(6), 1125–1143.</w:t>
      </w:r>
    </w:p>
    <w:p>
      <w:pPr>
        <w:spacing w:after="160" w:line="360"/>
        <w:jc w:val="both"/>
      </w:pPr>
      <w:r>
        <w:rPr>
          <w:rFonts w:ascii="Arial" w:cs="Arial" w:eastAsia="Arial" w:hAnsi="Arial"/>
          <w:sz w:val="24"/>
          <w:szCs w:val="24"/>
        </w:rPr>
        <w:t xml:space="preserve">Li, S., Kang, X., Fang, L., Hu, J., y Yin, H. (2017). Pixel-level image fusion: A survey of the state of the art. Information Fusion, 33, 100–112.</w:t>
      </w:r>
    </w:p>
    <w:p>
      <w:pPr>
        <w:spacing w:after="160" w:line="360"/>
        <w:jc w:val="both"/>
      </w:pPr>
      <w:r>
        <w:rPr>
          <w:rFonts w:ascii="Arial" w:cs="Arial" w:eastAsia="Arial" w:hAnsi="Arial"/>
          <w:sz w:val="24"/>
          <w:szCs w:val="24"/>
        </w:rPr>
        <w:t xml:space="preserve">Ma, J., Ma, Y., y Li, C. (2019). Infrared and visible image fusion methods and applications: A survey. Information Fusion, 45, 153–178.</w:t>
      </w:r>
    </w:p>
    <w:p>
      <w:pPr>
        <w:spacing w:after="160" w:line="360"/>
        <w:jc w:val="both"/>
      </w:pPr>
      <w:r>
        <w:rPr>
          <w:rFonts w:ascii="Arial" w:cs="Arial" w:eastAsia="Arial" w:hAnsi="Arial"/>
          <w:sz w:val="24"/>
          <w:szCs w:val="24"/>
        </w:rPr>
        <w:t xml:space="preserve">Ma, J., Yu, W., Liang, P., Li, C., y Jiang, J. (2019). FusionGAN: A generative adversarial network for infrared and visible image fusion. Information Fusion, 48, 11–26.</w:t>
      </w:r>
    </w:p>
    <w:p>
      <w:pPr>
        <w:spacing w:after="160" w:line="360"/>
        <w:jc w:val="both"/>
      </w:pPr>
      <w:r>
        <w:rPr>
          <w:rFonts w:ascii="Arial" w:cs="Arial" w:eastAsia="Arial" w:hAnsi="Arial"/>
          <w:sz w:val="24"/>
          <w:szCs w:val="24"/>
        </w:rPr>
        <w:t xml:space="preserve">Mukhopadhyay, S., y Chanda, B. (2001). A multi-scale morphological approach to local contrast enhancement. Signal Processing, 80(4), 685–696.</w:t>
      </w:r>
    </w:p>
    <w:p>
      <w:pPr>
        <w:spacing w:after="160" w:line="360"/>
        <w:jc w:val="both"/>
      </w:pPr>
      <w:r>
        <w:rPr>
          <w:rFonts w:ascii="Arial" w:cs="Arial" w:eastAsia="Arial" w:hAnsi="Arial"/>
          <w:sz w:val="24"/>
          <w:szCs w:val="24"/>
        </w:rPr>
        <w:t xml:space="preserve">Serra, J. (1982). Image Analysis and Mathematical Morphology. Academic Press.</w:t>
      </w:r>
    </w:p>
    <w:p>
      <w:r>
        <w:t>Sheikh, H. R., y Bovik, A. C. (2006). Image information and visual quality. IEEE Transactions on Image Processing, 15(2), 430–444.</w:t>
      </w:r>
    </w:p>
    <w:p>
      <w:pPr>
        <w:spacing w:after="160" w:line="360"/>
        <w:jc w:val="both"/>
      </w:pPr>
      <w:r>
        <w:rPr>
          <w:rFonts w:ascii="Arial" w:cs="Arial" w:eastAsia="Arial" w:hAnsi="Arial"/>
          <w:sz w:val="24"/>
          <w:szCs w:val="24"/>
        </w:rPr>
        <w:t xml:space="preserve">Soille, P. (2003). Morphological Image Analysis: Principles and Applications (2ª ed.). Springer.</w:t>
      </w:r>
    </w:p>
    <w:p>
      <w:pPr>
        <w:spacing w:after="160" w:line="360"/>
        <w:jc w:val="both"/>
      </w:pPr>
      <w:r>
        <w:rPr>
          <w:rFonts w:ascii="Arial" w:cs="Arial" w:eastAsia="Arial" w:hAnsi="Arial"/>
          <w:sz w:val="24"/>
          <w:szCs w:val="24"/>
        </w:rPr>
        <w:t xml:space="preserve">Tang, L., Yuan, J., y Ma, J. (2022). Image fusion in the loop of high-level vision tasks: A semantic-aware real-time infrared and visible image fusion network. Information Fusion, 82, 28–42.</w:t>
      </w:r>
    </w:p>
    <w:p>
      <w:pPr>
        <w:spacing w:after="160" w:line="360"/>
        <w:jc w:val="both"/>
      </w:pPr>
      <w:r>
        <w:rPr>
          <w:rFonts w:ascii="Arial" w:cs="Arial" w:eastAsia="Arial" w:hAnsi="Arial"/>
          <w:sz w:val="24"/>
          <w:szCs w:val="24"/>
        </w:rPr>
        <w:t xml:space="preserve">Toet, A. (2014). The TNO multiband image data collection. Data in Brief, 4, 187–192.</w:t>
      </w:r>
    </w:p>
    <w:p>
      <w:pPr>
        <w:spacing w:after="160" w:line="360"/>
        <w:jc w:val="both"/>
      </w:pPr>
      <w:r>
        <w:rPr>
          <w:rFonts w:ascii="Arial" w:cs="Arial" w:eastAsia="Arial" w:hAnsi="Arial"/>
          <w:sz w:val="24"/>
          <w:szCs w:val="24"/>
        </w:rPr>
        <w:t xml:space="preserve">Wang, J., Peng, J., Feng, X., He, G., y Fan, J. (2017). Fusion method for infrared and visible images by using non-negative sparse representation. Infrared Physics &amp; Technology, 80, 1–9.</w:t>
      </w:r>
    </w:p>
    <w:p>
      <w:pPr>
        <w:spacing w:after="160" w:line="360"/>
        <w:jc w:val="both"/>
      </w:pPr>
      <w:r>
        <w:rPr>
          <w:rFonts w:ascii="Arial" w:cs="Arial" w:eastAsia="Arial" w:hAnsi="Arial"/>
          <w:sz w:val="24"/>
          <w:szCs w:val="24"/>
        </w:rPr>
        <w:t xml:space="preserve">Wilcoxon, F. (1945). Individual comparisons by ranking methods. Biometrics Bulletin, 1(6), 80–83.</w:t>
      </w:r>
    </w:p>
    <w:p>
      <w:r>
        <w:t>Xydeas, C. S., y Petrović, V. (2000). Objective image fusion performance measure. Electronics Letters, 36(4), 308–309.</w:t>
      </w:r>
    </w:p>
    <w:p>
      <w:pPr>
        <w:spacing w:after="160" w:line="360"/>
        <w:jc w:val="both"/>
      </w:pPr>
      <w:r>
        <w:rPr>
          <w:rFonts w:ascii="Arial" w:cs="Arial" w:eastAsia="Arial" w:hAnsi="Arial"/>
          <w:sz w:val="24"/>
          <w:szCs w:val="24"/>
        </w:rPr>
        <w:t xml:space="preserve">Zhang, X., y Demiris, Y. (2023). Visible and infrared image fusion using deep learning. IEEE Transactions on Pattern Analysis and Machine Intelligence, 45(8), 10535–10554.</w:t>
      </w:r>
    </w:p>
    <w:p>
      <w:pPr>
        <w:pStyle w:val="Heading1"/>
        <w:pageBreakBefore/>
        <w:spacing w:after="240" w:before="360"/>
        <w:jc w:val="center"/>
      </w:pPr>
      <w:r>
        <w:rPr>
          <w:rFonts w:ascii="Arial" w:cs="Arial" w:eastAsia="Arial" w:hAnsi="Arial"/>
          <w:b/>
          <w:bCs/>
          <w:sz w:val="28"/>
          <w:szCs w:val="28"/>
        </w:rPr>
        <w:t xml:space="preserve">APÉNDICE</w:t>
      </w:r>
    </w:p>
    <w:p>
      <w:pPr>
        <w:pStyle w:val="Heading2"/>
        <w:spacing w:after="120" w:before="240"/>
      </w:pPr>
      <w:r>
        <w:rPr>
          <w:rFonts w:ascii="Arial" w:cs="Arial" w:eastAsia="Arial" w:hAnsi="Arial"/>
          <w:b/>
          <w:bCs/>
          <w:sz w:val="26"/>
          <w:szCs w:val="26"/>
        </w:rPr>
        <w:t xml:space="preserve">A. Repositorio del código</w:t>
      </w:r>
    </w:p>
    <w:p>
      <w:pPr>
        <w:spacing w:after="160" w:line="360"/>
        <w:jc w:val="both"/>
      </w:pPr>
      <w:r>
        <w:t>La totalidad del código de esta tesis está disponible en el repositorio del proyecto, organizado en módulos: src/datasets.py (carga y emparejado VIS/IR), src/fusion/ (prop_top_hat.py para el método propuesto y comparatives.py para los baselines), src/metrics/evaluators.py (las doce métricas), src/utils/ (entrada/salida y visualización), experiments/run_all_fusions.py (comparación inter-método), experiments/run_stats_analysis.py (Friedman, Wilcoxon con Holm y ranking), experiments/benchmark_fusion.py (benchmark exhaustivo), notebooks/ (análisis exploratorios). El archivo requirements.txt consigna las dependencias exactas.</w:t>
      </w:r>
    </w:p>
    <w:p>
      <w:pPr>
        <w:pStyle w:val="Heading2"/>
        <w:spacing w:after="120" w:before="240"/>
      </w:pPr>
      <w:r>
        <w:rPr>
          <w:rFonts w:ascii="Arial" w:cs="Arial" w:eastAsia="Arial" w:hAnsi="Arial"/>
          <w:b/>
          <w:bCs/>
          <w:sz w:val="26"/>
          <w:szCs w:val="26"/>
        </w:rPr>
        <w:t xml:space="preserve">B. Configuraciones del benchmark exhaustivo</w:t>
      </w:r>
    </w:p>
    <w:p>
      <w:pPr>
        <w:spacing w:after="160" w:line="360"/>
        <w:jc w:val="both"/>
      </w:pPr>
      <w:r>
        <w:rPr>
          <w:rFonts w:ascii="Arial" w:cs="Arial" w:eastAsia="Arial" w:hAnsi="Arial"/>
          <w:sz w:val="24"/>
          <w:szCs w:val="24"/>
        </w:rPr>
        <w:t xml:space="preserve">Las 36 configuraciones evaluadas resultan del producto cartesiano de los siguientes valores:</w:t>
      </w:r>
    </w:p>
    <w:p>
      <w:pPr>
        <w:pStyle w:val="ListParagraph"/>
        <w:numPr>
          <w:ilvl w:val="0"/>
          <w:numId w:val="3"/>
        </w:numPr>
        <w:spacing w:after="100" w:line="320"/>
        <w:jc w:val="both"/>
      </w:pPr>
      <w:r>
        <w:rPr>
          <w:rFonts w:ascii="Arial" w:cs="Arial" w:eastAsia="Arial" w:hAnsi="Arial"/>
          <w:sz w:val="24"/>
          <w:szCs w:val="24"/>
        </w:rPr>
        <w:t xml:space="preserve">Tipo de elemento estructurante: disco, cuadrado, cruz.</w:t>
      </w:r>
    </w:p>
    <w:p>
      <w:pPr>
        <w:pStyle w:val="ListParagraph"/>
        <w:numPr>
          <w:ilvl w:val="0"/>
          <w:numId w:val="3"/>
        </w:numPr>
        <w:spacing w:after="100" w:line="320"/>
        <w:jc w:val="both"/>
      </w:pPr>
      <w:r>
        <w:rPr>
          <w:rFonts w:ascii="Arial" w:cs="Arial" w:eastAsia="Arial" w:hAnsi="Arial"/>
          <w:sz w:val="24"/>
          <w:szCs w:val="24"/>
        </w:rPr>
        <w:t xml:space="preserve">Número de niveles de descomposición: 2, 3, 4, 5.</w:t>
      </w:r>
    </w:p>
    <w:p>
      <w:pPr>
        <w:pStyle w:val="ListParagraph"/>
        <w:numPr>
          <w:ilvl w:val="0"/>
          <w:numId w:val="3"/>
        </w:numPr>
        <w:spacing w:after="100" w:line="320"/>
        <w:jc w:val="both"/>
      </w:pPr>
      <w:r>
        <w:rPr>
          <w:rFonts w:ascii="Arial" w:cs="Arial" w:eastAsia="Arial" w:hAnsi="Arial"/>
          <w:sz w:val="24"/>
          <w:szCs w:val="24"/>
        </w:rPr>
        <w:t xml:space="preserve">Radio base del SE: 2, 3, 5 píxeles.</w:t>
      </w:r>
    </w:p>
    <w:p>
      <w:pPr>
        <w:spacing w:after="160" w:line="360"/>
        <w:jc w:val="both"/>
      </w:pPr>
      <w:r>
        <w:rPr>
          <w:rFonts w:ascii="Arial" w:cs="Arial" w:eastAsia="Arial" w:hAnsi="Arial"/>
          <w:sz w:val="24"/>
          <w:szCs w:val="24"/>
        </w:rPr>
        <w:t xml:space="preserve">Cada configuración se aplicó a los 20 pares VIS/IR, generando 720 imágenes fusionadas y 720 mediciones por métrica. Los archivos individuales se encuentran en experiments/results/fused_images/&lt;config&gt;/ y los promedios cuantitativos están consolidados en experiments/results/metrics_reports/benchmark_top_hat.csv.</w:t>
      </w:r>
    </w:p>
    <w:p>
      <w:pPr>
        <w:pStyle w:val="Heading2"/>
        <w:spacing w:after="120" w:before="240"/>
      </w:pPr>
      <w:r>
        <w:rPr>
          <w:rFonts w:ascii="Arial" w:cs="Arial" w:eastAsia="Arial" w:hAnsi="Arial"/>
          <w:b/>
          <w:bCs/>
          <w:sz w:val="26"/>
          <w:szCs w:val="26"/>
        </w:rPr>
        <w:t xml:space="preserve">C. Tablas estadísticas extendidas</w:t>
      </w:r>
    </w:p>
    <w:p>
      <w:pPr>
        <w:spacing w:after="160" w:line="360"/>
        <w:jc w:val="both"/>
      </w:pPr>
      <w:r>
        <w:t>Las tablas completas con los 288 contrastes Wilcoxon (8 configuraciones Top-Hat × 3 baselines × 12 métricas) se almacenan en experiments/results/metrics_reports/wilcoxon_results.csv. Cada fila contiene la métrica, las medias comparadas, la diferencia, el estadístico W, el p-valor, el p-valor corregido por Holm, la marca de significación a α = 0,05 y el tamaño de efecto rank-biserial. El ranking promedio está en ranking_methods.csv y los resultados de Friedman en friedman_results.csv.</w:t>
      </w:r>
    </w:p>
    <w:p>
      <w:pPr>
        <w:pStyle w:val="Heading2"/>
        <w:spacing w:after="120" w:before="240"/>
      </w:pPr>
      <w:r>
        <w:rPr>
          <w:rFonts w:ascii="Arial" w:cs="Arial" w:eastAsia="Arial" w:hAnsi="Arial"/>
          <w:b/>
          <w:bCs/>
          <w:sz w:val="26"/>
          <w:szCs w:val="26"/>
        </w:rPr>
        <w:t xml:space="preserve">D. Pseudocódigo de la Torre Top-Hat</w:t>
      </w:r>
    </w:p>
    <w:p>
      <w:pPr>
        <w:spacing w:after="200" w:line="320"/>
      </w:pPr>
      <w:r>
        <w:rPr>
          <w:rFonts w:ascii="Courier New" w:cs="Courier New" w:eastAsia="Courier New" w:hAnsi="Courier New"/>
          <w:sz w:val="20"/>
          <w:szCs w:val="20"/>
        </w:rPr>
        <w:t xml:space="preserve">Entrada: imágenes f_VIS, f_IR (escala de grises, normalizadas en [0,1]),
         tipo de SE, número de niveles L, radio base r₀
Salida:  imagen fusionada F
1.  Para cada modalidad m ∈ {VIS, IR}:
2.      R ← f_m
3.      Para k = 1 hasta L:
4.          b_k ← SE de tipo y radio k · r₀
5.          WTH_k^m ← R − apertura(R, b_k)
6.          R ← R − WTH_k^m
7.      base_m ← R
8.  Para k = 1 hasta L:
9.      a_VIS &lt;- gaussiana(|WTH_k^VIS|)
10.     a_IR  &lt;- gaussiana(|WTH_k^IR|)
11.     mask  &lt;- (a_VIS &gt;= a_IR)
12.     WTH_k^F &lt;- mask * WTH_k^VIS + (1 - mask) * WTH_k^IR
13. base_F &lt;- (base_VIS + base_IR) / 2     # promedio (NO max-actividad)
14. F &lt;- sum_k WTH_k^F + base_F
15. F &lt;- clip(F, 0, 1)
16. devolver F</w:t>
      </w:r>
    </w:p>
    <w:p>
      <w:pPr>
        <w:pStyle w:val="Heading2"/>
        <w:spacing w:after="120" w:before="240"/>
      </w:pPr>
      <w:r>
        <w:rPr>
          <w:rFonts w:ascii="Arial" w:cs="Arial" w:eastAsia="Arial" w:hAnsi="Arial"/>
          <w:b/>
          <w:bCs/>
          <w:sz w:val="26"/>
          <w:szCs w:val="26"/>
        </w:rPr>
        <w:t xml:space="preserve">E. Refinamiento metodológico de la regla de fusión</w:t>
      </w:r>
    </w:p>
    <w:p>
      <w:pPr>
        <w:spacing w:after="160" w:line="360"/>
        <w:jc w:val="both"/>
      </w:pPr>
      <w:r>
        <w:rPr>
          <w:rFonts w:ascii="Arial" w:cs="Arial" w:eastAsia="Arial" w:hAnsi="Arial"/>
          <w:sz w:val="24"/>
          <w:szCs w:val="24"/>
        </w:rPr>
        <w:t xml:space="preserve">Durante el desarrollo iterativo de la implementación se identificó un punto sutil pero sustantivo en la regla de fusión multiescala. Una primera versión aplicaba selección por máxima actividad local de manera uniforme a todas las capas, incluyendo la base. La versión definitiva, reportada en los resultados de esta tesis, distingue las dos clases de capas: las L capas de detalle WTH se fusionan por máxima actividad local; la capa base se fusiona por promedio simple. Esta distinción es coherente con la práctica establecida en la literatura clásica de fusión multiescala. El refinamiento eliminó discontinuidades de iluminación y sesgos artificiales en la información mutua.</w:t>
      </w:r>
    </w:p>
    <w:p>
      <w:pPr>
        <w:pStyle w:val="Heading2"/>
        <w:spacing w:after="120" w:before="240"/>
      </w:pPr>
      <w:r>
        <w:rPr>
          <w:rFonts w:ascii="Arial" w:cs="Arial" w:eastAsia="Arial" w:hAnsi="Arial"/>
          <w:b/>
          <w:bCs/>
          <w:sz w:val="26"/>
          <w:szCs w:val="26"/>
        </w:rPr>
        <w:t xml:space="preserve">F. Hardware y tiempos de ejecución</w:t>
      </w:r>
    </w:p>
    <w:p>
      <w:pPr>
        <w:spacing w:after="160" w:line="360"/>
        <w:jc w:val="both"/>
      </w:pPr>
      <w:r>
        <w:rPr>
          <w:rFonts w:ascii="Arial" w:cs="Arial" w:eastAsia="Arial" w:hAnsi="Arial"/>
          <w:sz w:val="24"/>
          <w:szCs w:val="24"/>
        </w:rPr>
        <w:t xml:space="preserve">La totalidad de los experimentos se ejecutó en una notebook estándar (Intel i7, 16 GB de RAM, sin GPU dedicada) bajo Windows 11 con Python 3.11. Cada fusión Top-Hat consume entre 20 y 80 milisegundos según la configuración; la pirámide de Laplace y el curvelet se sitúan en órdenes de magnitud comparables. La ejecución completa del benchmark exhaustivo (720 fusiones) toma aproximadamente 90 segundos. Esta liviandad computacional confirma la viabilidad del método para aplicaciones en tiempo real.</w:t>
      </w:r>
    </w:p>
    <w:sectPr>
      <w:headerReference w:type="default" r:id="rId7"/>
      <w:footerReference w:type="default" r:id="rId8"/>
      <w:pgSz w:w="12240" w:h="15840" w:orient="portrait"/>
      <w:pgMar w:top="1440" w:right="1440" w:bottom="1440" w:left="17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18"/>
        <w:szCs w:val="18"/>
      </w:rPr>
      <w:t xml:space="preserve">Página </w:t>
    </w:r>
    <w:r>
      <w:rPr>
        <w:rFonts w:ascii="Arial" w:cs="Arial" w:eastAsia="Arial" w:hAnsi="Arial"/>
        <w:sz w:val="18"/>
        <w:szCs w:val="18"/>
      </w:rPr>
      <w:fldChar w:fldCharType="begin"/>
      <w:instrText xml:space="preserve">PAGE</w:instrText>
      <w:fldChar w:fldCharType="separate"/>
      <w:fldChar w:fldCharType="end"/>
    </w:r>
    <w:r>
      <w:rPr>
        <w:rFonts w:ascii="Arial" w:cs="Arial" w:eastAsia="Arial" w:hAnsi="Arial"/>
        <w:sz w:val="18"/>
        <w:szCs w:val="18"/>
      </w:rPr>
      <w:t xml:space="preserve"> de </w:t>
    </w:r>
    <w:r>
      <w:rPr>
        <w:rFonts w:ascii="Arial" w:cs="Arial" w:eastAsia="Arial" w:hAnsi="Arial"/>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i/>
        <w:iCs/>
        <w:color w:val="666666"/>
        <w:sz w:val="18"/>
        <w:szCs w:val="18"/>
      </w:rPr>
      <w:t xml:space="preserve">Fusión VIS+IR – Morfología Matemática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360"/>
      <w:jc w:val="center"/>
      <w:outlineLvl w:val="0"/>
    </w:pPr>
    <w:rPr>
      <w:rFonts w:ascii="Arial" w:cs="Arial" w:eastAsia="Arial" w:hAnsi="Arial"/>
      <w:b/>
      <w:bCs/>
      <w:sz w:val="28"/>
      <w:szCs w:val="28"/>
    </w:rPr>
  </w:style>
  <w:style w:type="paragraph" w:styleId="Heading2">
    <w:name w:val="Heading 2"/>
    <w:basedOn w:val="Normal"/>
    <w:next w:val="Normal"/>
    <w:qFormat/>
    <w:pPr>
      <w:spacing w:after="120" w:before="240"/>
      <w:outlineLvl w:val="1"/>
    </w:pPr>
    <w:rPr>
      <w:rFonts w:ascii="Arial" w:cs="Arial" w:eastAsia="Arial" w:hAnsi="Arial"/>
      <w:b/>
      <w:bCs/>
      <w:sz w:val="26"/>
      <w:szCs w:val="26"/>
    </w:rPr>
  </w:style>
  <w:style w:type="paragraph" w:styleId="Heading3">
    <w:name w:val="Heading 3"/>
    <w:basedOn w:val="Normal"/>
    <w:next w:val="Normal"/>
    <w:qFormat/>
    <w:pPr>
      <w:spacing w:after="100" w:before="180"/>
      <w:outlineLvl w:val="2"/>
    </w:pPr>
    <w:rPr>
      <w:rFonts w:ascii="Arial" w:cs="Arial" w:eastAsia="Arial" w:hAnsi="Arial"/>
      <w:b/>
      <w:bCs/>
      <w:i/>
      <w:iCs/>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50f5849c0e44c9a0fa1a5a32eb9b04dc819c5e39.png"/><Relationship Id="rId10" Type="http://schemas.openxmlformats.org/officeDocument/2006/relationships/image" Target="media/5820ca34166d2fe6f34a8e8cf54ac6ebff8e0b2b.png"/><Relationship Id="rId11" Type="http://schemas.openxmlformats.org/officeDocument/2006/relationships/image" Target="media/b6281bef290051b48947c255bf904ce7193411f7.png"/><Relationship Id="rId12" Type="http://schemas.openxmlformats.org/officeDocument/2006/relationships/image" Target="media/2a9f57a072739649d7ba88a9864d4fc4c14f10b6.png"/><Relationship Id="rId13" Type="http://schemas.openxmlformats.org/officeDocument/2006/relationships/image" Target="media/24841b10f1613160999ae64741a87ed73cc57444.png"/><Relationship Id="rId14" Type="http://schemas.openxmlformats.org/officeDocument/2006/relationships/fontTable" Target="fontTable.xml"/><Relationship Id="rId15" Type="http://schemas.openxmlformats.org/officeDocument/2006/relationships/image" Target="media/image1.png"/><Relationship Id="rId16" Type="http://schemas.openxmlformats.org/officeDocument/2006/relationships/image" Target="media/image2.png"/><Relationship Id="rId17" Type="http://schemas.openxmlformats.org/officeDocument/2006/relationships/image" Target="media/image3.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Fusión de Imágenes Infrarrojas y Visibles mediante Morfología Matemática</dc:title>
  <dc:creator>Lic. Juan Pablo Bazán, Ing. Yan Bajac</dc:creator>
  <dc:description>Tesis de Maestría en Ciencias de Datos – UCOM</dc:description>
  <cp:lastModifiedBy>Un-named</cp:lastModifiedBy>
  <cp:revision>1</cp:revision>
  <dcterms:created xsi:type="dcterms:W3CDTF">2026-04-26T00:15:07.127Z</dcterms:created>
  <dcterms:modified xsi:type="dcterms:W3CDTF">2026-04-26T00:15:07.128Z</dcterms:modified>
</cp:coreProperties>
</file>

<file path=docProps/custom.xml><?xml version="1.0" encoding="utf-8"?>
<Properties xmlns="http://schemas.openxmlformats.org/officeDocument/2006/custom-properties" xmlns:vt="http://schemas.openxmlformats.org/officeDocument/2006/docPropsVTypes"/>
</file>