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fontTable.xml" ContentType="application/vnd.openxmlformats-officedocument.wordprocessingml.fontTable+xml"/>
  <Override PartName="/word/comments.xml" ContentType="application/vnd.openxmlformats-officedocument.wordprocessingml.comments+xml"/>
  <Override PartName="/word/styles.xml" ContentType="application/vnd.openxmlformats-officedocument.wordprocessingml.styles+xml"/>
  <Override PartName="/word/document.xml" ContentType="application/vnd.openxmlformats-officedocument.wordprocessingml.document.main+xml"/>
  <Override PartName="/word/theme/theme1.xml" ContentType="application/vnd.openxmlformats-officedocument.theme+xml"/>
  <Override PartName="/word/footer3.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settings.xml" ContentType="application/vnd.openxmlformats-officedocument.wordprocessingml.settings+xml"/>
  <Override PartName="/word/footer1.xml" ContentType="application/vnd.openxmlformats-officedocument.wordprocessingml.footer+xml"/>
  <Override PartName="/word/header3.xml" ContentType="application/vnd.openxmlformats-officedocument.wordprocessingml.header+xml"/>
  <Override PartName="/word/numbering.xml" ContentType="application/vnd.openxmlformats-officedocument.wordprocessingml.numbering+xml"/>
</Types>
</file>

<file path=_rels/.rels><?xml version="1.0" encoding="UTF-8"?><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lineRule="auto" w:line="276" w:before="240" w:after="120"/>
        <w:jc w:val="center"/>
        <w:rPr/>
      </w:pPr>
      <w:r>
        <w:rPr/>
        <w:drawing>
          <wp:inline distT="0" distB="0" distL="0" distR="0">
            <wp:extent cx="2520315" cy="556260"/>
            <wp:effectExtent l="0" t="0" r="0" b="0"/>
            <wp:docPr id="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6"/>
                    <pic:cNvPicPr>
                      <a:picLocks noChangeAspect="1" noChangeArrowheads="1"/>
                    </pic:cNvPicPr>
                  </pic:nvPicPr>
                  <pic:blipFill>
                    <a:blip r:embed="rId2"/>
                    <a:stretch>
                      <a:fillRect/>
                    </a:stretch>
                  </pic:blipFill>
                  <pic:spPr bwMode="auto">
                    <a:xfrm>
                      <a:off x="0" y="0"/>
                      <a:ext cx="2520315" cy="556260"/>
                    </a:xfrm>
                    <a:prstGeom prst="rect">
                      <a:avLst/>
                    </a:prstGeom>
                    <a:noFill/>
                  </pic:spPr>
                </pic:pic>
              </a:graphicData>
            </a:graphic>
          </wp:inline>
        </w:drawing>
      </w:r>
    </w:p>
    <w:p>
      <w:pPr>
        <w:pStyle w:val="Normal"/>
        <w:spacing w:lineRule="auto" w:line="276" w:before="0" w:after="120"/>
        <w:jc w:val="center"/>
        <w:rPr/>
      </w:pPr>
      <w:r>
        <w:rPr>
          <w:rFonts w:eastAsia="Times New Roman" w:cs="Times New Roman"/>
          <w:sz w:val="24"/>
          <w:szCs w:val="24"/>
        </w:rPr>
        <w:t>FACULTAD DE CIENCIAS Y TECNOLOGÍA</w:t>
      </w:r>
    </w:p>
    <w:p>
      <w:pPr>
        <w:pStyle w:val="Normal"/>
        <w:spacing w:lineRule="auto" w:line="276" w:before="0" w:after="120"/>
        <w:jc w:val="center"/>
        <w:rPr/>
      </w:pPr>
      <w:r>
        <w:rPr>
          <w:rFonts w:eastAsia="Times New Roman" w:cs="Times New Roman"/>
          <w:sz w:val="24"/>
          <w:szCs w:val="24"/>
        </w:rPr>
        <w:t>MAESTRÍA EN CIENCIAS DE DATOS</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240"/>
        <w:jc w:val="center"/>
        <w:rPr/>
      </w:pPr>
      <w:r>
        <w:rPr>
          <w:rFonts w:eastAsia="Times New Roman" w:cs="Times New Roman"/>
          <w:b/>
          <w:bCs/>
          <w:sz w:val="32"/>
          <w:szCs w:val="32"/>
        </w:rPr>
        <w:t>FUSIÓN DE IMÁGENES INFRARROJAS Y VISIBLES MEDIANTE MORFOLOGÍA MATEMÁTICA</w:t>
      </w:r>
    </w:p>
    <w:p>
      <w:pPr>
        <w:pStyle w:val="Normal"/>
        <w:spacing w:lineRule="auto" w:line="276" w:before="0" w:after="120"/>
        <w:jc w:val="center"/>
        <w:rPr/>
      </w:pPr>
      <w:r>
        <w:rPr>
          <w:rFonts w:eastAsia="Times New Roman" w:cs="Times New Roman"/>
        </w:rPr>
        <w:t xml:space="preserve">Una propuesta de Top-Hat/Bottom-Hat de una sola escala con elementos estructurantes de disco y lineales, optimizada por PSO</w:t>
      </w:r>
    </w:p>
    <w:p>
      <w:pPr>
        <w:pStyle w:val="Normal"/>
        <w:spacing w:lineRule="auto" w:line="276" w:before="0" w:after="120"/>
        <w:jc w:val="center"/>
        <w:rPr/>
      </w:pPr>
      <w:r>
        <w:rPr>
          <w:rFonts w:eastAsia="Times New Roman" w:cs="Times New Roman"/>
          <w:b/>
          <w:bCs/>
          <w:sz w:val="24"/>
          <w:szCs w:val="24"/>
        </w:rPr>
        <w:t>Autores:</w:t>
      </w:r>
    </w:p>
    <w:p>
      <w:pPr>
        <w:pStyle w:val="Normal"/>
        <w:spacing w:lineRule="auto" w:line="276" w:before="0" w:after="120"/>
        <w:jc w:val="center"/>
        <w:rPr/>
      </w:pPr>
      <w:r>
        <w:rPr>
          <w:rFonts w:eastAsia="Times New Roman" w:cs="Times New Roman"/>
          <w:sz w:val="24"/>
          <w:szCs w:val="24"/>
        </w:rPr>
        <w:t>Lic. Juan Pablo Bazán</w:t>
      </w:r>
    </w:p>
    <w:p>
      <w:pPr>
        <w:pStyle w:val="Normal"/>
        <w:spacing w:lineRule="auto" w:line="276" w:before="0" w:after="120"/>
        <w:jc w:val="center"/>
        <w:rPr/>
      </w:pPr>
      <w:r>
        <w:rPr>
          <w:rFonts w:eastAsia="Times New Roman" w:cs="Times New Roman"/>
          <w:sz w:val="24"/>
          <w:szCs w:val="24"/>
        </w:rPr>
        <w:t>Ing. Yan Bajac</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ind w:left="4536"/>
        <w:jc w:val="both"/>
        <w:rPr/>
      </w:pPr>
      <w:r>
        <w:rPr>
          <w:rFonts w:eastAsia="Times New Roman" w:cs="Times New Roman"/>
          <w:sz w:val="24"/>
          <w:szCs w:val="24"/>
        </w:rPr>
        <w:t xml:space="preserve">Tesis presentada a la Universidad Comunera, Facultad de Ciencias y Tecnología, Maestría en Ciencias de Datos, como requisito parcial para la obtención del título de Magíster en Ciencias de Datos.</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Asunción – Paraguay</w:t>
      </w:r>
    </w:p>
    <w:p>
      <w:pPr>
        <w:pStyle w:val="Normal"/>
        <w:spacing w:lineRule="auto" w:line="276" w:before="0" w:after="120"/>
        <w:jc w:val="center"/>
        <w:rPr/>
      </w:pPr>
      <w:r>
        <w:rPr>
          <w:rFonts w:eastAsia="Times New Roman" w:cs="Times New Roman"/>
          <w:b/>
          <w:bCs/>
          <w:sz w:val="24"/>
          <w:szCs w:val="24"/>
        </w:rPr>
        <w:t>SEPTIEMBRE 2026</w:t>
      </w:r>
      <w:r>
        <w:br w:type="page"/>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b/>
          <w:bCs/>
          <w:sz w:val="24"/>
          <w:szCs w:val="24"/>
        </w:rPr>
        <w:t xml:space="preserve">FUSIÓN DE IMÁGENES INFRARROJAS Y VISIBLES MEDIANTE MORFOLOGÍA MATEMÁTICA</w:t>
      </w:r>
    </w:p>
    <w:p>
      <w:pPr>
        <w:pStyle w:val="Normal"/>
        <w:spacing w:lineRule="auto" w:line="276" w:before="0" w:after="120"/>
        <w:jc w:val="center"/>
        <w:rPr/>
      </w:pPr>
      <w:r>
        <w:rPr>
          <w:rFonts w:eastAsia="Times New Roman" w:cs="Times New Roman"/>
          <w:sz w:val="24"/>
          <w:szCs w:val="24"/>
        </w:rPr>
        <w:t xml:space="preserve">Una propuesta de Top-Hat/Bottom-Hat de una sola escala con elementos estructurantes de disco y lineales, optimizada por PSO</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b/>
          <w:bCs/>
          <w:sz w:val="24"/>
          <w:szCs w:val="24"/>
        </w:rPr>
        <w:t xml:space="preserve">Autores:</w:t>
      </w:r>
    </w:p>
    <w:p>
      <w:pPr>
        <w:pStyle w:val="Normal"/>
        <w:spacing w:lineRule="auto" w:line="276" w:before="0" w:after="120"/>
        <w:jc w:val="center"/>
        <w:rPr/>
      </w:pPr>
      <w:r>
        <w:rPr>
          <w:rFonts w:eastAsia="Times New Roman" w:cs="Times New Roman"/>
          <w:sz w:val="24"/>
          <w:szCs w:val="24"/>
        </w:rPr>
        <w:t xml:space="preserve">Lic. Juan Pablo Bazán</w:t>
      </w:r>
    </w:p>
    <w:p>
      <w:pPr>
        <w:pStyle w:val="Normal"/>
        <w:spacing w:lineRule="auto" w:line="276" w:before="0" w:after="120"/>
        <w:jc w:val="center"/>
        <w:rPr/>
      </w:pPr>
      <w:r>
        <w:rPr>
          <w:rFonts w:eastAsia="Times New Roman" w:cs="Times New Roman"/>
          <w:sz w:val="24"/>
          <w:szCs w:val="24"/>
        </w:rPr>
        <w:t xml:space="preserve">Ing. Yan Bajac</w:t>
      </w:r>
    </w:p>
    <w:p>
      <w:pPr>
        <w:pStyle w:val="Normal"/>
        <w:spacing w:lineRule="auto" w:line="276" w:before="0" w:after="120"/>
        <w:rPr/>
      </w:pPr>
      <w:r>
        <w:rPr/>
      </w:r>
    </w:p>
    <w:p>
      <w:pPr>
        <w:pStyle w:val="Normal"/>
        <w:spacing w:lineRule="auto" w:line="276" w:before="0" w:after="120"/>
        <w:jc w:val="center"/>
        <w:rPr/>
      </w:pPr>
      <w:r>
        <w:rPr>
          <w:rFonts w:eastAsia="Times New Roman" w:cs="Times New Roman"/>
          <w:b/>
          <w:bCs/>
          <w:sz w:val="24"/>
          <w:szCs w:val="24"/>
        </w:rPr>
        <w:t xml:space="preserve">Orientador:</w:t>
      </w:r>
    </w:p>
    <w:p>
      <w:pPr>
        <w:pStyle w:val="Normal"/>
        <w:spacing w:lineRule="auto" w:line="276" w:before="0" w:after="120"/>
        <w:jc w:val="center"/>
        <w:rPr/>
      </w:pPr>
      <w:r>
        <w:rPr>
          <w:rFonts w:eastAsia="Times New Roman" w:cs="Times New Roman"/>
          <w:sz w:val="24"/>
          <w:szCs w:val="24"/>
        </w:rPr>
        <w:t xml:space="preserve">D.Sc. Julio César Mello</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ind w:left="4536"/>
        <w:jc w:val="both"/>
        <w:rPr/>
      </w:pPr>
      <w:r>
        <w:rPr>
          <w:rFonts w:eastAsia="Times New Roman" w:cs="Times New Roman"/>
          <w:sz w:val="24"/>
          <w:szCs w:val="24"/>
        </w:rPr>
        <w:t xml:space="preserve">Tesis presentada a la Universidad Comunera, Facultad de Ciencias y Tecnología, Maestría en Ciencias de Datos, como requisito parcial para la obtención del título de Magíster en Ciencias de Datos.</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 xml:space="preserve">Asunción – Paraguay</w:t>
      </w:r>
    </w:p>
    <w:p>
      <w:pPr>
        <w:pStyle w:val="Normal"/>
        <w:spacing w:lineRule="auto" w:line="276" w:before="0" w:after="120"/>
        <w:jc w:val="center"/>
        <w:rPr/>
      </w:pPr>
      <w:r>
        <w:rPr>
          <w:rFonts w:eastAsia="Times New Roman" w:cs="Times New Roman"/>
          <w:b/>
          <w:bCs/>
          <w:sz w:val="24"/>
          <w:szCs w:val="24"/>
        </w:rPr>
        <w:t>SEPTIEMBRE 2026</w:t>
      </w:r>
      <w:r>
        <w:br w:type="page"/>
      </w:r>
    </w:p>
    <w:p>
      <w:pPr>
        <w:pStyle w:val="Normal"/>
        <w:spacing w:lineRule="auto" w:line="276" w:before="0" w:after="240"/>
        <w:jc w:val="center"/>
        <w:rPr/>
      </w:pPr>
      <w:r>
        <w:rPr>
          <w:rFonts w:eastAsia="Times New Roman" w:cs="Times New Roman"/>
          <w:b/>
          <w:bCs/>
          <w:sz w:val="28"/>
          <w:szCs w:val="28"/>
        </w:rPr>
        <w:t>PÁGINA DE APROBACIÓN</w:t>
      </w:r>
    </w:p>
    <w:p>
      <w:pPr>
        <w:pStyle w:val="Normal"/>
        <w:spacing w:lineRule="auto" w:line="276" w:before="0" w:after="120"/>
        <w:rPr/>
      </w:pPr>
      <w:r>
        <w:rPr/>
      </w:r>
    </w:p>
    <w:p>
      <w:pPr>
        <w:pStyle w:val="Normal"/>
        <w:spacing w:lineRule="auto" w:line="276" w:before="0" w:after="120"/>
        <w:rPr/>
      </w:pPr>
      <w:r>
        <w:rPr/>
      </w:r>
    </w:p>
    <w:p>
      <w:pPr>
        <w:pStyle w:val="Normal"/>
        <w:spacing w:lineRule="auto" w:line="360" w:before="0" w:after="160"/>
        <w:ind w:firstLine="709"/>
        <w:jc w:val="both"/>
        <w:rPr/>
      </w:pPr>
      <w:r>
        <w:rPr>
          <w:rFonts w:eastAsia="Times New Roman" w:cs="Times New Roman"/>
          <w:sz w:val="24"/>
          <w:szCs w:val="24"/>
        </w:rPr>
        <w:t>Esta tesis, titulada «Fusión de Imágenes Infrarrojas y Visibles mediante Morfología Matemática», fue presentada por Lic. Juan Pablo Bazán e Ing. Yan Bajac como requisito parcial para la obtención del título de Magíster en Ciencias de Datos, y aprobada por el siguiente tribunal examinador.</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______________________________</w:t>
      </w:r>
    </w:p>
    <w:p>
      <w:pPr>
        <w:pStyle w:val="Normal"/>
        <w:spacing w:lineRule="auto" w:line="276" w:before="0" w:after="120"/>
        <w:jc w:val="center"/>
        <w:rPr/>
      </w:pPr>
      <w:r>
        <w:rPr>
          <w:rFonts w:eastAsia="Times New Roman" w:cs="Times New Roman"/>
          <w:i/>
          <w:iCs/>
          <w:sz w:val="24"/>
          <w:szCs w:val="24"/>
        </w:rPr>
        <w:t>Director de Tesis – D.Sc. Julio César Mello</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______________________________</w:t>
      </w:r>
    </w:p>
    <w:p>
      <w:pPr>
        <w:pStyle w:val="Normal"/>
        <w:spacing w:lineRule="auto" w:line="276" w:before="0" w:after="120"/>
        <w:jc w:val="center"/>
        <w:rPr/>
      </w:pPr>
      <w:r>
        <w:rPr>
          <w:rFonts w:eastAsia="Times New Roman" w:cs="Times New Roman"/>
          <w:i/>
          <w:iCs/>
          <w:sz w:val="24"/>
          <w:szCs w:val="24"/>
        </w:rPr>
        <w:t>Examinador 1</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______________________________</w:t>
      </w:r>
    </w:p>
    <w:p>
      <w:pPr>
        <w:pStyle w:val="Normal"/>
        <w:spacing w:lineRule="auto" w:line="276" w:before="0" w:after="120"/>
        <w:jc w:val="center"/>
        <w:rPr/>
      </w:pPr>
      <w:r>
        <w:rPr>
          <w:rFonts w:eastAsia="Times New Roman" w:cs="Times New Roman"/>
          <w:i/>
          <w:iCs/>
          <w:sz w:val="24"/>
          <w:szCs w:val="24"/>
        </w:rPr>
        <w:t>Examinador 2</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20"/>
        <w:jc w:val="center"/>
        <w:rPr/>
      </w:pPr>
      <w:r>
        <w:rPr>
          <w:rFonts w:eastAsia="Times New Roman" w:cs="Times New Roman"/>
          <w:sz w:val="24"/>
          <w:szCs w:val="24"/>
        </w:rPr>
        <w:t>Asunción, Paraguay</w:t>
      </w:r>
    </w:p>
    <w:p>
      <w:pPr>
        <w:pStyle w:val="Normal"/>
        <w:spacing w:lineRule="auto" w:line="276" w:before="0" w:after="120"/>
        <w:jc w:val="center"/>
        <w:rPr/>
      </w:pPr>
      <w:r>
        <w:rPr>
          <w:rFonts w:eastAsia="Times New Roman" w:cs="Times New Roman"/>
          <w:sz w:val="24"/>
          <w:szCs w:val="24"/>
        </w:rPr>
        <w:t>2026</w:t>
      </w:r>
      <w:r>
        <w:br w:type="page"/>
      </w:r>
    </w:p>
    <w:p>
      <w:pPr>
        <w:pStyle w:val="Heading1"/>
        <w:spacing w:before="0" w:after="240"/>
        <w:jc w:val="start"/>
        <w:rPr/>
      </w:pPr>
      <w:r>
        <w:rPr>
          <w:rFonts w:eastAsia="Times New Roman" w:cs="Times New Roman"/>
          <w:b/>
          <w:bCs/>
          <w:color w:val="000000"/>
          <w:sz w:val="24"/>
          <w:szCs w:val="28"/>
        </w:rPr>
        <w:t>DEDICATORIA</w:t>
      </w:r>
    </w:p>
    <w:p>
      <w:pPr>
        <w:pStyle w:val="Normal"/>
        <w:spacing w:lineRule="auto" w:line="276" w:before="0" w:after="120"/>
        <w:rPr/>
      </w:pPr>
      <w:r>
        <w:rPr/>
      </w:r>
    </w:p>
    <w:p>
      <w:pPr>
        <w:pStyle w:val="Normal"/>
        <w:spacing w:lineRule="auto" w:line="276" w:before="0" w:after="120"/>
        <w:rPr/>
      </w:pPr>
      <w:r>
        <w:rPr/>
      </w:r>
    </w:p>
    <w:p>
      <w:pPr>
        <w:pStyle w:val="Normal"/>
        <w:spacing w:lineRule="auto" w:line="276" w:before="0" w:after="160"/>
        <w:jc w:val="end"/>
        <w:rPr/>
      </w:pPr>
      <w:r>
        <w:rPr>
          <w:rFonts w:eastAsia="Times New Roman" w:cs="Times New Roman"/>
          <w:i/>
          <w:iCs/>
          <w:sz w:val="24"/>
          <w:szCs w:val="24"/>
        </w:rPr>
        <w:t>A nuestras familias, por sostener cada noche larga y cada decisión difícil que llevó este trabajo a término.</w:t>
      </w:r>
    </w:p>
    <w:p>
      <w:pPr>
        <w:pStyle w:val="Normal"/>
        <w:spacing w:lineRule="auto" w:line="276" w:before="0" w:after="160"/>
        <w:jc w:val="end"/>
        <w:rPr/>
      </w:pPr>
      <w:r>
        <w:rPr>
          <w:rFonts w:eastAsia="Times New Roman" w:cs="Times New Roman"/>
          <w:i/>
          <w:iCs/>
          <w:sz w:val="24"/>
          <w:szCs w:val="24"/>
        </w:rPr>
        <w:t>A nuestros profesores y compañeros de la Maestría en Ciencias de Datos, por las discusiones que afilaron las ideas.</w:t>
      </w:r>
    </w:p>
    <w:p>
      <w:pPr>
        <w:pStyle w:val="Normal"/>
        <w:spacing w:lineRule="auto" w:line="276" w:before="0" w:after="160"/>
        <w:jc w:val="end"/>
        <w:rPr/>
      </w:pPr>
      <w:r>
        <w:rPr>
          <w:rFonts w:eastAsia="Times New Roman" w:cs="Times New Roman"/>
          <w:i/>
          <w:iCs/>
          <w:sz w:val="24"/>
          <w:szCs w:val="24"/>
        </w:rPr>
        <w:t>Y a la comunidad de software libre, sin la cual una tesis empírica como esta sería materialmente imposible.</w:t>
      </w:r>
      <w:r>
        <w:br w:type="page"/>
      </w:r>
    </w:p>
    <w:p>
      <w:pPr>
        <w:pStyle w:val="Heading1"/>
        <w:spacing w:before="0" w:after="240"/>
        <w:jc w:val="start"/>
        <w:rPr/>
      </w:pPr>
      <w:r>
        <w:rPr>
          <w:rFonts w:eastAsia="Times New Roman" w:cs="Times New Roman"/>
          <w:b/>
          <w:bCs/>
          <w:color w:val="000000"/>
          <w:sz w:val="24"/>
          <w:szCs w:val="28"/>
        </w:rPr>
        <w:t>AGRADECIMIENTOS</w:t>
      </w:r>
    </w:p>
    <w:p>
      <w:pPr>
        <w:pStyle w:val="Normal"/>
        <w:spacing w:lineRule="auto" w:line="360" w:before="0" w:after="160"/>
        <w:ind w:firstLine="709"/>
        <w:jc w:val="both"/>
        <w:rPr/>
      </w:pPr>
      <w:r>
        <w:rPr>
          <w:rFonts w:eastAsia="Times New Roman" w:cs="Times New Roman"/>
          <w:sz w:val="24"/>
          <w:szCs w:val="24"/>
        </w:rPr>
        <w:t>A la Universidad Comunera (UCOM) y a la Facultad de Ciencias y Tecnología, por brindar el marco académico de la Maestría en Ciencias de Datos.</w:t>
      </w:r>
    </w:p>
    <w:p>
      <w:pPr>
        <w:pStyle w:val="Normal"/>
        <w:spacing w:lineRule="auto" w:line="360" w:before="0" w:after="160"/>
        <w:ind w:firstLine="709"/>
        <w:jc w:val="both"/>
        <w:rPr/>
      </w:pPr>
      <w:r>
        <w:rPr>
          <w:rFonts w:eastAsia="Times New Roman" w:cs="Times New Roman"/>
          <w:sz w:val="24"/>
          <w:szCs w:val="24"/>
        </w:rPr>
        <w:t>A nuestro director de tesis, D.Sc. Julio César Mello, por el rigor metodológico, la paciencia y la orientación constante a lo largo del desarrollo de este trabajo.</w:t>
      </w:r>
    </w:p>
    <w:p>
      <w:pPr>
        <w:pStyle w:val="Normal"/>
        <w:spacing w:lineRule="auto" w:line="360" w:before="0" w:after="160"/>
        <w:ind w:firstLine="709"/>
        <w:jc w:val="both"/>
        <w:rPr/>
      </w:pPr>
      <w:r>
        <w:rPr>
          <w:rFonts w:eastAsia="Times New Roman" w:cs="Times New Roman"/>
          <w:sz w:val="24"/>
          <w:szCs w:val="24"/>
        </w:rPr>
        <w:t>A los autores y mantenedores del dataset TNO Image Fusion Dataset, cuyo material puesto a disposición pública hizo posible la evaluación experimental.</w:t>
      </w:r>
    </w:p>
    <w:p>
      <w:pPr>
        <w:pStyle w:val="Normal"/>
        <w:spacing w:lineRule="auto" w:line="360" w:before="0" w:after="160"/>
        <w:ind w:firstLine="709"/>
        <w:jc w:val="both"/>
        <w:rPr/>
      </w:pPr>
      <w:r>
        <w:rPr>
          <w:rFonts w:eastAsia="Times New Roman" w:cs="Times New Roman"/>
          <w:sz w:val="24"/>
          <w:szCs w:val="24"/>
        </w:rPr>
        <w:t>A los desarrolladores de las bibliotecas científicas de Python (NumPy, OpenCV, scikit-image, SciPy, PyWavelets, Matplotlib, Pandas), pilares de toda la implementación.</w:t>
      </w:r>
    </w:p>
    <w:p>
      <w:pPr>
        <w:pStyle w:val="Normal"/>
        <w:spacing w:lineRule="auto" w:line="360" w:before="0" w:after="160"/>
        <w:ind w:firstLine="709"/>
        <w:jc w:val="both"/>
        <w:rPr/>
      </w:pPr>
      <w:r>
        <w:rPr>
          <w:rFonts w:eastAsia="Times New Roman" w:cs="Times New Roman"/>
          <w:sz w:val="24"/>
          <w:szCs w:val="24"/>
        </w:rPr>
        <w:t>A nuestros colegas y compañeros de cohorte, por las revisiones cruzadas y los comentarios que mejoraron tanto el código como la redacción.</w:t>
      </w:r>
      <w:r>
        <w:br w:type="page"/>
      </w:r>
    </w:p>
    <w:p>
      <w:pPr>
        <w:pStyle w:val="Heading1"/>
        <w:spacing w:before="0" w:after="240"/>
        <w:jc w:val="start"/>
        <w:rPr/>
      </w:pPr>
      <w:r>
        <w:rPr>
          <w:rFonts w:eastAsia="Times New Roman" w:cs="Times New Roman"/>
          <w:b/>
          <w:bCs/>
          <w:color w:val="000000"/>
          <w:sz w:val="24"/>
          <w:szCs w:val="28"/>
        </w:rPr>
        <w:t>RESUMEN</w:t>
      </w:r>
    </w:p>
    <w:p>
      <w:pPr>
        <w:pStyle w:val="Normal"/>
        <w:spacing w:lineRule="auto" w:line="360" w:before="0" w:after="160"/>
        <w:ind w:firstLine="709"/>
        <w:jc w:val="both"/>
        <w:rPr/>
      </w:pPr>
      <w:r>
        <w:rPr>
          <w:rFonts w:eastAsia="Times New Roman" w:cs="Times New Roman"/>
        </w:rPr>
        <w:t xml:space="preserve">La fusión de imágenes visible (VIS) e infrarroja (IR) es clave para la percepción computacional en condiciones adversas (vigilancia, conducción nocturna, búsqueda y rescate). Este trabajo propone la PROPUESTA NOVEDOSA, un método de fusión basado en la transformada Top-Hat que, sobre una única escala, promedia las respuestas de cuatro elementos estructurantes lineales (0°, 45°, 90°, 135°) y las suma a la respuesta de un disco para obtener transformadas Top-Hat y Bottom-Hat óptimas; la reconstrucción sigue el esquema aditivo–sustractivo de Bala et al., y el radio r del banco de elementos estructurantes y el peso de contraste m se ajustan automáticamente por Optimización por Enjambre de Partículas (PSO), cuya configuración se selecciona mediante un barrido sistemático de 25 combinaciones de partículas e iteraciones (2–10 × 10–50), replicando el diseño experimental de Ortega y Espinoza (2025). Se lo compara con seis métodos: cinco representativos del estado del arte —pirámide de Laplace (LP), Ratio of low-pass Pyramid (RP), wavelet discreta (DWT), Dual-Tree Complex Wavelet (DTCWT) y curvelet (CVT)— y la metodología clásica de la transformada Top-Hat, sobre el TNO Image Fusion Dataset, con nueve métricas sin referencia bajo pruebas no paramétricas (Friedman y Wilcoxon con corrección de Holm). En su configuración óptima (PSO: r=25, m=0,30) la propuesta lidera la entropía y el contenido de bordes del estudio (EN=6,9888; FE=1,1045) y se ubica segunda en contraste, gradiente medio y frecuencia espacial (SD=0,1477; MG=0,0353; SF=17,3435), con ventaja estadísticamente significativa sobre los cinco métodos del estado del arte en EN, FE, MG y SF; cede, en cambio, en las métricas de fidelidad a las fuentes (SSIM=0,6677; PSNR=17,2546) y en información mutua, lideradas por los métodos multiescala. En el ranking agregado de las nueve métricas ocupa el segundo lugar (3,67), detrás de la pirámide de Laplace (3,44). Como evaluación orientada a tarea, el reentrenamiento de un detector (YOLOv8n) sobre el conjunto etiquetado LLVIP muestra que toda fusión supera con claridad al visible solo (mAP@0,5 de 0,81 a 0,91–0,95), aunque el infrarrojo solo es la modalidad más fuerte (0,957) y la propuesta queda en el extremo inferior de la banda de fusiones (0,913), evidenciando que el realce que premian las métricas de actividad no se traslada a la detección. En un experimento complementario sobre M3FD, con dos clases de visibilidad opuesta (personas/IR y luces/VIS) y un único detector entrenado con ambas modalidades, todas las fusiones detectan ambas clases en una sola imagen —algo que el infrarrojo no logra— y la Ratio Pyramid alcanza el mejor promedio del par complementario (0,165), mientras la propuesta alcanza un valor intermedio (0,124). Se concluye que la propuesta destaca en actividad, detalle y contenido informativo —superando de forma significativa al estado del arte en cuatro de las nueve métricas y a la metodología clásica en seis—, aporta un operador morfológico de una sola escala interpretable y de bajo costo optimizado con una metodología publicada (Ortega y Espinoza, 2025), y, en la evaluación orientada a tarea, documenta un hallazgo relevante: la configuración que maximiza las métricas de actividad no es la que maximiza el desempeño de detección, de modo que ambos criterios deben reportarse por separado.</w:t>
      </w:r>
    </w:p>
    <w:p>
      <w:pPr>
        <w:pStyle w:val="Normal"/>
        <w:spacing w:lineRule="auto" w:line="360" w:before="0" w:after="160"/>
        <w:ind w:firstLine="709"/>
        <w:jc w:val="both"/>
        <w:rPr/>
      </w:pPr>
      <w:r>
        <w:rPr>
          <w:rFonts w:eastAsia="Times New Roman" w:cs="Times New Roman"/>
          <w:i/>
          <w:iCs/>
          <w:sz w:val="24"/>
          <w:szCs w:val="24"/>
        </w:rPr>
        <w:t>Palabras clave: fusión de imágenes, morfología matemática, top-hat, infrarrojo, visible, PSO, métricas sin referencia.</w:t>
      </w:r>
      <w:r>
        <w:br w:type="page"/>
      </w:r>
    </w:p>
    <w:p>
      <w:pPr>
        <w:pStyle w:val="Heading1"/>
        <w:spacing w:before="0" w:after="240"/>
        <w:jc w:val="start"/>
        <w:rPr/>
      </w:pPr>
      <w:r>
        <w:rPr>
          <w:rFonts w:eastAsia="Times New Roman" w:cs="Times New Roman"/>
          <w:b/>
          <w:bCs/>
          <w:color w:val="000000"/>
          <w:sz w:val="24"/>
          <w:szCs w:val="28"/>
        </w:rPr>
        <w:t>SUMMARY</w:t>
      </w:r>
    </w:p>
    <w:p>
      <w:pPr>
        <w:pStyle w:val="Normal"/>
        <w:spacing w:lineRule="auto" w:line="360" w:before="0" w:after="160"/>
        <w:ind w:firstLine="709"/>
        <w:jc w:val="both"/>
        <w:rPr/>
      </w:pPr>
      <w:r>
        <w:rPr>
          <w:rFonts w:eastAsia="Times New Roman" w:cs="Times New Roman"/>
        </w:rPr>
        <w:t xml:space="preserve">Visible (VIS) and infrared (IR) image fusion is key for computer perception under adverse conditions (surveillance, night driving, search and rescue). This work proposes the NOVEL PROPOSAL, a fusion method based on the Top-Hat transform that, on a single scale, averages the responses of four linear structuring elements (0°, 45°, 90°, 135°) and adds them to the disk response to obtain optimal Top-Hat and Bottom-Hat transforms; reconstruction follows the additive–subtractive scheme of Bala et al., and the structuring-element radius r and the contrast weight m are tuned automatically by Particle Swarm Optimization (PSO), whose configuration is selected through a systematic sweep of 25 particle/iteration combinations (2–10 × 10–50), replicating the experimental design of Ortega and Espinoza (2025). It is compared against six methods: five representative of the state of the art —Laplacian pyramid (LP), Ratio of low-pass Pyramid (RP), Discrete Wavelet Transform (DWT), Dual-Tree Complex Wavelet Transform (DTCWT) and Curvelet (CVT)— plus the classical Top-Hat fusion methodology, on the TNO Image Fusion Dataset, using nine no-reference metrics under non-parametric testing (Friedman, Wilcoxon with Holm correction). At its optimal configuration (PSO: r=25, m=0.30) the proposal leads the study in entropy and edge content (EN=6.9888; FE=1.1045) and ranks second in contrast, mean gradient and spatial frequency (SD=0.1477; MG=0.0353; SF=17.3435), with a statistically significant advantage over the five state-of-the-art methods in EN, FE, MG and SF; it yields, in turn, on the fidelity metrics (SSIM=0.6677; PSNR=17.2546) and on mutual information, led by the multiscale methods. In the aggregate ranking over the nine metrics it ranks second (3.67), behind the Laplacian pyramid (3.44). As a task-oriented evaluation, retraining a detector (YOLOv8n) on the labeled LLVIP dataset shows that every fusion clearly outperforms the visible modality alone (mAP@0.5 from 0.81 to 0.91–0.95), although the infrared alone remains the strongest modality (0.957) and the proposal falls at the lower end of the fusion band (0.913), evidencing that the enhancement rewarded by activity metrics does not transfer to detection. In a complementary experiment on M3FD, with two classes of opposite visibility (people/IR and lamps/VIS) and a single detector trained on both modalities, every fusion detects both classes in a single image —which the infrared alone cannot— and the Ratio Pyramid attains the best complementary-pair average (0.165), while the proposal reaches an intermediate value (0.124). We conclude that the proposal stands out in activity, detail and information content —significantly outperforming the state of the art in four of the nine metrics and the classical methodology in six—, contributes an interpretable single-scale morphological operator optimized with a published methodology (Ortega and Espinoza, 2025), and, in the task-oriented evaluation, documents a relevant finding: the configuration that maximizes activity metrics is not the one that maximizes detection performance, so both criteria must be reported separately.</w:t>
      </w:r>
    </w:p>
    <w:p>
      <w:pPr>
        <w:pStyle w:val="Normal"/>
        <w:spacing w:lineRule="auto" w:line="360" w:before="0" w:after="160"/>
        <w:ind w:firstLine="709"/>
        <w:jc w:val="both"/>
        <w:rPr/>
      </w:pPr>
      <w:r>
        <w:rPr>
          <w:rFonts w:eastAsia="Times New Roman" w:cs="Times New Roman"/>
          <w:i/>
          <w:iCs/>
          <w:sz w:val="24"/>
          <w:szCs w:val="24"/>
        </w:rPr>
        <w:t>Keywords: image fusion, mathematical morphology, top-hat, infrared, visible, multi-scale, no-reference metrics.</w:t>
      </w:r>
      <w:r>
        <w:br w:type="page"/>
      </w:r>
    </w:p>
    <w:p>
      <w:pPr>
        <w:pStyle w:val="Normal"/>
        <w:spacing w:before="0" w:after="240"/>
        <w:jc w:val="center"/>
        <w:rPr/>
      </w:pPr>
      <w:commentRangeStart w:id="0"/>
      <w:r>
        <w:rPr>
          <w:rFonts w:eastAsia="Times New Roman" w:cs="Times New Roman"/>
          <w:b/>
          <w:sz w:val="24"/>
        </w:rPr>
        <w:t>CONTENIDO</w:t>
      </w:r>
      <w:commentRangeEnd w:id="0"/>
      <w:r>
        <w:commentReference w:id="0"/>
      </w:r>
      <w:r>
        <w:rPr>
          <w:rFonts w:eastAsia="Times New Roman" w:cs="Times New Roman"/>
          <w:b/>
          <w:sz w:val="24"/>
        </w:rPr>
      </w:r>
    </w:p>
    <w:p>
      <w:pPr>
        <w:pStyle w:val="Normal"/>
        <w:tabs>
          <w:tab w:val="clear" w:pos="720"/>
          <w:tab w:val="right" w:pos="9354" w:leader="dot"/>
        </w:tabs>
        <w:spacing w:lineRule="auto" w:line="360" w:before="0" w:after="0"/>
        <w:ind w:hanging="0" w:start="0"/>
        <w:rPr/>
      </w:pPr>
      <w:r>
        <w:rPr>
          <w:rFonts w:eastAsia="Times New Roman" w:cs="Times New Roman"/>
          <w:b w:val="false"/>
          <w:sz w:val="24"/>
        </w:rPr>
        <w:t>LISTA DE SIGLAS</w:t>
        <w:tab/>
        <w:t>8</w:t>
      </w:r>
    </w:p>
    <w:p>
      <w:pPr>
        <w:pStyle w:val="Normal"/>
        <w:tabs>
          <w:tab w:val="clear" w:pos="720"/>
          <w:tab w:val="right" w:pos="9354" w:leader="dot"/>
        </w:tabs>
        <w:spacing w:lineRule="auto" w:line="360" w:before="0" w:after="0"/>
        <w:ind w:hanging="0" w:start="0"/>
        <w:rPr/>
      </w:pPr>
      <w:r>
        <w:rPr>
          <w:rFonts w:eastAsia="Times New Roman" w:cs="Times New Roman"/>
          <w:b w:val="false"/>
          <w:sz w:val="24"/>
        </w:rPr>
        <w:t>LISTA DE FIGURAS</w:t>
        <w:tab/>
        <w:t>8</w:t>
      </w:r>
    </w:p>
    <w:p>
      <w:pPr>
        <w:pStyle w:val="Normal"/>
        <w:tabs>
          <w:tab w:val="clear" w:pos="720"/>
          <w:tab w:val="right" w:pos="9354" w:leader="dot"/>
        </w:tabs>
        <w:spacing w:lineRule="auto" w:line="360" w:before="0" w:after="0"/>
        <w:ind w:hanging="0" w:start="0"/>
        <w:rPr/>
      </w:pPr>
      <w:r>
        <w:rPr>
          <w:rFonts w:eastAsia="Times New Roman" w:cs="Times New Roman"/>
          <w:b w:val="false"/>
          <w:sz w:val="24"/>
        </w:rPr>
        <w:t>LISTA DE TABLAS</w:t>
        <w:tab/>
        <w:t>8</w:t>
      </w:r>
    </w:p>
    <w:p>
      <w:pPr>
        <w:pStyle w:val="Normal"/>
        <w:tabs>
          <w:tab w:val="clear" w:pos="720"/>
          <w:tab w:val="right" w:pos="9354" w:leader="dot"/>
        </w:tabs>
        <w:spacing w:lineRule="auto" w:line="360" w:before="0" w:after="0"/>
        <w:ind w:hanging="0" w:start="0"/>
        <w:rPr/>
      </w:pPr>
      <w:r>
        <w:rPr>
          <w:rFonts w:eastAsia="Times New Roman" w:cs="Times New Roman"/>
          <w:b w:val="false"/>
          <w:sz w:val="24"/>
        </w:rPr>
        <w:t>INTRODUCCIÓN</w:t>
        <w:tab/>
        <w:t>14</w:t>
      </w:r>
    </w:p>
    <w:p>
      <w:pPr>
        <w:pStyle w:val="Normal"/>
        <w:tabs>
          <w:tab w:val="clear" w:pos="720"/>
          <w:tab w:val="right" w:pos="9354" w:leader="dot"/>
        </w:tabs>
        <w:spacing w:lineRule="auto" w:line="360" w:before="0" w:after="0"/>
        <w:ind w:hanging="0" w:start="0"/>
        <w:rPr/>
      </w:pPr>
      <w:r>
        <w:rPr>
          <w:rFonts w:eastAsia="Times New Roman" w:cs="Times New Roman"/>
          <w:b w:val="false"/>
          <w:sz w:val="24"/>
        </w:rPr>
        <w:t>1. PROBLEMA DE INVESTIGACIÓN</w:t>
        <w:tab/>
        <w:t>16</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1.1 Descripción del problema</w:t>
        <w:tab/>
        <w:t>16</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1.2 Justificación e importancia</w:t>
        <w:tab/>
        <w:t>16</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1.3 Objetivos</w:t>
        <w:tab/>
        <w:t>17</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1.3.1 General</w:t>
        <w:tab/>
        <w:t>17</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1.3.2 Específicos</w:t>
        <w:tab/>
        <w:t>17</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1.4 Formulación del problema</w:t>
        <w:tab/>
        <w:t>17</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1.4.1 Problema general</w:t>
        <w:tab/>
        <w:t>17</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1.4.2 Problemas específicos</w:t>
        <w:tab/>
        <w:t>18</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1.5 Hipótesis</w:t>
        <w:tab/>
        <w:t>18</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1.6 Limitaciones de la investigación</w:t>
        <w:tab/>
        <w:t>18</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1.7 Alcance</w:t>
        <w:tab/>
        <w:t>19</w:t>
      </w:r>
    </w:p>
    <w:p>
      <w:pPr>
        <w:pStyle w:val="Normal"/>
        <w:tabs>
          <w:tab w:val="clear" w:pos="720"/>
          <w:tab w:val="right" w:pos="9354" w:leader="dot"/>
        </w:tabs>
        <w:spacing w:lineRule="auto" w:line="360" w:before="0" w:after="0"/>
        <w:ind w:hanging="0" w:start="0"/>
        <w:rPr/>
      </w:pPr>
      <w:r>
        <w:rPr>
          <w:rFonts w:eastAsia="Times New Roman" w:cs="Times New Roman"/>
          <w:b w:val="false"/>
          <w:sz w:val="24"/>
        </w:rPr>
        <w:t>2. MARCO TEÓRICO</w:t>
        <w:tab/>
        <w:t>20</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2.1 Estado del arte</w:t>
        <w:tab/>
        <w:t>20</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2.2 Fundamentación teórica</w:t>
        <w:tab/>
        <w:t>21</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2.2.1 Fusión de imágenes multimodal</w:t>
        <w:tab/>
        <w:t>21</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2.2.2 Morfología matemática</w:t>
        <w:tab/>
        <w:t>22</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2.2.3 Transformada Top-Hat</w:t>
        <w:tab/>
        <w:t>22</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2.2.4 Metodología clásica de fusión Top-Hat</w:t>
        <w:tab/>
        <w:t>23</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2.2.5 Propuesta Novedosa: método de fusión Top-Hat con elementos estructurantes circulares y lineales optimizado por PSO</w:t>
        <w:tab/>
        <w:t>24</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2.2.6 Métodos comparativos del benchmark</w:t>
        <w:tab/>
        <w:t>29</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2.2.7 Métricas de evaluación</w:t>
        <w:tab/>
        <w:t>29</w:t>
      </w:r>
    </w:p>
    <w:p>
      <w:pPr>
        <w:pStyle w:val="Normal"/>
        <w:tabs>
          <w:tab w:val="clear" w:pos="720"/>
          <w:tab w:val="right" w:pos="9354" w:leader="dot"/>
        </w:tabs>
        <w:spacing w:lineRule="auto" w:line="360" w:before="0" w:after="0"/>
        <w:ind w:hanging="0" w:start="0"/>
        <w:rPr/>
      </w:pPr>
      <w:r>
        <w:rPr>
          <w:rFonts w:eastAsia="Times New Roman" w:cs="Times New Roman"/>
          <w:b w:val="false"/>
          <w:sz w:val="24"/>
        </w:rPr>
        <w:t>3. MARCO CONCEPTUAL</w:t>
        <w:tab/>
        <w:t>33</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3.1 Imagen visible (VIS)</w:t>
        <w:tab/>
        <w:t>33</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3.2 Imagen infrarroja (IR)</w:t>
        <w:tab/>
        <w:t>33</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3.3 Elemento estructurante (SE)</w:t>
        <w:tab/>
        <w:t>33</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3.4 White Top-Hat (WTH)</w:t>
        <w:tab/>
        <w:t>33</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3.5 Black Top-Hat (BTH)</w:t>
        <w:tab/>
        <w:t>33</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3.6 Descomposición multiescala</w:t>
        <w:tab/>
        <w:t>33</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3.7 Regla de fusión por actividad local</w:t>
        <w:tab/>
        <w:t>33</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3.8 Métrica sin referencia</w:t>
        <w:tab/>
        <w:t>34</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3.9 Prueba de Friedman</w:t>
        <w:tab/>
        <w:t>34</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3.10 Prueba de Wilcoxon</w:t>
        <w:tab/>
        <w:t>34</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3.11 Elemento estructurante lineal</w:t>
        <w:tab/>
        <w:t>34</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3.12 Combinación de respuestas por suma</w:t>
        <w:tab/>
        <w:t>34</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3.13 Fusión Top-Hat clásica</w:t>
        <w:tab/>
        <w:t>34</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3.14 Peso de ajuste de contraste (m)</w:t>
        <w:tab/>
        <w:t>35</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3.15 Optimización por Enjambre de Partículas (PSO)</w:t>
        <w:tab/>
        <w:t>35</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3.16 Función de aptitud</w:t>
        <w:tab/>
        <w:t>35</w:t>
      </w:r>
    </w:p>
    <w:p>
      <w:pPr>
        <w:pStyle w:val="Normal"/>
        <w:tabs>
          <w:tab w:val="clear" w:pos="720"/>
          <w:tab w:val="right" w:pos="9354" w:leader="dot"/>
        </w:tabs>
        <w:spacing w:lineRule="auto" w:line="360" w:before="0" w:after="0"/>
        <w:ind w:hanging="0" w:start="0"/>
        <w:rPr/>
      </w:pPr>
      <w:r>
        <w:rPr>
          <w:rFonts w:eastAsia="Times New Roman" w:cs="Times New Roman"/>
          <w:b w:val="false"/>
          <w:sz w:val="24"/>
        </w:rPr>
        <w:t>4. MARCO METODOLÓGICO</w:t>
        <w:tab/>
        <w:t>36</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4.1 Enfoque</w:t>
        <w:tab/>
        <w:t>36</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4.2 Tipo</w:t>
        <w:tab/>
        <w:t>36</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4.3 Diseño</w:t>
        <w:tab/>
        <w:t>36</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4.4 Operacionalización de las variables</w:t>
        <w:tab/>
        <w:t>36</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4.5 Dataset y preprocesamiento</w:t>
        <w:tab/>
        <w:t>37</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4.6 Implementación</w:t>
        <w:tab/>
        <w:t>38</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4.7 Análisis estadístico</w:t>
        <w:tab/>
        <w:t>38</w:t>
      </w:r>
    </w:p>
    <w:p>
      <w:pPr>
        <w:pStyle w:val="Normal"/>
        <w:tabs>
          <w:tab w:val="clear" w:pos="720"/>
          <w:tab w:val="right" w:pos="9354" w:leader="dot"/>
        </w:tabs>
        <w:spacing w:lineRule="auto" w:line="360" w:before="0" w:after="0"/>
        <w:ind w:hanging="0" w:start="0"/>
        <w:rPr/>
      </w:pPr>
      <w:r>
        <w:rPr>
          <w:rFonts w:eastAsia="Times New Roman" w:cs="Times New Roman"/>
          <w:b w:val="false"/>
          <w:sz w:val="24"/>
        </w:rPr>
        <w:t>5. ANÁLISIS E INTERPRETACIÓN DE RESULTADOS</w:t>
        <w:tab/>
        <w:t>39</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5.1 Caracterización del dataset</w:t>
        <w:tab/>
        <w:t>39</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5.2 Análisis cualitativo: comparación visual</w:t>
        <w:tab/>
        <w:t>39</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5.3 Resultados cuantitativos: promedio por método</w:t>
        <w:tab/>
        <w:t>40</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5.4 Análisis estadístico no paramétrico</w:t>
        <w:tab/>
        <w:t>43</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5.4.1 Prueba de Friedman global</w:t>
        <w:tab/>
        <w:t>43</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5.4.2 Comparaciones pareadas Wilcoxon</w:t>
        <w:tab/>
        <w:t>44</w:t>
      </w:r>
    </w:p>
    <w:p>
      <w:pPr>
        <w:pStyle w:val="Normal"/>
        <w:tabs>
          <w:tab w:val="clear" w:pos="720"/>
          <w:tab w:val="right" w:pos="9354" w:leader="dot"/>
        </w:tabs>
        <w:spacing w:lineRule="auto" w:line="360" w:before="0" w:after="0"/>
        <w:ind w:hanging="0" w:start="680"/>
        <w:rPr/>
      </w:pPr>
      <w:r>
        <w:rPr>
          <w:rFonts w:eastAsia="Times New Roman" w:cs="Times New Roman"/>
          <w:b w:val="false"/>
          <w:sz w:val="24"/>
        </w:rPr>
        <w:t>5.4.3 Ranking promedio</w:t>
        <w:tab/>
        <w:t>44</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5.5 Evaluación orientada a tarea: detección con YOLO (LLVIP y M3FD)</w:t>
        <w:tab/>
        <w:t>48</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5.6 Propuesta Novedosa (método central)</w:t>
        <w:tab/>
        <w:t>50</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5.7 Discusión integrada</w:t>
        <w:tab/>
        <w:t>53</w:t>
      </w:r>
    </w:p>
    <w:p>
      <w:pPr>
        <w:pStyle w:val="Normal"/>
        <w:tabs>
          <w:tab w:val="clear" w:pos="720"/>
          <w:tab w:val="right" w:pos="9354" w:leader="dot"/>
        </w:tabs>
        <w:spacing w:lineRule="auto" w:line="360" w:before="0" w:after="0"/>
        <w:ind w:hanging="0" w:start="0"/>
        <w:rPr/>
      </w:pPr>
      <w:r>
        <w:rPr>
          <w:rFonts w:eastAsia="Times New Roman" w:cs="Times New Roman"/>
          <w:b w:val="false"/>
          <w:sz w:val="24"/>
        </w:rPr>
        <w:t>6. CONCLUSIONES Y RECOMENDACIONES</w:t>
        <w:tab/>
        <w:t>55</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6.1 Conclusiones</w:t>
        <w:tab/>
        <w:t>55</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6.2 Recomendaciones</w:t>
        <w:tab/>
        <w:t>56</w:t>
      </w:r>
    </w:p>
    <w:p>
      <w:pPr>
        <w:pStyle w:val="Normal"/>
        <w:tabs>
          <w:tab w:val="clear" w:pos="720"/>
          <w:tab w:val="right" w:pos="9354" w:leader="dot"/>
        </w:tabs>
        <w:spacing w:lineRule="auto" w:line="360" w:before="0" w:after="0"/>
        <w:ind w:hanging="0" w:start="0"/>
        <w:rPr/>
      </w:pPr>
      <w:r>
        <w:rPr>
          <w:rFonts w:eastAsia="Times New Roman" w:cs="Times New Roman"/>
          <w:b w:val="false"/>
          <w:sz w:val="24"/>
        </w:rPr>
        <w:t>7. REFERENCIAS BIBLIOGRÁFICAS</w:t>
        <w:tab/>
        <w:t>58</w:t>
      </w:r>
    </w:p>
    <w:p>
      <w:pPr>
        <w:pStyle w:val="Normal"/>
        <w:tabs>
          <w:tab w:val="clear" w:pos="720"/>
          <w:tab w:val="right" w:pos="9354" w:leader="dot"/>
        </w:tabs>
        <w:spacing w:lineRule="auto" w:line="360" w:before="0" w:after="0"/>
        <w:ind w:hanging="0" w:start="0"/>
        <w:rPr/>
      </w:pPr>
      <w:r>
        <w:rPr>
          <w:rFonts w:eastAsia="Times New Roman" w:cs="Times New Roman"/>
          <w:b w:val="false"/>
          <w:sz w:val="24"/>
        </w:rPr>
        <w:t>8. APÉNDICE</w:t>
        <w:tab/>
        <w:t>61</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A. Repositorio del código</w:t>
        <w:tab/>
        <w:t>61</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B. Configuraciones del barrido PSO</w:t>
        <w:tab/>
        <w:t>61</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C. Tablas estadísticas extendidas</w:t>
        <w:tab/>
        <w:t>61</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D. Pseudocódigo de la fusión Top-Hat clásica</w:t>
        <w:tab/>
        <w:t>62</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E. Refinamiento metodológico de la regla de fusión</w:t>
        <w:tab/>
        <w:t>62</w:t>
      </w:r>
    </w:p>
    <w:p>
      <w:pPr>
        <w:pStyle w:val="Normal"/>
        <w:tabs>
          <w:tab w:val="clear" w:pos="720"/>
          <w:tab w:val="right" w:pos="9354" w:leader="dot"/>
        </w:tabs>
        <w:spacing w:lineRule="auto" w:line="360" w:before="0" w:after="0"/>
        <w:ind w:hanging="0" w:start="340"/>
        <w:rPr/>
      </w:pPr>
      <w:r>
        <w:rPr>
          <w:rFonts w:eastAsia="Times New Roman" w:cs="Times New Roman"/>
          <w:b w:val="false"/>
          <w:sz w:val="24"/>
        </w:rPr>
        <w:t>F. Hardware y tiempos de ejecución</w:t>
        <w:tab/>
        <w:t>63</w:t>
      </w:r>
      <w:r>
        <w:br w:type="page"/>
      </w:r>
    </w:p>
    <w:p>
      <w:pPr>
        <w:pStyle w:val="Heading1"/>
        <w:spacing w:before="0" w:after="240"/>
        <w:jc w:val="start"/>
        <w:rPr/>
      </w:pPr>
      <w:r>
        <w:rPr>
          <w:rFonts w:eastAsia="Times New Roman" w:cs="Times New Roman"/>
          <w:b/>
          <w:bCs/>
          <w:color w:val="000000"/>
          <w:sz w:val="24"/>
          <w:szCs w:val="28"/>
        </w:rPr>
        <w:t>LISTA DE SIGLAS</w:t>
      </w:r>
    </w:p>
    <w:tbl>
      <w:tblPr>
        <w:tblW w:w="9360" w:type="dxa"/>
        <w:jc w:val="start"/>
        <w:tblInd w:w="0" w:type="dxa"/>
        <w:tblLayout w:type="fixed"/>
        <w:tblCellMar>
          <w:top w:w="80" w:type="dxa"/>
          <w:start w:w="120" w:type="dxa"/>
          <w:bottom w:w="80" w:type="dxa"/>
          <w:end w:w="120" w:type="dxa"/>
        </w:tblCellMar>
      </w:tblPr>
      <w:tblGrid>
        <w:gridCol w:w="2398"/>
        <w:gridCol w:w="6962"/>
      </w:tblGrid>
      <w:tr>
        <w:trPr>
          <w:tblHeader w:val="true"/>
        </w:trPr>
        <w:tc>
          <w:tcPr>
            <w:tcW w:w="2398" w:type="dxa"/>
            <w:tcBorders>
              <w:top w:val="single" w:sz="4" w:space="0" w:color="000000"/>
              <w:start w:val="single" w:sz="4" w:space="0" w:color="000000"/>
              <w:bottom w:val="single" w:sz="4" w:space="0" w:color="000000"/>
              <w:end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Sigla</w:t>
            </w:r>
          </w:p>
        </w:tc>
        <w:tc>
          <w:tcPr>
            <w:tcW w:w="6962" w:type="dxa"/>
            <w:tcBorders>
              <w:top w:val="single" w:sz="4" w:space="0" w:color="000000"/>
              <w:start w:val="single" w:sz="4" w:space="0" w:color="000000"/>
              <w:bottom w:val="single" w:sz="4" w:space="0" w:color="000000"/>
              <w:end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Significado</w:t>
            </w:r>
          </w:p>
        </w:tc>
      </w:tr>
      <w:tr>
        <w:trPr/>
        <w:tc>
          <w:tcPr>
            <w:tcW w:w="239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VIS</w:t>
            </w:r>
          </w:p>
        </w:tc>
        <w:tc>
          <w:tcPr>
            <w:tcW w:w="696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Espectro visible</w:t>
            </w:r>
          </w:p>
        </w:tc>
      </w:tr>
      <w:tr>
        <w:trPr/>
        <w:tc>
          <w:tcPr>
            <w:tcW w:w="2398"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IR</w:t>
            </w:r>
          </w:p>
        </w:tc>
        <w:tc>
          <w:tcPr>
            <w:tcW w:w="6962"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Infrarrojo</w:t>
            </w:r>
          </w:p>
        </w:tc>
      </w:tr>
      <w:tr>
        <w:trPr/>
        <w:tc>
          <w:tcPr>
            <w:tcW w:w="239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SE</w:t>
            </w:r>
          </w:p>
        </w:tc>
        <w:tc>
          <w:tcPr>
            <w:tcW w:w="696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Elemento estructurante (Structuring Element)</w:t>
            </w:r>
          </w:p>
        </w:tc>
      </w:tr>
      <w:tr>
        <w:trPr/>
        <w:tc>
          <w:tcPr>
            <w:tcW w:w="2398"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WTH</w:t>
            </w:r>
          </w:p>
        </w:tc>
        <w:tc>
          <w:tcPr>
            <w:tcW w:w="6962"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White Top-Hat (Top-Hat blanco)</w:t>
            </w:r>
          </w:p>
        </w:tc>
      </w:tr>
      <w:tr>
        <w:trPr/>
        <w:tc>
          <w:tcPr>
            <w:tcW w:w="239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BTH</w:t>
            </w:r>
          </w:p>
        </w:tc>
        <w:tc>
          <w:tcPr>
            <w:tcW w:w="696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Black Top-Hat (Top-Hat negro)</w:t>
            </w:r>
          </w:p>
        </w:tc>
      </w:tr>
      <w:tr>
        <w:trPr/>
        <w:tc>
          <w:tcPr>
            <w:tcW w:w="2398"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MM</w:t>
            </w:r>
          </w:p>
        </w:tc>
        <w:tc>
          <w:tcPr>
            <w:tcW w:w="6962"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Morfología matemática</w:t>
            </w:r>
          </w:p>
        </w:tc>
      </w:tr>
      <w:tr>
        <w:trPr/>
        <w:tc>
          <w:tcPr>
            <w:tcW w:w="239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EN</w:t>
            </w:r>
          </w:p>
        </w:tc>
        <w:tc>
          <w:tcPr>
            <w:tcW w:w="696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Entropía de Shannon</w:t>
            </w:r>
          </w:p>
        </w:tc>
      </w:tr>
      <w:tr>
        <w:trPr/>
        <w:tc>
          <w:tcPr>
            <w:tcW w:w="2398"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SD</w:t>
            </w:r>
          </w:p>
        </w:tc>
        <w:tc>
          <w:tcPr>
            <w:tcW w:w="6962"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Desviación estándar</w:t>
            </w:r>
          </w:p>
        </w:tc>
      </w:tr>
      <w:tr>
        <w:trPr/>
        <w:tc>
          <w:tcPr>
            <w:tcW w:w="239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FE</w:t>
            </w:r>
          </w:p>
        </w:tc>
        <w:tc>
          <w:tcPr>
            <w:tcW w:w="696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Factor / eficiencia de fusión</w:t>
            </w:r>
          </w:p>
        </w:tc>
      </w:tr>
      <w:tr>
        <w:trPr/>
        <w:tc>
          <w:tcPr>
            <w:tcW w:w="2398"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MG</w:t>
            </w:r>
          </w:p>
        </w:tc>
        <w:tc>
          <w:tcPr>
            <w:tcW w:w="6962"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Gradiente medio</w:t>
            </w:r>
          </w:p>
        </w:tc>
      </w:tr>
      <w:tr>
        <w:trPr/>
        <w:tc>
          <w:tcPr>
            <w:tcW w:w="239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MI</w:t>
            </w:r>
          </w:p>
        </w:tc>
        <w:tc>
          <w:tcPr>
            <w:tcW w:w="696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Información mutua (Mutual Information)</w:t>
            </w:r>
          </w:p>
        </w:tc>
      </w:tr>
      <w:tr>
        <w:trPr/>
        <w:tc>
          <w:tcPr>
            <w:tcW w:w="2398"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TNO</w:t>
            </w:r>
          </w:p>
        </w:tc>
        <w:tc>
          <w:tcPr>
            <w:tcW w:w="6962"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TNO Image Fusion Dataset (Países Bajos)</w:t>
            </w:r>
          </w:p>
        </w:tc>
      </w:tr>
      <w:tr>
        <w:trPr/>
        <w:tc>
          <w:tcPr>
            <w:tcW w:w="239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PCA</w:t>
            </w:r>
          </w:p>
        </w:tc>
        <w:tc>
          <w:tcPr>
            <w:tcW w:w="696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Análisis de componentes principales</w:t>
            </w:r>
          </w:p>
        </w:tc>
      </w:tr>
      <w:tr>
        <w:trPr/>
        <w:tc>
          <w:tcPr>
            <w:tcW w:w="2398"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DWT</w:t>
            </w:r>
          </w:p>
        </w:tc>
        <w:tc>
          <w:tcPr>
            <w:tcW w:w="6962"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Transformada wavelet discreta</w:t>
            </w:r>
          </w:p>
        </w:tc>
      </w:tr>
      <w:tr>
        <w:trPr/>
        <w:tc>
          <w:tcPr>
            <w:tcW w:w="239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DTCWT</w:t>
            </w:r>
          </w:p>
        </w:tc>
        <w:tc>
          <w:tcPr>
            <w:tcW w:w="696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Transformada wavelet compleja de árbol dual</w:t>
            </w:r>
          </w:p>
        </w:tc>
      </w:tr>
      <w:tr>
        <w:trPr/>
        <w:tc>
          <w:tcPr>
            <w:tcW w:w="2398"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CNN</w:t>
            </w:r>
          </w:p>
        </w:tc>
        <w:tc>
          <w:tcPr>
            <w:tcW w:w="6962"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Red neuronal convolucional</w:t>
            </w:r>
          </w:p>
        </w:tc>
      </w:tr>
      <w:tr>
        <w:trPr/>
        <w:tc>
          <w:tcPr>
            <w:tcW w:w="2398"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GAN</w:t>
            </w:r>
          </w:p>
        </w:tc>
        <w:tc>
          <w:tcPr>
            <w:tcW w:w="696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Red generativa antagónica</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SF</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Frecuencia espacial (Spatial Frequency)</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Qabf</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Métrica de preservación de bordes (Xydeas-Petrovic)</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Nabf</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Artefactos añadidos por la fusión (menor es mejor)</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SSIM</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Índice de similitud estructural (Structural Similarity)</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SCD</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Suma de correlaciones de las diferencias</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VIF</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rPr>
              <w:t>Fidelidad de información visual (Visual Information Fidelity)</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b w:val="false"/>
              </w:rPr>
              <w:t>YOLO</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b w:val="false"/>
              </w:rPr>
              <w:t>You Only Look Once (detector de objetos)</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b w:val="false"/>
              </w:rPr>
              <w:t>FPS</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b w:val="false"/>
              </w:rPr>
              <w:t>Cuadros por segundo (Frames Per Second)</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b w:val="false"/>
              </w:rPr>
              <w:t>mAP</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b w:val="false"/>
              </w:rPr>
              <w:t>Precisión media promedio (mean Average Precision)</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b w:val="false"/>
              </w:rPr>
              <w:t>PSO</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b w:val="false"/>
              </w:rPr>
              <w:t>Optimización por Enjambre de Partículas (Particle Swarm Optimization)</w:t>
            </w:r>
          </w:p>
        </w:tc>
      </w:tr>
      <w:tr>
        <w:trPr/>
        <w:tc>
          <w:tcPr>
            <w:tcW w:w="2398"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b w:val="false"/>
              </w:rPr>
              <w:t>PSNR</w:t>
            </w:r>
          </w:p>
        </w:tc>
        <w:tc>
          <w:tcPr>
            <w:tcW w:w="6962" w:type="dxa"/>
            <w:tcBorders>
              <w:top w:val="single" w:sz="4" w:space="0" w:color="000000"/>
              <w:start w:val="single" w:sz="4" w:space="0" w:color="000000"/>
              <w:bottom w:val="single" w:sz="4" w:space="0" w:color="000000"/>
              <w:end w:val="single" w:sz="4" w:space="0" w:color="000000"/>
            </w:tcBorders>
            <w:tcMar>
              <w:top w:w="0" w:type="dxa"/>
              <w:start w:w="108" w:type="dxa"/>
              <w:bottom w:w="0" w:type="dxa"/>
              <w:end w:w="108" w:type="dxa"/>
            </w:tcMar>
          </w:tcPr>
          <w:p>
            <w:pPr>
              <w:pStyle w:val="Normal"/>
              <w:widowControl w:val="false"/>
              <w:spacing w:lineRule="auto" w:line="276" w:before="0" w:after="120"/>
              <w:rPr/>
            </w:pPr>
            <w:r>
              <w:rPr>
                <w:rFonts w:eastAsia="Times New Roman" w:cs="Times New Roman"/>
                <w:b w:val="false"/>
              </w:rPr>
              <w:t>Relación señal-ruido de pico (Peak Signal-to-Noise Ratio)</w:t>
            </w:r>
          </w:p>
        </w:tc>
      </w:tr>
    </w:tbl>
    <w:p>
      <w:pPr>
        <w:pStyle w:val="Heading1"/>
        <w:jc w:val="start"/>
        <w:rPr/>
      </w:pPr>
      <w:r>
        <w:rPr>
          <w:rFonts w:eastAsia="Times New Roman" w:cs="Times New Roman"/>
          <w:b/>
          <w:color w:val="000000"/>
          <w:sz w:val="24"/>
        </w:rPr>
        <w:t>LISTA DE FIGURAS</w:t>
      </w:r>
    </w:p>
    <w:p>
      <w:pPr>
        <w:pStyle w:val="Normal"/>
        <w:spacing w:lineRule="auto" w:line="276" w:before="0" w:after="40"/>
        <w:jc w:val="both"/>
        <w:rPr/>
      </w:pPr>
      <w:r>
        <w:rPr>
          <w:rFonts w:eastAsia="Times New Roman" w:cs="Times New Roman"/>
          <w:sz w:val="21"/>
        </w:rPr>
        <w:t>Figura 1. Operaciones morfológicas (erosión, dilatación, apertura y cierre) y transformada Top-Hat sobre un perfil de intensidad.</w:t>
      </w:r>
    </w:p>
    <w:p>
      <w:pPr>
        <w:pStyle w:val="Normal"/>
        <w:spacing w:lineRule="auto" w:line="276" w:before="0" w:after="40"/>
        <w:rPr/>
      </w:pPr>
      <w:r>
        <w:rPr>
          <w:rFonts w:eastAsia="Times New Roman" w:cs="Times New Roman"/>
          <w:sz w:val="21"/>
        </w:rPr>
        <w:t>Figura 2. Esquema conceptual de la fusión Top-Hat clásica: disco único, combinación por máximo entre fuentes y reconstrucción sin ponderación.</w:t>
      </w:r>
    </w:p>
    <w:p>
      <w:pPr>
        <w:pStyle w:val="Normal"/>
        <w:spacing w:lineRule="auto" w:line="276" w:before="0" w:after="40"/>
        <w:jc w:val="both"/>
        <w:rPr/>
      </w:pPr>
      <w:r>
        <w:rPr>
          <w:rFonts w:eastAsia="Times New Roman" w:cs="Times New Roman"/>
          <w:sz w:val="21"/>
        </w:rPr>
        <w:t xml:space="preserve">Figura 3. Banco de cinco elementos estructurantes (un disco y cuatro líneas) empleados por el operador en la escala de radio r.</w:t>
      </w:r>
    </w:p>
    <w:p>
      <w:pPr>
        <w:pStyle w:val="Normal"/>
        <w:spacing w:lineRule="auto" w:line="276" w:before="0" w:after="40"/>
        <w:rPr/>
      </w:pPr>
      <w:r>
        <w:rPr>
          <w:rFonts w:eastAsia="Times New Roman" w:cs="Times New Roman"/>
          <w:sz w:val="21"/>
        </w:rPr>
        <w:t>Figura 4. Flujograma de la Propuesta Novedosa (proceso paso a paso).</w:t>
      </w:r>
    </w:p>
    <w:p>
      <w:pPr>
        <w:pStyle w:val="Normal"/>
        <w:spacing w:lineRule="auto" w:line="276" w:before="0" w:after="40"/>
        <w:jc w:val="both"/>
        <w:rPr/>
      </w:pPr>
      <w:r>
        <w:rPr>
          <w:rFonts w:eastAsia="Times New Roman" w:cs="Times New Roman"/>
          <w:sz w:val="21"/>
        </w:rPr>
        <w:t xml:space="preserve">Figura 5. Optimización por enjambre de partículas (PSO) del vector de hiperparámetros (r, m).</w:t>
      </w:r>
    </w:p>
    <w:p>
      <w:pPr>
        <w:pStyle w:val="Normal"/>
        <w:spacing w:lineRule="auto" w:line="276" w:before="0" w:after="40"/>
        <w:jc w:val="both"/>
        <w:rPr/>
      </w:pPr>
      <w:r>
        <w:rPr>
          <w:rFonts w:eastAsia="Times New Roman" w:cs="Times New Roman"/>
          <w:sz w:val="21"/>
        </w:rPr>
        <w:t>Figura 6. Comparación cualitativa de los métodos de fusión sobre tres pares representativos del dataset.</w:t>
      </w:r>
    </w:p>
    <w:p>
      <w:pPr>
        <w:pStyle w:val="Normal"/>
        <w:spacing w:lineRule="auto" w:line="276" w:before="0" w:after="40"/>
        <w:jc w:val="both"/>
        <w:rPr/>
      </w:pPr>
      <w:r>
        <w:rPr>
          <w:rFonts w:eastAsia="Times New Roman" w:cs="Times New Roman"/>
          <w:sz w:val="21"/>
        </w:rPr>
        <w:t>Figura 7. Diagramas de caja de seis métricas representativas (SSIM, SF, EN, SD, MI_ir, PSNR) por método (n = 20 pares VIS/IR).</w:t>
      </w:r>
    </w:p>
    <w:p>
      <w:pPr>
        <w:pStyle w:val="Normal"/>
        <w:spacing w:lineRule="auto" w:line="276" w:before="0" w:after="40"/>
        <w:jc w:val="both"/>
        <w:rPr/>
      </w:pPr>
      <w:r>
        <w:rPr>
          <w:rFonts w:eastAsia="Times New Roman" w:cs="Times New Roman"/>
          <w:sz w:val="21"/>
        </w:rPr>
        <w:t>Figura 8. Ranking global por método (promedio de rangos sobre las nueve métricas, con la dirección de cada una corregida).</w:t>
      </w:r>
    </w:p>
    <w:p>
      <w:pPr>
        <w:pStyle w:val="Normal"/>
        <w:spacing w:lineRule="auto" w:line="276" w:before="0" w:after="40"/>
        <w:jc w:val="both"/>
        <w:rPr/>
      </w:pPr>
      <w:r>
        <w:rPr>
          <w:rFonts w:eastAsia="Times New Roman" w:cs="Times New Roman"/>
          <w:sz w:val="18"/>
        </w:rPr>
        <w:t xml:space="preserve">Figura 9. Detecciones del modelo único VIS+IR en dos escenas de M3FD: la fusión detecta más personas que cada modalidad por separado y conserva las luces que el infrarrojo no detecta.</w:t>
      </w:r>
    </w:p>
    <w:p>
      <w:pPr>
        <w:pStyle w:val="Normal"/>
        <w:spacing w:lineRule="auto" w:line="276" w:before="0" w:after="40"/>
        <w:jc w:val="both"/>
        <w:rPr/>
      </w:pPr>
      <w:r>
        <w:rPr>
          <w:rFonts w:eastAsia="Times New Roman" w:cs="Times New Roman"/>
          <w:i/>
          <w:sz w:val="18"/>
        </w:rPr>
        <w:t>Figura 10. Propuesta Novedosa (PSO: r = 25, m = 0,30) frente a la metodología clásica Top-Hat y al estado del arte.</w:t>
      </w:r>
    </w:p>
    <w:p>
      <w:pPr>
        <w:pStyle w:val="Normal"/>
        <w:spacing w:lineRule="auto" w:line="276" w:before="0" w:after="40"/>
        <w:jc w:val="both"/>
        <w:rPr/>
      </w:pPr>
      <w:r>
        <w:rPr>
          <w:rFonts w:eastAsia="Times New Roman" w:cs="Times New Roman"/>
          <w:sz w:val="21"/>
        </w:rPr>
        <w:t>Figura 11. Convergencia del PSO según el número de partículas (izq.) y aptitud del barrido de configuraciones (der.), sobre tres escenas representativas.</w:t>
      </w:r>
    </w:p>
    <w:p>
      <w:pPr>
        <w:pStyle w:val="Heading1"/>
        <w:jc w:val="start"/>
        <w:rPr/>
      </w:pPr>
      <w:r>
        <w:rPr>
          <w:rFonts w:eastAsia="Times New Roman" w:cs="Times New Roman"/>
          <w:b/>
          <w:color w:val="000000"/>
          <w:sz w:val="24"/>
        </w:rPr>
        <w:t>LISTA DE TABLAS</w:t>
      </w:r>
    </w:p>
    <w:p>
      <w:pPr>
        <w:pStyle w:val="Normal"/>
        <w:spacing w:lineRule="auto" w:line="276" w:before="0" w:after="40"/>
        <w:rPr/>
      </w:pPr>
      <w:r>
        <w:rPr>
          <w:rFonts w:eastAsia="Times New Roman" w:cs="Times New Roman"/>
          <w:sz w:val="21"/>
        </w:rPr>
        <w:t>Tabla 1. Notación empleada en el marco teórico.</w:t>
      </w:r>
    </w:p>
    <w:p>
      <w:pPr>
        <w:pStyle w:val="Normal"/>
        <w:spacing w:lineRule="auto" w:line="276" w:before="0" w:after="40"/>
        <w:rPr/>
      </w:pPr>
      <w:r>
        <w:rPr>
          <w:rFonts w:eastAsia="Times New Roman" w:cs="Times New Roman"/>
          <w:sz w:val="21"/>
        </w:rPr>
        <w:t xml:space="preserve">Tabla 2. Configuración de la Propuesta Novedosa y del PSO.</w:t>
      </w:r>
    </w:p>
    <w:p>
      <w:pPr>
        <w:pStyle w:val="Normal"/>
        <w:spacing w:lineRule="auto" w:line="276" w:before="0" w:after="40"/>
        <w:rPr/>
      </w:pPr>
      <w:r>
        <w:rPr>
          <w:rFonts w:eastAsia="Times New Roman" w:cs="Times New Roman"/>
          <w:sz w:val="21"/>
        </w:rPr>
        <w:t>Tabla 3. Métodos comparativos del benchmark.</w:t>
      </w:r>
    </w:p>
    <w:p>
      <w:pPr>
        <w:pStyle w:val="Normal"/>
        <w:spacing w:lineRule="auto" w:line="276" w:before="0" w:after="40"/>
        <w:rPr/>
      </w:pPr>
      <w:r>
        <w:rPr>
          <w:rFonts w:eastAsia="Times New Roman" w:cs="Times New Roman"/>
          <w:sz w:val="21"/>
        </w:rPr>
        <w:t>Tabla 4. Promedios de las seis métricas clásicas por método (n = 20).</w:t>
      </w:r>
    </w:p>
    <w:p>
      <w:pPr>
        <w:pStyle w:val="Normal"/>
        <w:spacing w:lineRule="auto" w:line="276" w:before="0" w:after="40"/>
        <w:jc w:val="both"/>
        <w:rPr/>
      </w:pPr>
      <w:r>
        <w:rPr>
          <w:rFonts w:eastAsia="Times New Roman" w:cs="Times New Roman"/>
          <w:sz w:val="21"/>
        </w:rPr>
        <w:t>Tabla 5. Promedios de frecuencia espacial (SF), similitud estructural (SSIM) y PSNR por método (n = 20 pares).</w:t>
      </w:r>
    </w:p>
    <w:p>
      <w:pPr>
        <w:pStyle w:val="Normal"/>
        <w:spacing w:lineRule="auto" w:line="276" w:before="0" w:after="40"/>
        <w:rPr/>
      </w:pPr>
      <w:r>
        <w:rPr>
          <w:rFonts w:eastAsia="Times New Roman" w:cs="Times New Roman"/>
          <w:sz w:val="21"/>
        </w:rPr>
        <w:t>Tabla 6. Prueba de Friedman por métrica (χ², p-valor; α = 0,05).</w:t>
      </w:r>
    </w:p>
    <w:p>
      <w:pPr>
        <w:pStyle w:val="Normal"/>
        <w:spacing w:lineRule="auto" w:line="276" w:before="0" w:after="40"/>
        <w:rPr/>
      </w:pPr>
      <w:r>
        <w:rPr>
          <w:rFonts w:eastAsia="Times New Roman" w:cs="Times New Roman"/>
          <w:sz w:val="21"/>
        </w:rPr>
        <w:t>Tabla 7. Ranking promedio por método y métrica (1 = mejor).</w:t>
      </w:r>
    </w:p>
    <w:p>
      <w:pPr>
        <w:pStyle w:val="Normal"/>
        <w:spacing w:lineRule="auto" w:line="276" w:before="0" w:after="40"/>
        <w:jc w:val="both"/>
        <w:rPr/>
      </w:pPr>
      <w:r>
        <w:rPr>
          <w:rFonts w:eastAsia="Times New Roman" w:cs="Times New Roman"/>
          <w:sz w:val="21"/>
        </w:rPr>
        <w:t>Tabla 8. Detección de peatones en LLVIP — mAP por modalidad (YOLOv8n; subconjunto 2000 train / 500 val, 40 épocas).</w:t>
      </w:r>
    </w:p>
    <w:p>
      <w:pPr>
        <w:pStyle w:val="Normal"/>
        <w:spacing w:lineRule="auto" w:line="276" w:before="0" w:after="40"/>
        <w:jc w:val="both"/>
        <w:rPr/>
      </w:pPr>
      <w:r>
        <w:rPr>
          <w:rFonts w:eastAsia="Times New Roman" w:cs="Times New Roman"/>
          <w:sz w:val="21"/>
        </w:rPr>
        <w:t xml:space="preserve">Tabla 9. Clases complementarias en M3FD: AP@0,5 por clase y mAP global con un detector único VIS+IR.</w:t>
      </w:r>
    </w:p>
    <w:p>
      <w:pPr>
        <w:pStyle w:val="Normal"/>
        <w:spacing w:lineRule="auto" w:line="276" w:before="0" w:after="40"/>
        <w:jc w:val="both"/>
        <w:rPr/>
      </w:pPr>
      <w:r>
        <w:rPr>
          <w:rFonts w:eastAsia="Times New Roman" w:cs="Times New Roman"/>
          <w:sz w:val="21"/>
        </w:rPr>
        <w:t>Tabla 10. Propuesta Novedosa frente a la metodología clásica Top-Hat y al estado del arte — medias sobre 20 pares (n = 20).</w:t>
      </w:r>
    </w:p>
    <w:p>
      <w:pPr>
        <w:pStyle w:val="Normal"/>
        <w:spacing w:lineRule="auto" w:line="276" w:before="0" w:after="40"/>
        <w:jc w:val="both"/>
        <w:rPr/>
      </w:pPr>
      <w:r>
        <w:rPr>
          <w:rFonts w:eastAsia="Times New Roman" w:cs="Times New Roman"/>
          <w:sz w:val="21"/>
        </w:rPr>
        <w:t>Tabla 11. Barrido de configuraciones del PSO con el rango publicado m ∈ [0,30; 2,00]: mejor aptitud Fo por combinación de partículas (n) e iteraciones (T). Las 25 configuraciones convergen al mismo peso óptimo (m* = 0,30); las diferencias reflejan el radio hallado (r = 1 donde la aptitud llega a 1,7354 y r = 25 donde llega a 1,7039).</w:t>
      </w:r>
      <w:r>
        <w:br w:type="page"/>
      </w:r>
    </w:p>
    <w:p>
      <w:pPr>
        <w:pStyle w:val="Heading1"/>
        <w:spacing w:before="0" w:after="240"/>
        <w:jc w:val="start"/>
        <w:rPr/>
      </w:pPr>
      <w:r>
        <w:rPr>
          <w:rFonts w:eastAsia="Times New Roman" w:cs="Times New Roman"/>
          <w:b/>
          <w:bCs/>
          <w:color w:val="000000"/>
          <w:sz w:val="24"/>
          <w:szCs w:val="28"/>
        </w:rPr>
        <w:t>INTRODUCCIÓN</w:t>
      </w:r>
    </w:p>
    <w:p>
      <w:pPr>
        <w:pStyle w:val="Normal"/>
        <w:spacing w:lineRule="auto" w:line="360" w:before="0" w:after="160"/>
        <w:ind w:firstLine="709"/>
        <w:jc w:val="both"/>
        <w:rPr/>
      </w:pPr>
      <w:r>
        <w:rPr>
          <w:rFonts w:eastAsia="Times New Roman" w:cs="Times New Roman"/>
          <w:sz w:val="24"/>
          <w:szCs w:val="24"/>
        </w:rPr>
        <w:t>La percepción visual computacional moderna depende, en numerosas aplicaciones críticas, de la integración de información proveniente de sensores complementarios. Las cámaras del espectro visible (VIS) capturan la reflectancia de la luz solar, ofreciendo alta resolución textural y cromática, pero degradándose ante condiciones de iluminación adversas como noche cerrada, niebla densa o humo. Por su parte, las cámaras infrarrojas (IR), particularmente las del rango térmico de onda larga, registran la radiación emitida por los cuerpos según su temperatura, siendo robustas a la oscuridad y a la mayoría de los oclusores atmosféricos, aunque con menor resolución espacial y escaso detalle de textura. La fusión de imágenes VIS+IR busca reunir estas fortalezas complementarias en una sola representación que sea, simultáneamente, rica en detalles, discriminativa térmicamente y útil para tareas posteriores de detección, clasificación o decisión.</w:t>
      </w:r>
    </w:p>
    <w:p>
      <w:pPr>
        <w:pStyle w:val="Normal"/>
        <w:spacing w:lineRule="auto" w:line="360" w:before="0" w:after="160"/>
        <w:ind w:firstLine="709"/>
        <w:jc w:val="both"/>
        <w:rPr/>
      </w:pPr>
      <w:r>
        <w:rPr>
          <w:rFonts w:eastAsia="Times New Roman" w:cs="Times New Roman"/>
          <w:sz w:val="24"/>
          <w:szCs w:val="24"/>
        </w:rPr>
        <w:t>Las aplicaciones que se benefician de esta integración son numerosas y de alto impacto: vigilancia perimetral, búsqueda y rescate, conducción de vehículos autónomos en condiciones de baja visibilidad, sistemas de visión nocturna para defensa, inspección no destructiva en líneas de producción y diagnóstico médico complementario. En todas ellas, la calidad de la imagen fusionada condiciona directamente la calidad del análisis subsiguiente.</w:t>
      </w:r>
    </w:p>
    <w:p>
      <w:pPr>
        <w:pStyle w:val="Normal"/>
        <w:spacing w:lineRule="auto" w:line="360" w:before="0" w:after="160"/>
        <w:ind w:firstLine="709"/>
        <w:jc w:val="both"/>
        <w:rPr/>
      </w:pPr>
      <w:r>
        <w:rPr>
          <w:rFonts w:eastAsia="Times New Roman" w:cs="Times New Roman"/>
          <w:sz w:val="24"/>
          <w:szCs w:val="24"/>
        </w:rPr>
        <w:t>Existen, en términos generales, tres familias de métodos de fusión: las de píxel, ampliamente estudiadas y operadas sobre intensidades; las de característica, que extraen rasgos abstractos antes de combinar; y las de decisión, que fusionan salidas de clasificadores. Dentro del nivel pixel, las técnicas multiescala (pirámides, wavelets, curvelets) y las morfológicas han sido pilares clásicos por su interpretabilidad y bajo costo computacional, en contraposición a los enfoques recientes basados en redes neuronales profundas, que ofrecen alto rendimiento pero demandan grandes volúmenes de datos pareados y operan como cajas negras.</w:t>
      </w:r>
    </w:p>
    <w:p>
      <w:pPr>
        <w:pStyle w:val="Normal"/>
        <w:spacing w:lineRule="auto" w:line="360" w:before="0" w:after="160"/>
        <w:ind w:firstLine="709"/>
        <w:jc w:val="both"/>
        <w:rPr/>
      </w:pPr>
      <w:r>
        <w:rPr>
          <w:rFonts w:eastAsia="Times New Roman" w:cs="Times New Roman"/>
          <w:sz w:val="24"/>
          <w:szCs w:val="24"/>
        </w:rPr>
        <w:t xml:space="preserve">Esta tesis se sitúa explícitamente en el espacio de los métodos clásicos interpretables. Propone como núcleo la Propuesta Novedosa, un método de fusión basado en la transformada Top-Hat que, sobre una única escala definida por el radio r, combina un banco de cinco elementos estructurantes —un disco y cuatro segmentos lineales a 0°, 45°, 90° y 135°, con las respuestas lineales promediadas y sumadas a la del disco para obtener transformadas óptimas— y reconstruye la imagen fusionada mediante el esquema aditivo–sustractivo de Bala et al. (2024) ponderado por el peso de contraste m; sus hiperparámetros (radio r y peso m) se ajustan automáticamente por Optimización por Enjambre de Partículas (PSO). Como línea base morfológica se emplea la metodología clásica de fusión Top-Hat —disco único, máximo entre fuentes y reconstrucción sin ponderación— y, como referencia externa, cinco métodos representativos del estado del arte (LP, RP, DWT, DTCWT y CVT). La hipótesis subyacente es que la sensibilidad direccional del banco de elementos estructurantes y la búsqueda automática de hiperparámetros permiten ajustar la fusión a las características del par VIS/IR sin renunciar a la transparencia algorítmica; complementariamente, se evalúa el impacto de la fusión en una tarea posterior de detección de objetos sobre un conjunto etiquetado (LLVIP).</w:t>
      </w:r>
    </w:p>
    <w:p>
      <w:pPr>
        <w:pStyle w:val="Normal"/>
        <w:spacing w:lineRule="auto" w:line="360" w:before="0" w:after="160"/>
        <w:ind w:firstLine="709"/>
        <w:jc w:val="both"/>
        <w:rPr/>
      </w:pPr>
      <w:r>
        <w:rPr>
          <w:rFonts w:eastAsia="Times New Roman" w:cs="Times New Roman"/>
          <w:sz w:val="24"/>
          <w:szCs w:val="24"/>
        </w:rPr>
        <w:t>El presente documento está organizado de la siguiente manera. En el capítulo de Problema de Investigación se delimita la pregunta científica y los objetivos. El Marco Teórico revisa el estado del arte y los fundamentos de morfología matemática, descomposición multiescala y métricas de evaluación. El Marco Conceptual define los términos operativos clave. El Marco Metodológico precisa el diseño experimental. El capítulo de Análisis e Interpretación de Resultados expone el benchmark de la propuesta frente a la metodología clásica Top-Hat y a los métodos de referencia del estado del arte, sustentado en pruebas estadísticas no paramétricas. Finalmente, las Conclusiones y Recomendaciones sintetizan los hallazgos y delinean trabajos futuros.</w:t>
      </w:r>
      <w:r>
        <w:br w:type="page"/>
      </w:r>
    </w:p>
    <w:p>
      <w:pPr>
        <w:pStyle w:val="Heading1"/>
        <w:spacing w:before="0" w:after="240"/>
        <w:jc w:val="start"/>
        <w:rPr/>
      </w:pPr>
      <w:r>
        <w:rPr>
          <w:rFonts w:eastAsia="Times New Roman" w:cs="Times New Roman"/>
          <w:b/>
          <w:bCs/>
          <w:color w:val="000000"/>
          <w:sz w:val="24"/>
          <w:szCs w:val="28"/>
        </w:rPr>
        <w:t>1. PROBLEMA DE INVESTIGACIÓN</w:t>
      </w:r>
    </w:p>
    <w:p>
      <w:pPr>
        <w:pStyle w:val="Heading2"/>
        <w:spacing w:before="240" w:after="120"/>
        <w:jc w:val="start"/>
        <w:rPr/>
      </w:pPr>
      <w:r>
        <w:rPr>
          <w:rFonts w:eastAsia="Times New Roman" w:cs="Times New Roman"/>
          <w:b/>
          <w:bCs/>
          <w:color w:val="000000"/>
          <w:sz w:val="24"/>
          <w:szCs w:val="26"/>
        </w:rPr>
        <w:t>1.1 Descripción del problema</w:t>
      </w:r>
    </w:p>
    <w:p>
      <w:pPr>
        <w:pStyle w:val="Normal"/>
        <w:spacing w:lineRule="auto" w:line="360" w:before="0" w:after="160"/>
        <w:ind w:firstLine="709"/>
        <w:jc w:val="both"/>
        <w:rPr/>
      </w:pPr>
      <w:r>
        <w:rPr>
          <w:rFonts w:eastAsia="Times New Roman" w:cs="Times New Roman"/>
          <w:sz w:val="24"/>
          <w:szCs w:val="24"/>
        </w:rPr>
        <w:t>Pese a más de tres décadas de investigación en fusión de imágenes multimodal, no existe un método universalmente óptimo: cada familia algorítmica presenta compromisos distintos entre preservación de detalle, contraste, transferencia de información y costo computacional. Los métodos basados en promedio, los más simples, sufren pérdida sistemática de detalle y reducción de contraste. Las pirámides de Laplace y los esquemas wavelet/curvelet ofrecen mejor manejo multiescala, pero pueden introducir artefactos de orla en bordes de alto contraste y son sensibles a desalineaciones residuales. Los métodos profundos, por su parte, requieren grandes corpora pareados y carecen de interpretabilidad.</w:t>
      </w:r>
    </w:p>
    <w:p>
      <w:pPr>
        <w:pStyle w:val="Normal"/>
        <w:spacing w:lineRule="auto" w:line="360" w:before="0" w:after="160"/>
        <w:ind w:firstLine="709"/>
        <w:jc w:val="both"/>
        <w:rPr/>
      </w:pPr>
      <w:r>
        <w:rPr>
          <w:rFonts w:eastAsia="Times New Roman" w:cs="Times New Roman"/>
          <w:sz w:val="24"/>
          <w:szCs w:val="24"/>
        </w:rPr>
        <w:t>La morfología matemática ofrece un marco intermedio: opera directamente sobre la geometría de las estructuras locales mediante elementos estructurantes (SE) parametrizables, lo cual la hace natural para preservar bordes y formas. La transformada Top-Hat, en particular, aísla con precisión los componentes de alta frecuencia que la apertura morfológica suprime. Sin embargo, la literatura existente sobre fusión morfológica suele restringirse a una única escala o a un único tipo de SE, sin un estudio sistemático que articule simultáneamente la geometría del SE, el número de niveles de descomposición y el radio base. Esta tesis aborda precisamente ese vacío empírico mediante un benchmark exhaustivo y la comparación con baselines clásicos.</w:t>
      </w:r>
    </w:p>
    <w:p>
      <w:pPr>
        <w:pStyle w:val="Heading2"/>
        <w:spacing w:before="240" w:after="120"/>
        <w:jc w:val="start"/>
        <w:rPr/>
      </w:pPr>
      <w:r>
        <w:rPr>
          <w:rFonts w:eastAsia="Times New Roman" w:cs="Times New Roman"/>
          <w:b/>
          <w:bCs/>
          <w:color w:val="000000"/>
          <w:sz w:val="24"/>
          <w:szCs w:val="26"/>
        </w:rPr>
        <w:t>1.2 Justificación e importancia</w:t>
      </w:r>
    </w:p>
    <w:p>
      <w:pPr>
        <w:pStyle w:val="Normal"/>
        <w:spacing w:lineRule="auto" w:line="360" w:before="0" w:after="160"/>
        <w:ind w:firstLine="709"/>
        <w:jc w:val="both"/>
        <w:rPr/>
      </w:pPr>
      <w:r>
        <w:rPr>
          <w:rFonts w:eastAsia="Times New Roman" w:cs="Times New Roman"/>
          <w:sz w:val="24"/>
          <w:szCs w:val="24"/>
        </w:rPr>
        <w:t>La justificación de este trabajo descansa sobre tres ejes. Primero, la relevancia aplicada: en contextos de vigilancia, seguridad pública y operaciones militares, los algoritmos de fusión deben ejecutarse bajo restricciones de tiempo real, sobre hardware limitado y con garantías de auditoría. La interpretabilidad y el bajo costo computacional de los métodos morfológicos los tornan especialmente valiosos en estos escenarios. Segundo, la relevancia metodológica: aportar evidencia empírica sistemática sobre el efecto de cada hiperparámetro (SE, L, r₀) ayuda a desmitificar decisiones de diseño que históricamente se han tomado por convención. Tercero, la relevancia académica regional: existen pocas tesis en el ámbito paraguayo que aborden de manera rigurosa la evaluación cuantitativa con pruebas no paramétricas en problemas de fusión multimodal, y este trabajo busca aportar a esa base.</w:t>
      </w:r>
    </w:p>
    <w:p>
      <w:pPr>
        <w:pStyle w:val="Heading2"/>
        <w:spacing w:before="240" w:after="120"/>
        <w:jc w:val="start"/>
        <w:rPr/>
      </w:pPr>
      <w:r>
        <w:rPr>
          <w:rFonts w:eastAsia="Times New Roman" w:cs="Times New Roman"/>
          <w:b/>
          <w:bCs/>
          <w:color w:val="000000"/>
          <w:sz w:val="24"/>
          <w:szCs w:val="26"/>
        </w:rPr>
        <w:t>1.3 Objetivos</w:t>
      </w:r>
    </w:p>
    <w:p>
      <w:pPr>
        <w:pStyle w:val="Heading3"/>
        <w:spacing w:before="180" w:after="100"/>
        <w:jc w:val="start"/>
        <w:rPr/>
      </w:pPr>
      <w:r>
        <w:rPr>
          <w:rFonts w:eastAsia="Times New Roman" w:cs="Times New Roman"/>
          <w:b/>
          <w:bCs/>
          <w:i/>
          <w:iCs/>
          <w:color w:val="000000"/>
          <w:sz w:val="24"/>
          <w:szCs w:val="24"/>
        </w:rPr>
        <w:t>1.3.1 General</w:t>
      </w:r>
    </w:p>
    <w:p>
      <w:pPr>
        <w:pStyle w:val="Normal"/>
        <w:spacing w:lineRule="auto" w:line="360" w:before="0" w:after="160"/>
        <w:ind w:firstLine="709"/>
        <w:jc w:val="both"/>
        <w:rPr/>
      </w:pPr>
      <w:r>
        <w:rPr>
          <w:rFonts w:eastAsia="Times New Roman" w:cs="Times New Roman"/>
        </w:rPr>
        <w:t xml:space="preserve">Proponer y evaluar la Propuesta Novedosa, un método de fusión de imágenes visibles e infrarrojas basado en la transformada Top-Hat con elementos estructurantes circulares y lineales sobre una sola escala y parámetros optimizados por enjambre de partículas (PSO), comparándolo con la metodología clásica de fusión Top-Hat y con métodos representativos del estado del arte, y analizando su impacto en tareas posteriores de detección de objetos.</w:t>
      </w:r>
    </w:p>
    <w:p>
      <w:pPr>
        <w:pStyle w:val="Heading3"/>
        <w:spacing w:before="180" w:after="100"/>
        <w:jc w:val="start"/>
        <w:rPr/>
      </w:pPr>
      <w:r>
        <w:rPr>
          <w:rFonts w:eastAsia="Times New Roman" w:cs="Times New Roman"/>
          <w:b/>
          <w:bCs/>
          <w:i/>
          <w:iCs/>
          <w:color w:val="000000"/>
          <w:sz w:val="24"/>
          <w:szCs w:val="24"/>
        </w:rPr>
        <w:t>1.3.2 Específicos</w:t>
      </w:r>
    </w:p>
    <w:p>
      <w:pPr>
        <w:pStyle w:val="ListParagraph"/>
        <w:numPr>
          <w:ilvl w:val="0"/>
          <w:numId w:val="23"/>
        </w:numPr>
        <w:spacing w:lineRule="auto" w:line="360" w:before="0" w:after="100"/>
        <w:ind w:firstLine="709"/>
        <w:jc w:val="both"/>
        <w:rPr/>
      </w:pPr>
      <w:r>
        <w:rPr>
          <w:rFonts w:eastAsia="Times New Roman" w:cs="Times New Roman"/>
        </w:rPr>
        <w:t xml:space="preserve">Formular la Propuesta Novedosa: sobre una sola escala, un banco de cinco elementos estructurantes (un disco y cuatro lineales a 0°, 45°, 90° y 135°) cuyas respuestas lineales se promedian y se confrontan por máximo con la del disco para obtener transformadas Top-Hat y Bottom-Hat óptimas, con reconstrucción aditivo–sustractiva ponderada, adaptada al esquema de fusión VIS/IR.</w:t>
      </w:r>
    </w:p>
    <w:p>
      <w:pPr>
        <w:pStyle w:val="ListParagraph"/>
        <w:numPr>
          <w:ilvl w:val="0"/>
          <w:numId w:val="3"/>
        </w:numPr>
        <w:spacing w:lineRule="auto" w:line="360" w:before="0" w:after="100"/>
        <w:ind w:firstLine="709"/>
        <w:jc w:val="both"/>
        <w:rPr/>
      </w:pPr>
      <w:r>
        <w:rPr>
          <w:rFonts w:eastAsia="Times New Roman" w:cs="Times New Roman"/>
        </w:rPr>
        <w:t xml:space="preserve">Optimizar automáticamente los hiperparámetros del método (el radio r del banco de elementos estructurantes y el peso de contraste m) mediante PSO con una función de aptitud orientada a la calidad de fusión.</w:t>
      </w:r>
    </w:p>
    <w:p>
      <w:pPr>
        <w:pStyle w:val="ListParagraph"/>
        <w:numPr>
          <w:ilvl w:val="0"/>
          <w:numId w:val="3"/>
        </w:numPr>
        <w:spacing w:lineRule="auto" w:line="360" w:before="0" w:after="100"/>
        <w:ind w:firstLine="709"/>
        <w:jc w:val="both"/>
        <w:rPr/>
      </w:pPr>
      <w:r>
        <w:rPr>
          <w:rFonts w:eastAsia="Times New Roman" w:cs="Times New Roman"/>
        </w:rPr>
        <w:t>Comparar el método óptimo con la metodología clásica de fusión Top-Hat y con cinco métodos representativos del estado del arte (LP, RP, DWT, DTCWT y CVT) sobre nueve métricas sin referencia, con pruebas no paramétricas (Friedman y Wilcoxon con corrección de Holm).</w:t>
      </w:r>
    </w:p>
    <w:p>
      <w:pPr>
        <w:pStyle w:val="ListParagraph"/>
        <w:numPr>
          <w:ilvl w:val="0"/>
          <w:numId w:val="3"/>
        </w:numPr>
        <w:spacing w:lineRule="auto" w:line="360" w:before="0" w:after="100"/>
        <w:ind w:firstLine="709"/>
        <w:jc w:val="both"/>
        <w:rPr/>
      </w:pPr>
      <w:r>
        <w:rPr>
          <w:rFonts w:eastAsia="Times New Roman" w:cs="Times New Roman"/>
        </w:rPr>
        <w:t>Analizar el impacto de la fusión en una tarea posterior de detección de objetos (YOLO), evaluando la detectabilidad por modalidad de entrada.</w:t>
      </w:r>
    </w:p>
    <w:p>
      <w:pPr>
        <w:pStyle w:val="Heading2"/>
        <w:spacing w:before="240" w:after="120"/>
        <w:jc w:val="start"/>
        <w:rPr/>
      </w:pPr>
      <w:r>
        <w:rPr>
          <w:rFonts w:eastAsia="Times New Roman" w:cs="Times New Roman"/>
          <w:b/>
          <w:bCs/>
          <w:color w:val="000000"/>
          <w:sz w:val="24"/>
          <w:szCs w:val="26"/>
        </w:rPr>
        <w:t>1.4 Formulación del problema</w:t>
      </w:r>
    </w:p>
    <w:p>
      <w:pPr>
        <w:pStyle w:val="Heading3"/>
        <w:spacing w:before="180" w:after="100"/>
        <w:jc w:val="start"/>
        <w:rPr/>
      </w:pPr>
      <w:r>
        <w:rPr>
          <w:rFonts w:eastAsia="Times New Roman" w:cs="Times New Roman"/>
          <w:b/>
          <w:bCs/>
          <w:i/>
          <w:iCs/>
          <w:color w:val="000000"/>
          <w:sz w:val="24"/>
          <w:szCs w:val="24"/>
        </w:rPr>
        <w:t>1.4.1 Problema general</w:t>
      </w:r>
    </w:p>
    <w:p>
      <w:pPr>
        <w:pStyle w:val="Normal"/>
        <w:spacing w:lineRule="auto" w:line="360" w:before="0" w:after="160"/>
        <w:ind w:firstLine="709"/>
        <w:jc w:val="both"/>
        <w:rPr/>
      </w:pPr>
      <w:r>
        <w:rPr>
          <w:rFonts w:eastAsia="Times New Roman" w:cs="Times New Roman"/>
        </w:rPr>
        <w:t xml:space="preserve">¿La Propuesta Novedosa de fusión VIS+IR basada en la transformada Top-Hat, con elementos estructurantes de disco y lineales sobre una sola escala e hiperparámetros optimizados por PSO, mejora la calidad de fusión —evaluada con métricas sin referencia y pruebas no paramétricas sobre el TNO Image Fusion Dataset— respecto de la metodología clásica de fusión Top-Hat y de los métodos del estado del arte, y qué efecto produce en el desempeño de una tarea posterior de detección de objetos?</w:t>
      </w:r>
    </w:p>
    <w:p>
      <w:pPr>
        <w:pStyle w:val="Heading3"/>
        <w:spacing w:before="180" w:after="100"/>
        <w:jc w:val="start"/>
        <w:rPr/>
      </w:pPr>
      <w:r>
        <w:rPr>
          <w:rFonts w:eastAsia="Times New Roman" w:cs="Times New Roman"/>
          <w:b/>
          <w:bCs/>
          <w:i/>
          <w:iCs/>
          <w:color w:val="000000"/>
          <w:sz w:val="24"/>
          <w:szCs w:val="24"/>
        </w:rPr>
        <w:t>1.4.2 Problemas específicos</w:t>
      </w:r>
    </w:p>
    <w:p>
      <w:pPr>
        <w:pStyle w:val="ListParagraph"/>
        <w:numPr>
          <w:ilvl w:val="0"/>
          <w:numId w:val="24"/>
        </w:numPr>
        <w:spacing w:lineRule="auto" w:line="360" w:before="0" w:after="100"/>
        <w:ind w:firstLine="709"/>
        <w:jc w:val="both"/>
        <w:rPr/>
      </w:pPr>
      <w:r>
        <w:rPr>
          <w:rFonts w:eastAsia="Times New Roman" w:cs="Times New Roman"/>
        </w:rPr>
        <w:t xml:space="preserve">¿Cómo debe formularse el operador —banco de disco y líneas, combinación de respuestas y regla de reconstrucción— para adaptar el realce morfológico multidireccional al esquema de fusión VIS/IR?</w:t>
      </w:r>
    </w:p>
    <w:p>
      <w:pPr>
        <w:pStyle w:val="ListParagraph"/>
        <w:numPr>
          <w:ilvl w:val="0"/>
          <w:numId w:val="4"/>
        </w:numPr>
        <w:spacing w:lineRule="auto" w:line="360" w:before="0" w:after="100"/>
        <w:ind w:firstLine="709"/>
        <w:jc w:val="both"/>
        <w:rPr/>
      </w:pPr>
      <w:r>
        <w:rPr>
          <w:rFonts w:eastAsia="Times New Roman" w:cs="Times New Roman"/>
        </w:rPr>
        <w:t xml:space="preserve">¿Qué valores del radio r y del peso de contraste m maximizan una aptitud orientada a la calidad de fusión, y puede el PSO hallarlos automáticamente de forma estable?</w:t>
      </w:r>
    </w:p>
    <w:p>
      <w:pPr>
        <w:pStyle w:val="ListParagraph"/>
        <w:numPr>
          <w:ilvl w:val="0"/>
          <w:numId w:val="4"/>
        </w:numPr>
        <w:spacing w:lineRule="auto" w:line="360" w:before="0" w:after="100"/>
        <w:ind w:firstLine="709"/>
        <w:jc w:val="both"/>
        <w:rPr/>
      </w:pPr>
      <w:r>
        <w:rPr>
          <w:rFonts w:eastAsia="Times New Roman" w:cs="Times New Roman"/>
        </w:rPr>
        <w:t xml:space="preserve">¿Existen diferencias estadísticamente significativas entre la Propuesta Novedosa, la metodología clásica de fusión Top-Hat y los métodos del estado del arte (LP, RP, DWT, DTCWT y CVT), y en qué métricas?</w:t>
      </w:r>
    </w:p>
    <w:p>
      <w:pPr>
        <w:pStyle w:val="ListParagraph"/>
        <w:numPr>
          <w:ilvl w:val="0"/>
          <w:numId w:val="4"/>
        </w:numPr>
        <w:spacing w:lineRule="auto" w:line="360" w:before="0" w:after="100"/>
        <w:ind w:firstLine="709"/>
        <w:jc w:val="both"/>
        <w:rPr/>
      </w:pPr>
      <w:r>
        <w:rPr>
          <w:rFonts w:eastAsia="Times New Roman" w:cs="Times New Roman"/>
        </w:rPr>
        <w:t>¿La fusión —y en particular el método propuesto— mejora el desempeño de un detector de objetos (mAP sobre LLVIP) respecto de las modalidades visible e infrarroja por separado?</w:t>
      </w:r>
    </w:p>
    <w:p>
      <w:pPr>
        <w:pStyle w:val="Heading2"/>
        <w:spacing w:before="240" w:after="120"/>
        <w:jc w:val="start"/>
        <w:rPr/>
      </w:pPr>
      <w:r>
        <w:rPr>
          <w:rFonts w:eastAsia="Times New Roman" w:cs="Times New Roman"/>
          <w:b/>
          <w:bCs/>
          <w:color w:val="000000"/>
          <w:sz w:val="24"/>
          <w:szCs w:val="26"/>
        </w:rPr>
        <w:t>1.5 Hipótesis</w:t>
      </w:r>
    </w:p>
    <w:p>
      <w:pPr>
        <w:pStyle w:val="Normal"/>
        <w:spacing w:lineRule="auto" w:line="360" w:before="0" w:after="120"/>
        <w:ind w:firstLine="709"/>
        <w:jc w:val="both"/>
        <w:rPr/>
      </w:pPr>
      <w:r>
        <w:rPr>
          <w:rFonts w:eastAsia="Times New Roman" w:cs="Times New Roman"/>
        </w:rPr>
        <w:t xml:space="preserve">De la formulación anterior se derivan tres hipótesis de trabajo. H1: la combinación de elementos estructurantes de disco y lineales sobre una sola escala —con las respuestas lineales promediadas y sumadas a la del disco— mejora la actividad, el detalle y el contenido informativo de la imagen fusionada —entropía, contenido de bordes, contraste, gradiente medio y frecuencia espacial— frente a los métodos del estado del arte, y mejora también a la metodología clásica de fusión Top-Hat en la mayoría de las métricas evaluadas. H2: la optimización automática de los hiperparámetros (r, m) por PSO, con una función de aptitud orientada a la fusión, alcanza un perfil de calidad superior al de la parametrización manual del operador clásico. H3: una mejor calidad de fusión se traduce en un mejor desempeño de detección de objetos (mAP) que el de las modalidades individuales. Las hipótesis H1 y H2 se contrastan en las secciones 5.4 y 5.6; H3 se somete a prueba en la sección 5.5.</w:t>
      </w:r>
    </w:p>
    <w:p>
      <w:pPr>
        <w:pStyle w:val="Heading2"/>
        <w:spacing w:before="240" w:after="120"/>
        <w:jc w:val="start"/>
        <w:rPr/>
      </w:pPr>
      <w:r>
        <w:rPr>
          <w:rFonts w:eastAsia="Times New Roman" w:cs="Times New Roman"/>
          <w:b/>
          <w:bCs/>
          <w:color w:val="000000"/>
          <w:sz w:val="24"/>
          <w:szCs w:val="26"/>
        </w:rPr>
        <w:t>1.6 Limitaciones de la investigación</w:t>
      </w:r>
    </w:p>
    <w:p>
      <w:pPr>
        <w:pStyle w:val="Normal"/>
        <w:spacing w:lineRule="auto" w:line="360" w:before="0" w:after="160"/>
        <w:ind w:firstLine="709"/>
        <w:jc w:val="both"/>
        <w:rPr/>
      </w:pPr>
      <w:r>
        <w:rPr>
          <w:rFonts w:eastAsia="Times New Roman" w:cs="Times New Roman"/>
          <w:sz w:val="24"/>
          <w:szCs w:val="24"/>
        </w:rPr>
        <w:t xml:space="preserve">Esta investigación se circunscribe a las siguientes limitaciones, que deben tenerse presentes al interpretar los resultados. Primero, el corpus experimental son veinte pares del TNO Image Fusion Dataset, registrados principalmente en escenas militares y urbanas; las conclusiones pueden no transferirse íntegramente a otros dominios (médico, aéreo de muy alta resolución). Segundo, la evaluación se realiza con métricas sin referencia, dado que no existe una imagen fusionada óptima conocida; esto introduce inevitablemente una dependencia de las métricas elegidas. </w:t>
      </w:r>
      <w:r>
        <w:rPr>
          <w:rFonts w:eastAsia="Times New Roman" w:cs="Times New Roman"/>
        </w:rPr>
        <w:t>Tercero, la evaluación orientada a tarea con verdad de campo se realizó con un único detector (YOLOv8n) sobre un subconjunto de LLVIP (2.000 imágenes de entrenamiento y 500 de validación, 40 épocas); extenderla a otros detectores y al conjunto completo queda como trabajo futuro. Cuarto, la regla de fusión por capa es la de selección por actividad local máxima, sin explorar reglas adaptativas. Quinto, no se evaluaron métodos basados en aprendizaje profundo, dado que tales comparaciones requieren protocolos de entrenamiento cuyos sesgos exceden el alcance de esta tesis.</w:t>
      </w:r>
    </w:p>
    <w:p>
      <w:pPr>
        <w:pStyle w:val="Heading2"/>
        <w:spacing w:before="240" w:after="120"/>
        <w:jc w:val="start"/>
        <w:rPr/>
      </w:pPr>
      <w:r>
        <w:rPr>
          <w:rFonts w:eastAsia="Times New Roman" w:cs="Times New Roman"/>
          <w:b/>
          <w:bCs/>
          <w:color w:val="000000"/>
          <w:sz w:val="24"/>
          <w:szCs w:val="26"/>
        </w:rPr>
        <w:t>1.7 Alcance</w:t>
      </w:r>
    </w:p>
    <w:p>
      <w:pPr>
        <w:pStyle w:val="Normal"/>
        <w:spacing w:lineRule="auto" w:line="360" w:before="0" w:after="160"/>
        <w:ind w:firstLine="709"/>
        <w:jc w:val="both"/>
        <w:rPr/>
      </w:pPr>
      <w:r>
        <w:rPr>
          <w:rFonts w:eastAsia="Times New Roman" w:cs="Times New Roman"/>
          <w:sz w:val="24"/>
          <w:szCs w:val="24"/>
        </w:rPr>
        <w:t>El alcance de la tesis abarca: la implementación íntegra y reproducible del método propuesto y de los baselines en Python (NumPy, OpenCV, scikit-image, SciPy, PyWavelets); la organización modular del código en un repositorio versionado; el preprocesamiento y emparejado del dataset; la ejecución del benchmark exhaustivo y de la comparación contra baselines; el análisis estadístico no paramétrico; la generación de tablas y figuras científicas; y la redacción del presente informe. Quedan fuera del alcance la generación de un nuevo dataset, la integración con sistemas en tiempo real y la comparación con métodos de aprendizaje profundo entrenados desde cero.</w:t>
      </w:r>
      <w:r>
        <w:br w:type="page"/>
      </w:r>
    </w:p>
    <w:p>
      <w:pPr>
        <w:pStyle w:val="Heading1"/>
        <w:spacing w:before="0" w:after="240"/>
        <w:jc w:val="start"/>
        <w:rPr/>
      </w:pPr>
      <w:r>
        <w:rPr>
          <w:rFonts w:eastAsia="Times New Roman" w:cs="Times New Roman"/>
          <w:b/>
          <w:bCs/>
          <w:color w:val="000000"/>
          <w:sz w:val="24"/>
          <w:szCs w:val="28"/>
        </w:rPr>
        <w:t>2. MARCO TEÓRICO</w:t>
      </w:r>
    </w:p>
    <w:p>
      <w:pPr>
        <w:pStyle w:val="Heading2"/>
        <w:spacing w:before="240" w:after="120"/>
        <w:jc w:val="start"/>
        <w:rPr/>
      </w:pPr>
      <w:r>
        <w:rPr>
          <w:rFonts w:eastAsia="Times New Roman" w:cs="Times New Roman"/>
          <w:b/>
          <w:bCs/>
          <w:color w:val="000000"/>
          <w:sz w:val="24"/>
          <w:szCs w:val="26"/>
        </w:rPr>
        <w:t>2.1 Estado del arte</w:t>
      </w:r>
    </w:p>
    <w:p>
      <w:pPr>
        <w:pStyle w:val="Normal"/>
        <w:spacing w:lineRule="auto" w:line="360" w:before="0" w:after="160"/>
        <w:ind w:firstLine="709"/>
        <w:jc w:val="both"/>
        <w:rPr/>
      </w:pPr>
      <w:r>
        <w:rPr>
          <w:rFonts w:eastAsia="Times New Roman" w:cs="Times New Roman"/>
          <w:sz w:val="24"/>
          <w:szCs w:val="24"/>
        </w:rPr>
        <w:t>La fusión de imágenes multimodal, particularmente VIS+IR, cuenta con una literatura abundante. Li et al. (2017) presentan una revisión integral de los métodos a nivel pixel, agrupándolos en cuatro grandes familias: dominios espaciales (promedio, máximo, PCA), dominios transformados multiescala (pirámides, wavelets, curvelets), métodos basados en representaciones dispersas y métodos híbridos. Ma et al. (2019) actualizan el panorama con énfasis en la creciente adopción de redes neuronales profundas, distinguiendo arquitecturas de auto-encoder, redes generativas antagónicas (GAN) y enfoques de fusión guiada por tareas. En paralelo, Zhang y Demiris (2023) documentan la consolidación de benchmarks estandarizados (TNO, RoadScene, M3FD) y el establecimiento progresivo de métricas sin referencia como estándar de facto.</w:t>
      </w:r>
    </w:p>
    <w:p>
      <w:pPr>
        <w:pStyle w:val="Normal"/>
        <w:spacing w:lineRule="auto" w:line="360" w:before="0" w:after="160"/>
        <w:ind w:firstLine="709"/>
        <w:jc w:val="both"/>
        <w:rPr/>
      </w:pPr>
      <w:r>
        <w:rPr>
          <w:rFonts w:eastAsia="Times New Roman" w:cs="Times New Roman"/>
          <w:sz w:val="24"/>
          <w:szCs w:val="24"/>
        </w:rPr>
        <w:t>Específicamente en fusión morfológica, Mukhopadhyay y Chanda (2001) introducen una de las primeras descomposiciones multiescala basadas en operadores Top-Hat para realce e interpretación de imágenes médicas. Bai (2013) extiende la idea a fusión VIS+IR, mostrando que la transformada Top-Hat puede capturar simultáneamente detalles brillantes y oscuros con bajo costo computacional. Trabajos posteriores, como los de Bai et al. (2015) y Wang et al. (2017), exploran combinaciones de Top-Hat con otras representaciones, pero rara vez sistematizan el efecto cruzado del tipo de elemento estructurante, el número de niveles y el radio base sobre múltiples métricas.</w:t>
      </w:r>
    </w:p>
    <w:p>
      <w:pPr>
        <w:pStyle w:val="Normal"/>
        <w:spacing w:lineRule="auto" w:line="360" w:before="0" w:after="160"/>
        <w:ind w:firstLine="709"/>
        <w:jc w:val="both"/>
        <w:rPr/>
      </w:pPr>
      <w:r>
        <w:rPr>
          <w:rFonts w:eastAsia="Times New Roman" w:cs="Times New Roman"/>
          <w:sz w:val="24"/>
          <w:szCs w:val="24"/>
        </w:rPr>
        <w:t>Los métodos profundos, por su parte, han avanzado rápidamente. Ma et al. (2019, FusionGAN) y Tang et al. (2022, SeAFusion) ofrecen arquitecturas de fusión guiadas por percepción semántica. Sin embargo, su dependencia de datos pareados y la dificultad de auditarlos los hacen problemáticos en aplicaciones donde la trazabilidad es obligatoria. En este contexto, los métodos clásicos siguen siendo no solo relevantes sino estratégicamente valiosos como baselines reproducibles.</w:t>
      </w:r>
    </w:p>
    <w:p>
      <w:pPr>
        <w:pStyle w:val="Normal"/>
        <w:spacing w:lineRule="auto" w:line="360"/>
        <w:ind w:firstLine="709"/>
        <w:jc w:val="both"/>
        <w:rPr/>
      </w:pPr>
      <w:r>
        <w:rPr>
          <w:rFonts w:eastAsia="Times New Roman" w:cs="Times New Roman"/>
        </w:rPr>
        <w:t>Una visión panorámica reciente la ofrece la revisión de Singh et al. (2023), que sistematiza la fusión de imágenes en tres grandes familias —dominio espacial, descomposición multiescala (MSD: pirámides, wavelets y análisis geométrico multiescala) y aprendizaje automático— y en tres niveles de abstracción (píxel, característica y decisión). En esa taxonomía, la propuesta de esta tesis se ubica en la familia MSD, rama de pirámides morfológicas, y opera a nivel de píxel (PLIF). La revisión documenta además el uso de metaheurísticas para ajustar parámetros de fusión —enjambre de partículas (PSO), colonia de abejas, búsqueda cuco—, con precedentes específicos de PSO aplicado a la fusión (p. ej. Tao et al., 2010, DTCWT+PSO; Malviya y Saxena, 2014, WT+PSO), lo que respalda la estrategia de optimización adoptada aquí.</w:t>
      </w:r>
    </w:p>
    <w:p>
      <w:pPr>
        <w:pStyle w:val="Heading2"/>
        <w:spacing w:before="240" w:after="120"/>
        <w:jc w:val="start"/>
        <w:rPr/>
      </w:pPr>
      <w:r>
        <w:rPr>
          <w:rFonts w:eastAsia="Times New Roman" w:cs="Times New Roman"/>
          <w:b/>
          <w:bCs/>
          <w:color w:val="000000"/>
          <w:sz w:val="24"/>
          <w:szCs w:val="26"/>
        </w:rPr>
        <w:t>2.2 Fundamentación teórica</w:t>
      </w:r>
    </w:p>
    <w:p>
      <w:pPr>
        <w:pStyle w:val="Normal"/>
        <w:spacing w:lineRule="auto" w:line="276"/>
        <w:jc w:val="start"/>
        <w:rPr/>
      </w:pPr>
      <w:r>
        <w:rPr>
          <w:rFonts w:eastAsia="Times New Roman" w:cs="Times New Roman"/>
          <w:i/>
          <w:sz w:val="18"/>
        </w:rPr>
        <w:t>Tabla 1. Notación empleada en el marco teórico.</w:t>
      </w:r>
    </w:p>
    <w:tbl>
      <w:tblPr>
        <w:tblW w:w="9360" w:type="dxa"/>
        <w:jc w:val="start"/>
        <w:tblInd w:w="0" w:type="dxa"/>
        <w:tblLayout w:type="fixed"/>
        <w:tblCellMar>
          <w:top w:w="40" w:type="dxa"/>
          <w:start w:w="90" w:type="dxa"/>
          <w:bottom w:w="40" w:type="dxa"/>
          <w:end w:w="90" w:type="dxa"/>
        </w:tblCellMar>
        <w:tblLook w:noHBand="0" w:noVBand="1" w:firstColumn="1" w:lastRow="0" w:lastColumn="0" w:firstRow="1" w:val="04a0"/>
      </w:tblPr>
      <w:tblGrid>
        <w:gridCol w:w="4680"/>
        <w:gridCol w:w="4680"/>
      </w:tblGrid>
      <w:tr>
        <w:trPr/>
        <w:tc>
          <w:tcPr>
            <w:tcW w:w="468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Símbolo</w:t>
            </w:r>
          </w:p>
        </w:tc>
        <w:tc>
          <w:tcPr>
            <w:tcW w:w="468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Significado</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f</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Imagen de entrada en escala de gris [0,1] (VIS o IR)</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b</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Elemento estructurante (disco o segmento lineal)</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ε(f,b), δ(f,b)</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Erosión y dilatación de f con b</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γ(f,b), φ(f,b)</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Apertura y cierre de f con b</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WTH, BTH</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White Top-Hat y Black Top-Hat</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r</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Radio del elemento estructurante (disco y líneas)</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m</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Peso de ajuste de contraste</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WTHᵢ, BTHᵢ</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Top-Hat de líneas (promedio) y de disco (radio r)</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I_opt^top, I_opt^bot</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Transformadas óptimas: suma de ramas (líneas + disco) por fuente</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I_base</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Imagen base, (I_VIS + I_IR)/2</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F</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Imagen fusionada</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x, v</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Posición y velocidad de una partícula (PSO)</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pbest, gbest</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Mejor posición individual y global del enjambre</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w, c₁, c₂</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Inercia y coeficientes cognitivo y social (PSO)</w:t>
            </w:r>
          </w:p>
        </w:tc>
      </w:tr>
    </w:tbl>
    <w:p>
      <w:pPr>
        <w:pStyle w:val="Normal"/>
        <w:spacing w:lineRule="auto" w:line="276"/>
        <w:rPr/>
      </w:pPr>
      <w:r>
        <w:rPr/>
      </w:r>
    </w:p>
    <w:p>
      <w:pPr>
        <w:pStyle w:val="Heading3"/>
        <w:spacing w:before="180" w:after="100"/>
        <w:jc w:val="start"/>
        <w:rPr/>
      </w:pPr>
      <w:r>
        <w:rPr>
          <w:rFonts w:eastAsia="Times New Roman" w:cs="Times New Roman"/>
          <w:b/>
          <w:bCs/>
          <w:i/>
          <w:iCs/>
          <w:color w:val="000000"/>
          <w:sz w:val="24"/>
          <w:szCs w:val="24"/>
        </w:rPr>
        <w:t>2.2.1 Fusión de imágenes multimodal</w:t>
      </w:r>
    </w:p>
    <w:p>
      <w:pPr>
        <w:pStyle w:val="Normal"/>
        <w:spacing w:lineRule="auto" w:line="360" w:before="0" w:after="160"/>
        <w:ind w:firstLine="709"/>
        <w:jc w:val="both"/>
        <w:rPr/>
      </w:pPr>
      <w:r>
        <w:rPr>
          <w:rFonts w:eastAsia="Times New Roman" w:cs="Times New Roman"/>
          <w:sz w:val="24"/>
          <w:szCs w:val="24"/>
        </w:rPr>
        <w:t>La fusión de imágenes a nivel pixel se formaliza como un operador F: ℝ^{H×W} × ℝ^{H×W} → ℝ^{H×W} que recibe dos imágenes alineadas espacialmente, I_VIS e I_IR, y produce una imagen fusionada F(I_VIS, I_IR) que maximice algún criterio de calidad. Tres etapas son comunes a todas las pipelines: preprocesamiento (registro, normalización), descomposición y fusión por capa, reconstrucción. La descomposición transforma cada imagen en una representación multi-escala que expone los detalles a distintas resoluciones; la fusión por capa aplica una regla de selección (típicamente basada en actividad local máxima); la reconstrucción invierte la descomposición.</w:t>
      </w:r>
    </w:p>
    <w:p>
      <w:pPr>
        <w:pStyle w:val="Heading3"/>
        <w:spacing w:before="180" w:after="100"/>
        <w:jc w:val="start"/>
        <w:rPr/>
      </w:pPr>
      <w:r>
        <w:rPr>
          <w:rFonts w:eastAsia="Times New Roman" w:cs="Times New Roman"/>
          <w:b/>
          <w:bCs/>
          <w:i/>
          <w:iCs/>
          <w:color w:val="000000"/>
          <w:sz w:val="24"/>
          <w:szCs w:val="24"/>
        </w:rPr>
        <w:t>2.2.2 Morfología matemática</w:t>
      </w:r>
    </w:p>
    <w:p>
      <w:pPr>
        <w:pStyle w:val="Normal"/>
        <w:spacing w:lineRule="auto" w:line="360" w:before="0" w:after="160"/>
        <w:ind w:firstLine="709"/>
        <w:jc w:val="both"/>
        <w:rPr/>
      </w:pPr>
      <w:r>
        <w:rPr>
          <w:rFonts w:eastAsia="Times New Roman" w:cs="Times New Roman"/>
          <w:sz w:val="24"/>
          <w:szCs w:val="24"/>
        </w:rPr>
        <w:t>La morfología matemática es un cuerpo algebraico para el análisis de estructuras geométricas en imágenes, basado en la teoría de retículas completas (Serra, 1982; Soille, 2003</w:t>
      </w:r>
      <w:r>
        <w:rPr>
          <w:rFonts w:eastAsia="Times New Roman" w:cs="Times New Roman"/>
        </w:rPr>
        <w:t>; Gonzalez y Woods, 2018). Sus operaciones fundamentales en imágenes de niveles de gris son la erosión ε(f, b) y la dilatación δ(f, b), definidas como mínimo y máximo locales bajo el patrón impuesto por el elemento estructurante b. A partir de ellas se derivan apertura γ(f, b) = δ(ε(f, b), b) y cierre φ(f, b) = ε(δ(f, b), b), que eliminan respectivamente picos brillantes y valles oscuros menores que el SE. La elección del SE (geometría y radio) es la decisión de diseño central: define qué orientaciones, simetrías y escalas de detalle se preservan o suprimen.</w:t>
      </w:r>
    </w:p>
    <w:p>
      <w:pPr>
        <w:pStyle w:val="Normal"/>
        <w:spacing w:lineRule="auto" w:line="360" w:before="0" w:after="120"/>
        <w:ind w:firstLine="709"/>
        <w:jc w:val="both"/>
        <w:rPr/>
      </w:pPr>
      <w:r>
        <w:rPr>
          <w:rFonts w:eastAsia="Times New Roman" w:cs="Times New Roman"/>
          <w:b w:val="false"/>
          <w:sz w:val="24"/>
        </w:rPr>
        <w:t>Las dos operaciones fundamentales son la dilatación (δ) y la erosión (ε). En escala de grises, para un elemento estructurante b, se definen como el máximo y el mínimo local, respectivamente (Román et al., 2020):</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δ</m:t>
                </m:r>
                <m:d>
                  <m:dPr>
                    <m:begChr m:val="("/>
                    <m:endChr m:val=")"/>
                  </m:dPr>
                  <m:e>
                    <m:r>
                      <m:t>f,b</m:t>
                    </m:r>
                  </m:e>
                </m:d>
                <m:d>
                  <m:dPr>
                    <m:begChr m:val="("/>
                    <m:endChr m:val=")"/>
                  </m:dPr>
                  <m:e>
                    <m:r>
                      <m:t>u,v</m:t>
                    </m:r>
                  </m:e>
                </m:d>
                <m:r>
                  <m:rPr>
                    <m:lit/>
                    <m:nor/>
                  </m:rPr>
                  <m:t xml:space="preserve">=</m:t>
                </m:r>
                <m:limLow>
                  <m:e>
                    <m:r>
                      <m:rPr>
                        <m:lit/>
                        <m:nor/>
                      </m:rPr>
                      <m:t xml:space="preserve">max</m:t>
                    </m:r>
                  </m:e>
                  <m:lim>
                    <m:d>
                      <m:dPr>
                        <m:begChr m:val="("/>
                        <m:endChr m:val=")"/>
                      </m:dPr>
                      <m:e>
                        <m:r>
                          <m:t>j,k</m:t>
                        </m:r>
                      </m:e>
                    </m:d>
                    <m:r>
                      <m:t>∈b</m:t>
                    </m:r>
                  </m:lim>
                </m:limLow>
                <m:r>
                  <m:t xml:space="preserve">f</m:t>
                </m:r>
                <m:d>
                  <m:dPr>
                    <m:begChr m:val="("/>
                    <m:endChr m:val=")"/>
                  </m:dPr>
                  <m:e>
                    <m:r>
                      <m:t>u−j,v−k</m:t>
                    </m:r>
                  </m:e>
                </m:d>
                <m:r>
                  <m:t>,ε</m:t>
                </m:r>
                <m:d>
                  <m:dPr>
                    <m:begChr m:val="("/>
                    <m:endChr m:val=")"/>
                  </m:dPr>
                  <m:e>
                    <m:r>
                      <m:t>f,b</m:t>
                    </m:r>
                  </m:e>
                </m:d>
                <m:d>
                  <m:dPr>
                    <m:begChr m:val="("/>
                    <m:endChr m:val=")"/>
                  </m:dPr>
                  <m:e>
                    <m:r>
                      <m:t>u,v</m:t>
                    </m:r>
                  </m:e>
                </m:d>
                <m:r>
                  <m:rPr>
                    <m:lit/>
                    <m:nor/>
                  </m:rPr>
                  <m:t xml:space="preserve">=</m:t>
                </m:r>
                <m:limLow>
                  <m:e>
                    <m:r>
                      <m:rPr>
                        <m:lit/>
                        <m:nor/>
                      </m:rPr>
                      <m:t xml:space="preserve">min</m:t>
                    </m:r>
                  </m:e>
                  <m:lim>
                    <m:d>
                      <m:dPr>
                        <m:begChr m:val="("/>
                        <m:endChr m:val=")"/>
                      </m:dPr>
                      <m:e>
                        <m:r>
                          <m:t>j,k</m:t>
                        </m:r>
                      </m:e>
                    </m:d>
                    <m:r>
                      <m:t>∈b</m:t>
                    </m:r>
                  </m:lim>
                </m:limLow>
                <m:r>
                  <m:t xml:space="preserve">f</m:t>
                </m:r>
                <m:d>
                  <m:dPr>
                    <m:begChr m:val="("/>
                    <m:endChr m:val=")"/>
                  </m:dPr>
                  <m:e>
                    <m:r>
                      <m:t xml:space="preserve">u</m:t>
                    </m:r>
                    <m:r>
                      <m:rPr>
                        <m:lit/>
                        <m:nor/>
                      </m:rPr>
                      <m:t xml:space="preserve">+</m:t>
                    </m:r>
                    <m:r>
                      <m:t>j,v</m:t>
                    </m:r>
                    <m:r>
                      <m:rPr>
                        <m:lit/>
                        <m:nor/>
                      </m:rPr>
                      <m:t xml:space="preserve">+</m:t>
                    </m:r>
                    <m:r>
                      <m:t xml:space="preserve">k</m:t>
                    </m:r>
                  </m:e>
                </m:d>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w:t>
            </w:r>
          </w:p>
        </w:tc>
      </w:tr>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γ</m:t>
                </m:r>
                <m:d>
                  <m:dPr>
                    <m:begChr m:val="("/>
                    <m:endChr m:val=")"/>
                  </m:dPr>
                  <m:e>
                    <m:r>
                      <m:t>f,b</m:t>
                    </m:r>
                  </m:e>
                </m:d>
                <m:r>
                  <m:rPr>
                    <m:lit/>
                    <m:nor/>
                  </m:rPr>
                  <m:t xml:space="preserve">=</m:t>
                </m:r>
                <m:r>
                  <m:t xml:space="preserve">δ</m:t>
                </m:r>
                <m:d>
                  <m:dPr>
                    <m:begChr m:val="("/>
                    <m:endChr m:val=")"/>
                  </m:dPr>
                  <m:e>
                    <m:r>
                      <m:t xml:space="preserve">ε</m:t>
                    </m:r>
                    <m:d>
                      <m:dPr>
                        <m:begChr m:val="("/>
                        <m:endChr m:val=")"/>
                      </m:dPr>
                      <m:e>
                        <m:r>
                          <m:t>f,b</m:t>
                        </m:r>
                      </m:e>
                    </m:d>
                    <m:r>
                      <m:t>,b</m:t>
                    </m:r>
                  </m:e>
                </m:d>
                <m:r>
                  <m:t>,φ</m:t>
                </m:r>
                <m:d>
                  <m:dPr>
                    <m:begChr m:val="("/>
                    <m:endChr m:val=")"/>
                  </m:dPr>
                  <m:e>
                    <m:r>
                      <m:t>f,b</m:t>
                    </m:r>
                  </m:e>
                </m:d>
                <m:r>
                  <m:rPr>
                    <m:lit/>
                    <m:nor/>
                  </m:rPr>
                  <m:t xml:space="preserve">=</m:t>
                </m:r>
                <m:r>
                  <m:t xml:space="preserve">ε</m:t>
                </m:r>
                <m:d>
                  <m:dPr>
                    <m:begChr m:val="("/>
                    <m:endChr m:val=")"/>
                  </m:dPr>
                  <m:e>
                    <m:r>
                      <m:t xml:space="preserve">δ</m:t>
                    </m:r>
                    <m:d>
                      <m:dPr>
                        <m:begChr m:val="("/>
                        <m:endChr m:val=")"/>
                      </m:dPr>
                      <m:e>
                        <m:r>
                          <m:t>f,b</m:t>
                        </m:r>
                      </m:e>
                    </m:d>
                    <m:r>
                      <m:t>,b</m:t>
                    </m:r>
                  </m:e>
                </m:d>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(2)</w:t>
            </w:r>
          </w:p>
        </w:tc>
      </w:tr>
    </w:tbl>
    <w:p>
      <w:pPr>
        <w:pStyle w:val="Heading3"/>
        <w:spacing w:before="180" w:after="100"/>
        <w:jc w:val="start"/>
        <w:rPr/>
      </w:pPr>
      <w:r>
        <w:rPr>
          <w:rFonts w:eastAsia="Times New Roman" w:cs="Times New Roman"/>
          <w:b/>
          <w:bCs/>
          <w:i/>
          <w:iCs/>
          <w:color w:val="000000"/>
          <w:sz w:val="24"/>
          <w:szCs w:val="24"/>
        </w:rPr>
        <w:t>2.2.3 Transformada Top-Hat</w:t>
      </w:r>
    </w:p>
    <w:p>
      <w:pPr>
        <w:pStyle w:val="Normal"/>
        <w:spacing w:lineRule="auto" w:line="360" w:before="0" w:after="160"/>
        <w:ind w:firstLine="709"/>
        <w:jc w:val="both"/>
        <w:rPr/>
      </w:pPr>
      <w:r>
        <w:rPr>
          <w:rFonts w:eastAsia="Times New Roman" w:cs="Times New Roman"/>
          <w:sz w:val="24"/>
          <w:szCs w:val="24"/>
        </w:rPr>
        <w:t>La transformada White Top-Hat se define como la diferencia entre la imagen original y su apertura: WTH(f, b) = f − γ(f, b). Aísla las estructuras brillantes más pequeñas que el SE. Su dual, la Black Top-Hat, BTH(f, b) = φ(f, b) − f, aísla los valles oscuros. Una propiedad clave es que el WTH es siempre no negativo y se anula en regiones donde la imagen es localmente plana a la escala del SE, lo que la convierte en un detector natural de detalles. La elección del tipo de SE (disco para isotropía, línea para direcciones específicas, cuadrado o cruz para sensibilidades distintas) determina qué tipo de detalle se enfatiza.</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WTH</m:t>
                </m:r>
                <m:d>
                  <m:dPr>
                    <m:begChr m:val="("/>
                    <m:endChr m:val=")"/>
                  </m:dPr>
                  <m:e>
                    <m:r>
                      <m:t>f,b</m:t>
                    </m:r>
                  </m:e>
                </m:d>
                <m:r>
                  <m:rPr>
                    <m:lit/>
                    <m:nor/>
                  </m:rPr>
                  <m:t xml:space="preserve">=</m:t>
                </m:r>
                <m:r>
                  <m:t>f−γ</m:t>
                </m:r>
                <m:d>
                  <m:dPr>
                    <m:begChr m:val="("/>
                    <m:endChr m:val=")"/>
                  </m:dPr>
                  <m:e>
                    <m:r>
                      <m:t>f,b</m:t>
                    </m:r>
                  </m:e>
                </m:d>
                <m:r>
                  <m:t>,BTH</m:t>
                </m:r>
                <m:d>
                  <m:dPr>
                    <m:begChr m:val="("/>
                    <m:endChr m:val=")"/>
                  </m:dPr>
                  <m:e>
                    <m:r>
                      <m:t>f,b</m:t>
                    </m:r>
                  </m:e>
                </m:d>
                <m:r>
                  <m:rPr>
                    <m:lit/>
                    <m:nor/>
                  </m:rPr>
                  <m:t xml:space="preserve">=</m:t>
                </m:r>
                <m:r>
                  <m:t xml:space="preserve">φ</m:t>
                </m:r>
                <m:d>
                  <m:dPr>
                    <m:begChr m:val="("/>
                    <m:endChr m:val=")"/>
                  </m:dPr>
                  <m:e>
                    <m:r>
                      <m:t>f,b</m:t>
                    </m:r>
                  </m:e>
                </m:d>
                <m:r>
                  <m:t>−f</m:t>
                </m:r>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(3)</w:t>
            </w:r>
          </w:p>
        </w:tc>
      </w:tr>
    </w:tbl>
    <w:p>
      <w:pPr>
        <w:pStyle w:val="Normal"/>
        <w:spacing w:lineRule="auto" w:line="360" w:before="0" w:after="120"/>
        <w:ind w:firstLine="709"/>
        <w:jc w:val="both"/>
        <w:rPr/>
      </w:pPr>
      <w:r>
        <w:rPr>
          <w:rFonts w:eastAsia="Times New Roman" w:cs="Times New Roman"/>
          <w:b w:val="false"/>
          <w:sz w:val="24"/>
        </w:rPr>
        <w:t>Para realzar estructuras direccionales, Bala et al. (2024) promedian las respuestas Top-Hat obtenidas con elementos estructurantes lineales en n orientaciones angulares:</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WT</m:t>
                </m:r>
                <m:sSup>
                  <m:e>
                    <m:r>
                      <m:t xml:space="preserve">H</m:t>
                    </m:r>
                  </m:e>
                  <m:sup>
                    <m:r>
                      <m:t xml:space="preserve">m</m:t>
                    </m:r>
                  </m:sup>
                </m:sSup>
                <m:r>
                  <m:rPr>
                    <m:lit/>
                    <m:nor/>
                  </m:rPr>
                  <m:t xml:space="preserve">=</m:t>
                </m:r>
                <m:f>
                  <m:num>
                    <m:r>
                      <m:t xml:space="preserve">1</m:t>
                    </m:r>
                  </m:num>
                  <m:den>
                    <m:r>
                      <m:t xml:space="preserve">n</m:t>
                    </m:r>
                  </m:den>
                </m:f>
                <m:nary>
                  <m:naryPr>
                    <m:chr m:val="∑"/>
                    <m:supHide m:val="1"/>
                  </m:naryPr>
                  <m:sub>
                    <m:r>
                      <m:t xml:space="preserve">θ</m:t>
                    </m:r>
                  </m:sub>
                  <m:sup/>
                  <m:e>
                    <m:d>
                      <m:dPr>
                        <m:begChr m:val="("/>
                        <m:endChr m:val=")"/>
                      </m:dPr>
                      <m:e>
                        <m:r>
                          <m:t>f−γ</m:t>
                        </m:r>
                        <m:d>
                          <m:dPr>
                            <m:begChr m:val="("/>
                            <m:endChr m:val=")"/>
                          </m:dPr>
                          <m:e>
                            <m:r>
                              <m:t>f,</m:t>
                            </m:r>
                            <m:sSub>
                              <m:e>
                                <m:r>
                                  <m:t xml:space="preserve">b</m:t>
                                </m:r>
                              </m:e>
                              <m:sub>
                                <m:r>
                                  <m:t xml:space="preserve">θ</m:t>
                                </m:r>
                              </m:sub>
                            </m:sSub>
                          </m:e>
                        </m:d>
                      </m:e>
                    </m:d>
                  </m:e>
                </m:nary>
                <m:r>
                  <m:t>,BT</m:t>
                </m:r>
                <m:sSup>
                  <m:e>
                    <m:r>
                      <m:t xml:space="preserve">H</m:t>
                    </m:r>
                  </m:e>
                  <m:sup>
                    <m:r>
                      <m:t xml:space="preserve">m</m:t>
                    </m:r>
                  </m:sup>
                </m:sSup>
                <m:r>
                  <m:rPr>
                    <m:lit/>
                    <m:nor/>
                  </m:rPr>
                  <m:t xml:space="preserve">=</m:t>
                </m:r>
                <m:f>
                  <m:num>
                    <m:r>
                      <m:t xml:space="preserve">1</m:t>
                    </m:r>
                  </m:num>
                  <m:den>
                    <m:r>
                      <m:t xml:space="preserve">n</m:t>
                    </m:r>
                  </m:den>
                </m:f>
                <m:nary>
                  <m:naryPr>
                    <m:chr m:val="∑"/>
                    <m:supHide m:val="1"/>
                  </m:naryPr>
                  <m:sub>
                    <m:r>
                      <m:t xml:space="preserve">θ</m:t>
                    </m:r>
                  </m:sub>
                  <m:sup/>
                  <m:e>
                    <m:d>
                      <m:dPr>
                        <m:begChr m:val="("/>
                        <m:endChr m:val=")"/>
                      </m:dPr>
                      <m:e>
                        <m:r>
                          <m:t xml:space="preserve">φ</m:t>
                        </m:r>
                        <m:d>
                          <m:dPr>
                            <m:begChr m:val="("/>
                            <m:endChr m:val=")"/>
                          </m:dPr>
                          <m:e>
                            <m:r>
                              <m:t>f,</m:t>
                            </m:r>
                            <m:sSub>
                              <m:e>
                                <m:r>
                                  <m:t xml:space="preserve">b</m:t>
                                </m:r>
                              </m:e>
                              <m:sub>
                                <m:r>
                                  <m:t xml:space="preserve">θ</m:t>
                                </m:r>
                              </m:sub>
                            </m:sSub>
                          </m:e>
                        </m:d>
                        <m:r>
                          <m:t>−f</m:t>
                        </m:r>
                      </m:e>
                    </m:d>
                  </m:e>
                </m:nary>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(4)</w:t>
            </w:r>
          </w:p>
        </w:tc>
      </w:tr>
    </w:tbl>
    <w:p>
      <w:pPr>
        <w:pStyle w:val="Normal"/>
        <w:spacing w:lineRule="auto" w:line="360" w:before="0" w:after="120"/>
        <w:ind w:firstLine="709"/>
        <w:jc w:val="both"/>
        <w:rPr/>
      </w:pPr>
      <w:r>
        <w:rPr>
          <w:rFonts w:eastAsia="Times New Roman" w:cs="Times New Roman"/>
          <w:b w:val="false"/>
          <w:sz w:val="24"/>
        </w:rPr>
        <w:t>y reconstruyen la imagen realzada sumando los realces claros y restando los oscuros, combinando las respuestas lineales (multidireccionales) y la del disco:</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m:t xml:space="preserve">I</m:t>
                    </m:r>
                  </m:e>
                  <m:sub>
                    <m:r>
                      <m:t xml:space="preserve">en</m:t>
                    </m:r>
                  </m:sub>
                </m:sSub>
                <m:r>
                  <m:rPr>
                    <m:lit/>
                    <m:nor/>
                  </m:rPr>
                  <m:t xml:space="preserve">=</m:t>
                </m:r>
                <m:r>
                  <m:t xml:space="preserve">I</m:t>
                </m:r>
                <m:r>
                  <m:rPr>
                    <m:lit/>
                    <m:nor/>
                  </m:rPr>
                  <m:t xml:space="preserve">+</m:t>
                </m:r>
                <m:d>
                  <m:dPr>
                    <m:begChr m:val="("/>
                    <m:endChr m:val=")"/>
                  </m:dPr>
                  <m:e>
                    <m:sSub>
                      <m:e>
                        <m:r>
                          <m:t xml:space="preserve">I</m:t>
                        </m:r>
                      </m:e>
                      <m:sub>
                        <m:r>
                          <m:t xml:space="preserve">top</m:t>
                        </m:r>
                      </m:sub>
                    </m:sSub>
                    <m:r>
                      <m:t xml:space="preserve">−</m:t>
                    </m:r>
                    <m:sSub>
                      <m:e>
                        <m:r>
                          <m:t xml:space="preserve">I</m:t>
                        </m:r>
                      </m:e>
                      <m:sub>
                        <m:r>
                          <m:t xml:space="preserve">bot</m:t>
                        </m:r>
                      </m:sub>
                    </m:sSub>
                  </m:e>
                </m:d>
                <m:r>
                  <m:t xml:space="preserve">,</m:t>
                </m:r>
                <m:sSub>
                  <m:e>
                    <m:r>
                      <m:t xml:space="preserve">I</m:t>
                    </m:r>
                  </m:e>
                  <m:sub>
                    <m:r>
                      <m:t xml:space="preserve">top</m:t>
                    </m:r>
                  </m:sub>
                </m:sSub>
                <m:r>
                  <m:rPr>
                    <m:lit/>
                    <m:nor/>
                  </m:rPr>
                  <m:t xml:space="preserve">=</m:t>
                </m:r>
                <m:r>
                  <m:t xml:space="preserve">WT</m:t>
                </m:r>
                <m:sSup>
                  <m:e>
                    <m:r>
                      <m:t xml:space="preserve">H</m:t>
                    </m:r>
                  </m:e>
                  <m:sup>
                    <m:r>
                      <m:t xml:space="preserve">m</m:t>
                    </m:r>
                  </m:sup>
                </m:sSup>
                <m:r>
                  <m:rPr>
                    <m:lit/>
                    <m:nor/>
                  </m:rPr>
                  <m:t xml:space="preserve">+</m:t>
                </m:r>
                <m:r>
                  <m:t xml:space="preserve">WT</m:t>
                </m:r>
                <m:sSup>
                  <m:e>
                    <m:r>
                      <m:t xml:space="preserve">H</m:t>
                    </m:r>
                  </m:e>
                  <m:sup>
                    <m:r>
                      <m:t xml:space="preserve">d</m:t>
                    </m:r>
                  </m:sup>
                </m:sSup>
                <m:r>
                  <m:t xml:space="preserve">,</m:t>
                </m:r>
                <m:sSub>
                  <m:e>
                    <m:r>
                      <m:t xml:space="preserve">I</m:t>
                    </m:r>
                  </m:e>
                  <m:sub>
                    <m:r>
                      <m:t xml:space="preserve">bot</m:t>
                    </m:r>
                  </m:sub>
                </m:sSub>
                <m:r>
                  <m:rPr>
                    <m:lit/>
                    <m:nor/>
                  </m:rPr>
                  <m:t xml:space="preserve">=</m:t>
                </m:r>
                <m:r>
                  <m:t xml:space="preserve">BT</m:t>
                </m:r>
                <m:sSup>
                  <m:e>
                    <m:r>
                      <m:t xml:space="preserve">H</m:t>
                    </m:r>
                  </m:e>
                  <m:sup>
                    <m:r>
                      <m:t xml:space="preserve">m</m:t>
                    </m:r>
                  </m:sup>
                </m:sSup>
                <m:r>
                  <m:rPr>
                    <m:lit/>
                    <m:nor/>
                  </m:rPr>
                  <m:t xml:space="preserve">+</m:t>
                </m:r>
                <m:r>
                  <m:t xml:space="preserve">BT</m:t>
                </m:r>
                <m:sSup>
                  <m:e>
                    <m:r>
                      <m:t xml:space="preserve">H</m:t>
                    </m:r>
                  </m:e>
                  <m:sup>
                    <m:r>
                      <m:t xml:space="preserve">d</m:t>
                    </m:r>
                  </m:sup>
                </m:sSup>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(5)</w:t>
            </w:r>
          </w:p>
        </w:tc>
      </w:tr>
    </w:tbl>
    <w:p>
      <w:pPr>
        <w:pStyle w:val="Normal"/>
        <w:spacing w:lineRule="auto" w:line="276"/>
        <w:jc w:val="center"/>
        <w:rPr/>
      </w:pPr>
      <w:r>
        <w:rPr/>
        <w:drawing>
          <wp:inline distT="0" distB="0" distL="0" distR="0">
            <wp:extent cx="5760720" cy="2828290"/>
            <wp:effectExtent l="0" t="0" r="0" b="0"/>
            <wp:docPr id="2"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8"/>
                    <pic:cNvPicPr>
                      <a:picLocks noChangeAspect="1" noChangeArrowheads="1"/>
                    </pic:cNvPicPr>
                  </pic:nvPicPr>
                  <pic:blipFill>
                    <a:blip r:embed="rId3"/>
                    <a:stretch>
                      <a:fillRect/>
                    </a:stretch>
                  </pic:blipFill>
                  <pic:spPr bwMode="auto">
                    <a:xfrm>
                      <a:off x="0" y="0"/>
                      <a:ext cx="5760720" cy="2828290"/>
                    </a:xfrm>
                    <a:prstGeom prst="rect">
                      <a:avLst/>
                    </a:prstGeom>
                    <a:noFill/>
                  </pic:spPr>
                </pic:pic>
              </a:graphicData>
            </a:graphic>
          </wp:inline>
        </w:drawing>
      </w:r>
    </w:p>
    <w:p>
      <w:pPr>
        <w:pStyle w:val="Normal"/>
        <w:spacing w:lineRule="auto" w:line="276"/>
        <w:jc w:val="start"/>
        <w:rPr/>
      </w:pPr>
      <w:r>
        <w:rPr>
          <w:rFonts w:eastAsia="Times New Roman" w:cs="Times New Roman"/>
          <w:i/>
          <w:sz w:val="18"/>
        </w:rPr>
        <w:t>Figura 1. Operaciones morfológicas (erosión, dilatación, apertura y cierre) y transformada Top-Hat sobre un perfil de intensidad.</w:t>
      </w:r>
    </w:p>
    <w:p>
      <w:pPr>
        <w:pStyle w:val="Normal"/>
        <w:spacing w:lineRule="auto" w:line="276"/>
        <w:rPr/>
      </w:pPr>
      <w:r>
        <w:rPr/>
      </w:r>
    </w:p>
    <w:p>
      <w:pPr>
        <w:pStyle w:val="Heading3"/>
        <w:spacing w:before="180" w:after="100"/>
        <w:jc w:val="start"/>
        <w:rPr/>
      </w:pPr>
      <w:r>
        <w:rPr>
          <w:rFonts w:eastAsia="Times New Roman" w:cs="Times New Roman"/>
          <w:b/>
          <w:color w:val="000000"/>
          <w:sz w:val="24"/>
        </w:rPr>
        <w:t>2.2.4 Metodología clásica de fusión Top-Hat</w:t>
      </w:r>
    </w:p>
    <w:p>
      <w:pPr>
        <w:pStyle w:val="Normal"/>
        <w:spacing w:lineRule="auto" w:line="360" w:before="0" w:after="160"/>
        <w:ind w:firstLine="709"/>
        <w:jc w:val="both"/>
        <w:rPr/>
      </w:pPr>
      <w:r>
        <w:rPr>
          <w:rFonts w:eastAsia="Times New Roman" w:cs="Times New Roman"/>
        </w:rPr>
        <w:t>La metodología clásica de fusión por transformada Top-Hat constituye la referencia morfológica directa de este trabajo. Dada cada imagen de entrada f (visible e infrarroja), se aplican la White Top-Hat y la Black Top-Hat con un único elemento estructurante de disco B_r (aquí, radio r = 5), extrayendo respectivamente el detalle brillante y el oscuro más finos que el disco. Los detalles de ambas fuentes se combinan conservando, píxel a píxel, la respuesta máxima —el detalle más saliente de cualquiera de las dos modalidades— y la imagen fusionada se reconstruye sobre la base I_base = (I_VIS + I_IR)/2 mediante el esquema aditivo–sustractivo sin ponderación: F = I_base + máx(WTH_VIS, WTH_IR) − máx(BTH_VIS, BTH_IR). Se trata de un método interpretable y de muy bajo costo computacional, pero con dos limitaciones que motivan la propuesta: el disco único carece de sensibilidad direccional —trata por igual estructuras alargadas e isótropas— y la reconstrucción sin peso de contraste inyecta todo el detalle extraído, lo que en la práctica dispara los artefactos y degrada la similitud estructural (SSIM), como se cuantifica en el capítulo de resultados.</w:t>
      </w:r>
    </w:p>
    <w:p>
      <w:pPr>
        <w:pStyle w:val="Normal"/>
        <w:spacing w:lineRule="auto" w:line="276"/>
        <w:rPr/>
      </w:pPr>
      <w:r>
        <w:rPr>
          <w:rFonts w:eastAsia="Times New Roman" w:cs="Times New Roman"/>
        </w:rPr>
        <w:t>La imagen fusionada final se reconstruye según la regla:</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F=</m:t>
                </m:r>
                <m:sSub>
                  <m:e>
                    <m:r>
                      <m:t>I</m:t>
                    </m:r>
                  </m:e>
                  <m:sub>
                    <m:r>
                      <m:t>base</m:t>
                    </m:r>
                  </m:sub>
                </m:sSub>
                <m:r>
                  <m:t>+</m:t>
                </m:r>
                <m:r>
                  <m:t>máx</m:t>
                </m:r>
                <m:d>
                  <m:dPr>
                    <m:begChr m:val="("/>
                    <m:endChr m:val=")"/>
                    <m:grow/>
                  </m:dPr>
                  <m:e>
                    <m:sSub>
                      <m:e>
                        <m:r>
                          <m:t>WTH</m:t>
                        </m:r>
                      </m:e>
                      <m:sub>
                        <m:r>
                          <m:t>VIS</m:t>
                        </m:r>
                      </m:sub>
                    </m:sSub>
                    <m:r>
                      <m:t>,</m:t>
                    </m:r>
                    <m:sSub>
                      <m:e>
                        <m:r>
                          <m:t>WTH</m:t>
                        </m:r>
                      </m:e>
                      <m:sub>
                        <m:r>
                          <m:t>IR</m:t>
                        </m:r>
                      </m:sub>
                    </m:sSub>
                  </m:e>
                </m:d>
                <m:r>
                  <m:t>−</m:t>
                </m:r>
                <m:r>
                  <m:t>máx</m:t>
                </m:r>
                <m:d>
                  <m:dPr>
                    <m:begChr m:val="("/>
                    <m:endChr m:val=")"/>
                    <m:grow/>
                  </m:dPr>
                  <m:e>
                    <m:sSub>
                      <m:e>
                        <m:r>
                          <m:t>BTH</m:t>
                        </m:r>
                      </m:e>
                      <m:sub>
                        <m:r>
                          <m:t>VIS</m:t>
                        </m:r>
                      </m:sub>
                    </m:sSub>
                    <m:r>
                      <m:t>,</m:t>
                    </m:r>
                    <m:sSub>
                      <m:e>
                        <m:r>
                          <m:t>BTH</m:t>
                        </m:r>
                      </m:e>
                      <m:sub>
                        <m:r>
                          <m:t>IR</m:t>
                        </m:r>
                      </m:sub>
                    </m:sSub>
                  </m:e>
                </m:d>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(6)</w:t>
            </w:r>
          </w:p>
        </w:tc>
      </w:tr>
    </w:tbl>
    <w:p>
      <w:pPr>
        <w:pStyle w:val="Normal"/>
        <w:spacing w:lineRule="auto" w:line="360"/>
        <w:ind w:firstLine="709"/>
        <w:jc w:val="both"/>
        <w:rPr/>
      </w:pPr>
      <w:r>
        <w:rPr>
          <w:rFonts w:eastAsia="Times New Roman" w:cs="Times New Roman"/>
        </w:rPr>
        <w:t>El operador clásico admite dos modos: emplear únicamente la White Top-Hat (realce del detalle brillante) o el esquema completo White+Black (realce de ambos extremos). En este trabajo se emplea el esquema completo con disco de radio r = 5, la configuración estándar reportada en la literatura, sin peso de contraste (m = 1) y sin optimización de hiperparámetros: esas dos carencias son precisamente las que la Propuesta Novedosa aborda.</w:t>
      </w:r>
    </w:p>
    <w:p>
      <w:pPr>
        <w:pStyle w:val="Normal"/>
        <w:spacing w:lineRule="auto" w:line="276" w:before="200" w:after="80"/>
        <w:jc w:val="center"/>
        <w:rPr/>
      </w:pPr>
      <w:r>
        <w:rPr/>
        <w:drawing>
          <wp:inline distT="0" distB="0" distL="0" distR="0">
            <wp:extent cx="4953000" cy="3219450"/>
            <wp:effectExtent l="0" t="0" r="0" b="0"/>
            <wp:docPr id="3" name="fig_fusion_tophat_clasica.png" descr="Figura 2. Esquema conceptual de la fusion Top-Hat clasic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fig_fusion_tophat_clasica.png" descr="Figura 2. Esquema conceptual de la fusion Top-Hat clasica."/>
                    <pic:cNvPicPr>
                      <a:picLocks noChangeAspect="1" noChangeArrowheads="1"/>
                    </pic:cNvPicPr>
                  </pic:nvPicPr>
                  <pic:blipFill>
                    <a:blip r:embed="rId4"/>
                    <a:stretch>
                      <a:fillRect/>
                    </a:stretch>
                  </pic:blipFill>
                  <pic:spPr bwMode="auto">
                    <a:xfrm>
                      <a:off x="0" y="0"/>
                      <a:ext cx="4953000" cy="3219450"/>
                    </a:xfrm>
                    <a:prstGeom prst="rect">
                      <a:avLst/>
                    </a:prstGeom>
                    <a:noFill/>
                  </pic:spPr>
                </pic:pic>
              </a:graphicData>
            </a:graphic>
          </wp:inline>
        </w:drawing>
      </w:r>
    </w:p>
    <w:p>
      <w:pPr>
        <w:pStyle w:val="Normal"/>
        <w:spacing w:lineRule="auto" w:line="276" w:before="0" w:after="240"/>
        <w:jc w:val="center"/>
        <w:rPr/>
      </w:pPr>
      <w:r>
        <w:rPr>
          <w:rFonts w:eastAsia="Times New Roman" w:cs="Times New Roman"/>
          <w:i/>
          <w:sz w:val="18"/>
        </w:rPr>
        <w:t>Figura 2. Esquema conceptual de la fusión Top-Hat clásica: disco único, combinación por máximo entre fuentes y reconstrucción sin ponderación.</w:t>
      </w:r>
    </w:p>
    <w:p>
      <w:pPr>
        <w:pStyle w:val="Heading3"/>
        <w:jc w:val="start"/>
        <w:rPr/>
      </w:pPr>
      <w:r>
        <w:rPr>
          <w:rFonts w:eastAsia="Times New Roman" w:cs="Times New Roman"/>
          <w:b/>
          <w:color w:val="000000"/>
          <w:sz w:val="24"/>
        </w:rPr>
        <w:t>2.2.5 Propuesta Novedosa: método de fusión Top-Hat con elementos estructurantes circulares y lineales optimizado por PSO</w:t>
      </w:r>
    </w:p>
    <w:p>
      <w:pPr>
        <w:pStyle w:val="Normal"/>
        <w:spacing w:lineRule="auto" w:line="360"/>
        <w:ind w:firstLine="709"/>
        <w:jc w:val="both"/>
        <w:rPr/>
      </w:pPr>
      <w:r>
        <w:rPr>
          <w:rFonts w:eastAsia="Times New Roman" w:cs="Times New Roman"/>
        </w:rPr>
        <w:t xml:space="preserve">La propuesta central de esta tesis —la Propuesta Novedosa— es un método de fusión morfológica que, sobre una única escala definida por el radio r, combina un banco de elementos estructurantes circulares y lineales. Integra tres ideas: el promediado multiangular de las respuestas lineales y la reconstrucción aditivo-sustractiva de Bala et al. (2024); el uso simultáneo de un disco y cuatro segmentos lineales para atender por igual a estructuras isótropas y orientadas; y la optimización por enjambre de partículas de Ortega y Espinoza (2025), que fija automáticamente los hiperparámetros. Frente a la metodología clásica de la transformada Top-Hat —un único disco y reconstrucción sin ponderación—, la propuesta añade sensibilidad direccional y sustituye el ajuste manual por una búsqueda guiada por la calidad de fusión.</w:t>
      </w:r>
    </w:p>
    <w:p>
      <w:pPr>
        <w:pStyle w:val="Normal"/>
        <w:spacing w:lineRule="auto" w:line="276"/>
        <w:jc w:val="center"/>
        <w:rPr/>
      </w:pPr>
      <w:r>
        <w:rPr>
          <w:i/>
          <w:iCs/>
          <w:rFonts w:eastAsia="Times New Roman" w:cs="Times New Roman"/>
        </w:rPr>
        <w:t xml:space="preserve">Elementos estructurantes circulares y lineales. </w:t>
      </w:r>
      <w:r>
        <w:rPr>
          <w:rFonts w:eastAsia="Times New Roman" w:cs="Times New Roman"/>
        </w:rPr>
        <w:t xml:space="preserve">El operador se calcula sobre una sola escala, fijada por el radio r. En cada fuente se emplean cinco elementos estructurantes: un disco Bᵣ de radio r, isótropo, y cuatro segmentos lineales Lᵣ,θ de longitud 2r+1 orientados a 0°, 45°, 90° y 135°. Las cuatro respuestas lineales se promedian —siguiendo el esquema multiangular de Bala et al. (ecuaciones 2 y 4)— tanto para el White Top-Hat como para el Black Top-Hat. La respuesta del disco se calcula por separado con el mismo radio. El promedio multiangular atenúa el ruido y realza estructuras alargadas en cualquier orientación, mientras que el disco preserva las estructuras isótropas.</w:t>
      </w:r>
    </w:p>
    <w:p>
      <w:pPr>
        <w:pStyle w:val="Normal"/>
        <w:spacing w:lineRule="auto" w:line="360" w:before="0" w:after="120"/>
        <w:ind w:firstLine="709"/>
        <w:jc w:val="both"/>
        <w:rPr/>
      </w:pPr>
      <w:r>
        <w:rPr>
          <w:rFonts w:eastAsia="Times New Roman" w:cs="Times New Roman"/>
          <w:b w:val="false"/>
          <w:sz w:val="24"/>
        </w:rPr>
        <w:t xml:space="preserve">Para cada fuente f y radio r, la ecuación (7) define la respuesta lineal promediada —White y Black Top-Hat sobre los cuatro segmentos Lᵣ,θ— y la ecuación (8) la respuesta del elemento circular Bᵣ del mismo radio:</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W</m:t>
                </m:r>
                <m:r>
                  <m:t>T</m:t>
                </m:r>
                <m:sSub>
                  <m:e>
                    <m:r>
                      <m:t>H</m:t>
                    </m:r>
                  </m:e>
                  <m:sub>
                    <m:r>
                      <m:rPr/>
                      <m:t>l</m:t>
                    </m:r>
                    <m:r>
                      <m:rPr/>
                      <m:t>i</m:t>
                    </m:r>
                    <m:r>
                      <m:rPr/>
                      <m:t>n</m:t>
                    </m:r>
                  </m:sub>
                </m:sSub>
                <m:r>
                  <m:t>=</m:t>
                </m:r>
                <m:f>
                  <m:fPr>
                    <m:type m:val="bar"/>
                  </m:fPr>
                  <m:num>
                    <m:r>
                      <m:t>1</m:t>
                    </m:r>
                  </m:num>
                  <m:den>
                    <m:r>
                      <m:t>4</m:t>
                    </m:r>
                  </m:den>
                </m:f>
                <m:nary>
                  <m:naryPr>
                    <m:chr m:val="∑"/>
                    <m:limLoc m:val="undOvr"/>
                    <m:subHide m:val="0"/>
                    <m:supHide m:val="1"/>
                  </m:naryPr>
                  <m:sub>
                    <m:r>
                      <m:t>θ</m:t>
                    </m:r>
                  </m:sub>
                  <m:sup>
                    <m:r>
                      <m:t>​</m:t>
                    </m:r>
                  </m:sup>
                  <m:e>
                    <m:d>
                      <m:dPr>
                        <m:begChr m:val="["/>
                        <m:endChr m:val="]"/>
                        <m:grow/>
                      </m:dPr>
                      <m:e>
                        <m:r>
                          <m:t>f</m:t>
                        </m:r>
                        <m:r>
                          <m:t>−</m:t>
                        </m:r>
                        <m:r>
                          <m:t>γ</m:t>
                        </m:r>
                        <m:r>
                          <m:t>(</m:t>
                        </m:r>
                        <m:r>
                          <m:t>f</m:t>
                        </m:r>
                        <m:r>
                          <m:t>,</m:t>
                        </m:r>
                        <m:sSub>
                          <m:e>
                            <m:r>
                              <m:t>L</m:t>
                            </m:r>
                          </m:e>
                          <m:sub>
                            <m:r>
                              <m:t>r</m:t>
                            </m:r>
                            <m:r>
                              <m:t>,</m:t>
                            </m:r>
                            <m:r>
                              <m:t>θ</m:t>
                            </m:r>
                          </m:sub>
                        </m:sSub>
                        <m:r>
                          <m:t>)</m:t>
                        </m:r>
                      </m:e>
                    </m:d>
                  </m:e>
                </m:nary>
                <m:r>
                  <m:t>,</m:t>
                </m:r>
                <m:r>
                  <m:t> </m:t>
                </m:r>
                <m:r>
                  <m:t>B</m:t>
                </m:r>
                <m:r>
                  <m:t>T</m:t>
                </m:r>
                <m:sSub>
                  <m:e>
                    <m:r>
                      <m:t>H</m:t>
                    </m:r>
                  </m:e>
                  <m:sub>
                    <m:r>
                      <m:rPr/>
                      <m:t>l</m:t>
                    </m:r>
                    <m:r>
                      <m:rPr/>
                      <m:t>i</m:t>
                    </m:r>
                    <m:r>
                      <m:rPr/>
                      <m:t>n</m:t>
                    </m:r>
                  </m:sub>
                </m:sSub>
                <m:r>
                  <m:t>=</m:t>
                </m:r>
                <m:f>
                  <m:fPr>
                    <m:type m:val="bar"/>
                  </m:fPr>
                  <m:num>
                    <m:r>
                      <m:t>1</m:t>
                    </m:r>
                  </m:num>
                  <m:den>
                    <m:r>
                      <m:t>4</m:t>
                    </m:r>
                  </m:den>
                </m:f>
                <m:nary>
                  <m:naryPr>
                    <m:chr m:val="∑"/>
                    <m:limLoc m:val="undOvr"/>
                    <m:subHide m:val="0"/>
                    <m:supHide m:val="1"/>
                  </m:naryPr>
                  <m:sub>
                    <m:r>
                      <m:t>θ</m:t>
                    </m:r>
                  </m:sub>
                  <m:sup>
                    <m:r>
                      <m:t>​</m:t>
                    </m:r>
                  </m:sup>
                  <m:e>
                    <m:d>
                      <m:dPr>
                        <m:begChr m:val="["/>
                        <m:endChr m:val="]"/>
                        <m:grow/>
                      </m:dPr>
                      <m:e>
                        <m:r>
                          <m:t>φ</m:t>
                        </m:r>
                        <m:r>
                          <m:t>(</m:t>
                        </m:r>
                        <m:r>
                          <m:t>f</m:t>
                        </m:r>
                        <m:r>
                          <m:t>,</m:t>
                        </m:r>
                        <m:sSub>
                          <m:e>
                            <m:r>
                              <m:t>L</m:t>
                            </m:r>
                          </m:e>
                          <m:sub>
                            <m:r>
                              <m:t>r</m:t>
                            </m:r>
                            <m:r>
                              <m:t>,</m:t>
                            </m:r>
                            <m:r>
                              <m:t>θ</m:t>
                            </m:r>
                          </m:sub>
                        </m:sSub>
                        <m:r>
                          <m:t>)</m:t>
                        </m:r>
                        <m:r>
                          <m:t>−</m:t>
                        </m:r>
                        <m:r>
                          <m:t>f</m:t>
                        </m:r>
                      </m:e>
                    </m:d>
                  </m:e>
                </m:nary>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(7)</w:t>
            </w:r>
          </w:p>
        </w:tc>
      </w:tr>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W</m:t>
                </m:r>
                <m:r>
                  <m:t>T</m:t>
                </m:r>
                <m:sSub>
                  <m:e>
                    <m:r>
                      <m:t>H</m:t>
                    </m:r>
                  </m:e>
                  <m:sub>
                    <m:r>
                      <m:rPr/>
                      <m:t>d</m:t>
                    </m:r>
                    <m:r>
                      <m:rPr/>
                      <m:t>i</m:t>
                    </m:r>
                    <m:r>
                      <m:rPr/>
                      <m:t>s</m:t>
                    </m:r>
                    <m:r>
                      <m:rPr/>
                      <m:t>c</m:t>
                    </m:r>
                    <m:r>
                      <m:rPr/>
                      <m:t>o</m:t>
                    </m:r>
                  </m:sub>
                </m:sSub>
                <m:r>
                  <m:t>=</m:t>
                </m:r>
                <m:r>
                  <m:t>f</m:t>
                </m:r>
                <m:r>
                  <m:t>−</m:t>
                </m:r>
                <m:r>
                  <m:t>γ</m:t>
                </m:r>
                <m:r>
                  <m:t>(</m:t>
                </m:r>
                <m:r>
                  <m:t>f</m:t>
                </m:r>
                <m:r>
                  <m:t>,</m:t>
                </m:r>
                <m:sSub>
                  <m:e>
                    <m:r>
                      <m:t>B</m:t>
                    </m:r>
                  </m:e>
                  <m:sub>
                    <m:r>
                      <m:t>r</m:t>
                    </m:r>
                  </m:sub>
                </m:sSub>
                <m:r>
                  <m:t>)</m:t>
                </m:r>
                <m:r>
                  <m:t>,</m:t>
                </m:r>
                <m:r>
                  <m:t> </m:t>
                </m:r>
                <m:r>
                  <m:t>B</m:t>
                </m:r>
                <m:r>
                  <m:t>T</m:t>
                </m:r>
                <m:sSub>
                  <m:e>
                    <m:r>
                      <m:t>H</m:t>
                    </m:r>
                  </m:e>
                  <m:sub>
                    <m:r>
                      <m:rPr/>
                      <m:t>d</m:t>
                    </m:r>
                    <m:r>
                      <m:rPr/>
                      <m:t>i</m:t>
                    </m:r>
                    <m:r>
                      <m:rPr/>
                      <m:t>s</m:t>
                    </m:r>
                    <m:r>
                      <m:rPr/>
                      <m:t>c</m:t>
                    </m:r>
                    <m:r>
                      <m:rPr/>
                      <m:t>o</m:t>
                    </m:r>
                  </m:sub>
                </m:sSub>
                <m:r>
                  <m:t>=</m:t>
                </m:r>
                <m:r>
                  <m:t>φ</m:t>
                </m:r>
                <m:r>
                  <m:t>(</m:t>
                </m:r>
                <m:r>
                  <m:t>f</m:t>
                </m:r>
                <m:r>
                  <m:t>,</m:t>
                </m:r>
                <m:sSub>
                  <m:e>
                    <m:r>
                      <m:t>B</m:t>
                    </m:r>
                  </m:e>
                  <m:sub>
                    <m:r>
                      <m:t>r</m:t>
                    </m:r>
                  </m:sub>
                </m:sSub>
                <m:r>
                  <m:t>)</m:t>
                </m:r>
                <m:r>
                  <m:t>−</m:t>
                </m:r>
                <m:r>
                  <m:t>f</m:t>
                </m:r>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(8)</w:t>
            </w:r>
          </w:p>
        </w:tc>
      </w:tr>
    </w:tbl>
    <w:p>
      <w:pPr>
        <w:pStyle w:val="Normal"/>
        <w:spacing w:lineRule="auto" w:line="276"/>
        <w:jc w:val="center"/>
        <w:rPr/>
      </w:pPr>
      <w:r>
        <w:rPr/>
        <w:drawing>
          <wp:inline distT="0" distB="0" distL="0" distR="0">
            <wp:extent cx="5760720" cy="1675765"/>
            <wp:effectExtent l="0" t="0" r="0" b="0"/>
            <wp:docPr id="4"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9"/>
                    <pic:cNvPicPr>
                      <a:picLocks noChangeAspect="1" noChangeArrowheads="1"/>
                    </pic:cNvPicPr>
                  </pic:nvPicPr>
                  <pic:blipFill>
                    <a:blip r:embed="rId5"/>
                    <a:stretch>
                      <a:fillRect/>
                    </a:stretch>
                  </pic:blipFill>
                  <pic:spPr bwMode="auto">
                    <a:xfrm>
                      <a:off x="0" y="0"/>
                      <a:ext cx="5760720" cy="1675765"/>
                    </a:xfrm>
                    <a:prstGeom prst="rect">
                      <a:avLst/>
                    </a:prstGeom>
                    <a:noFill/>
                  </pic:spPr>
                </pic:pic>
              </a:graphicData>
            </a:graphic>
          </wp:inline>
        </w:drawing>
      </w:r>
    </w:p>
    <w:p>
      <w:pPr>
        <w:pStyle w:val="Normal"/>
        <w:spacing w:lineRule="auto" w:line="276"/>
        <w:jc w:val="start"/>
        <w:rPr/>
      </w:pPr>
      <w:r>
        <w:rPr>
          <w:rFonts w:eastAsia="Times New Roman" w:cs="Times New Roman"/>
          <w:i/>
          <w:sz w:val="18"/>
        </w:rPr>
        <w:t>Figura 3. Banco de cinco elementos estructurantes (un disco y cuatro líneas): las respuestas lineales promediadas se suman a la del disco.</w:t>
      </w:r>
    </w:p>
    <w:p>
      <w:pPr>
        <w:pStyle w:val="Normal"/>
        <w:spacing w:lineRule="auto" w:line="276"/>
        <w:rPr/>
      </w:pPr>
      <w:r>
        <w:rPr/>
      </w:r>
    </w:p>
    <w:p>
      <w:pPr>
        <w:pStyle w:val="Normal"/>
        <w:spacing w:lineRule="auto" w:line="360"/>
        <w:ind w:firstLine="709"/>
        <w:jc w:val="both"/>
        <w:rPr/>
      </w:pPr>
      <w:r>
        <w:rPr>
          <w:i/>
          <w:iCs/>
          <w:rFonts w:eastAsia="Times New Roman" w:cs="Times New Roman"/>
        </w:rPr>
        <w:t xml:space="preserve">Transformadas óptimas por suma. </w:t>
      </w:r>
      <w:r>
        <w:rPr>
          <w:rFonts w:eastAsia="Times New Roman" w:cs="Times New Roman"/>
        </w:rPr>
        <w:t xml:space="preserve">Siguiendo el esquema de Bala et al., la respuesta lineal promediada y la del disco se suman: el realce acumula la evidencia de ambas ramas, de modo que las estructuras orientadas e isótropas contribuyen conjuntamente al detalle extraído. Así se obtienen, para cada fuente, la transformada óptima superior I_opt^top y la inferior I_opt^bot, según la ecuación (9). Las transformadas de la imagen visible y de la infrarroja se combinan luego entre fuentes tomando de nuevo el máximo por píxel (ecuación 10), conservando el detalle más saliente de cada modalidad.</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Sup>
                  <m:e>
                    <m:r>
                      <m:t>I</m:t>
                    </m:r>
                  </m:e>
                  <m:sub>
                    <m:r>
                      <m:rPr/>
                      <m:t>o</m:t>
                    </m:r>
                    <m:r>
                      <m:rPr/>
                      <m:t>p</m:t>
                    </m:r>
                    <m:r>
                      <m:rPr/>
                      <m:t>t</m:t>
                    </m:r>
                  </m:sub>
                  <m:sup>
                    <m:r>
                      <m:rPr/>
                      <m:t>t</m:t>
                    </m:r>
                    <m:r>
                      <m:rPr/>
                      <m:t>o</m:t>
                    </m:r>
                    <m:r>
                      <m:rPr/>
                      <m:t>p</m:t>
                    </m:r>
                  </m:sup>
                </m:sSubSup>
                <m:r>
                  <m:t>=</m:t>
                </m:r>
                <m:d>
                  <m:dPr>
                    <m:begChr m:val=""/>
                    <m:endChr m:val=""/>
                    <m:grow/>
                  </m:dPr>
                  <m:e>
                    <m:r>
                      <m:t>W</m:t>
                    </m:r>
                    <m:r>
                      <m:t>T</m:t>
                    </m:r>
                    <m:sSub>
                      <m:e>
                        <m:r>
                          <m:t>H</m:t>
                        </m:r>
                      </m:e>
                      <m:sub>
                        <m:r>
                          <m:rPr/>
                          <m:t>l</m:t>
                        </m:r>
                        <m:r>
                          <m:rPr/>
                          <m:t>i</m:t>
                        </m:r>
                        <m:r>
                          <m:rPr/>
                          <m:t>n</m:t>
                        </m:r>
                      </m:sub>
                    </m:sSub>
                    <m:r>
                      <m:t>+</m:t>
                    </m:r>
                    <m:r>
                      <m:t>W</m:t>
                    </m:r>
                    <m:r>
                      <m:t>T</m:t>
                    </m:r>
                    <m:sSub>
                      <m:e>
                        <m:r>
                          <m:t>H</m:t>
                        </m:r>
                      </m:e>
                      <m:sub>
                        <m:r>
                          <m:rPr/>
                          <m:t>d</m:t>
                        </m:r>
                        <m:r>
                          <m:rPr/>
                          <m:t>i</m:t>
                        </m:r>
                        <m:r>
                          <m:rPr/>
                          <m:t>s</m:t>
                        </m:r>
                        <m:r>
                          <m:rPr/>
                          <m:t>c</m:t>
                        </m:r>
                        <m:r>
                          <m:rPr/>
                          <m:t>o</m:t>
                        </m:r>
                      </m:sub>
                    </m:sSub>
                  </m:e>
                </m:d>
                <m:r>
                  <m:t>,</m:t>
                </m:r>
                <m:r>
                  <m:t> </m:t>
                </m:r>
                <m:sSubSup>
                  <m:e>
                    <m:r>
                      <m:t>I</m:t>
                    </m:r>
                  </m:e>
                  <m:sub>
                    <m:r>
                      <m:rPr/>
                      <m:t>o</m:t>
                    </m:r>
                    <m:r>
                      <m:rPr/>
                      <m:t>p</m:t>
                    </m:r>
                    <m:r>
                      <m:rPr/>
                      <m:t>t</m:t>
                    </m:r>
                  </m:sub>
                  <m:sup>
                    <m:r>
                      <m:rPr/>
                      <m:t>b</m:t>
                    </m:r>
                    <m:r>
                      <m:rPr/>
                      <m:t>o</m:t>
                    </m:r>
                    <m:r>
                      <m:rPr/>
                      <m:t>t</m:t>
                    </m:r>
                  </m:sup>
                </m:sSubSup>
                <m:r>
                  <m:t>=</m:t>
                </m:r>
                <m:d>
                  <m:dPr>
                    <m:begChr m:val=""/>
                    <m:endChr m:val=""/>
                    <m:grow/>
                  </m:dPr>
                  <m:e>
                    <m:r>
                      <m:t>B</m:t>
                    </m:r>
                    <m:r>
                      <m:t>T</m:t>
                    </m:r>
                    <m:sSub>
                      <m:e>
                        <m:r>
                          <m:t>H</m:t>
                        </m:r>
                      </m:e>
                      <m:sub>
                        <m:r>
                          <m:rPr/>
                          <m:t>l</m:t>
                        </m:r>
                        <m:r>
                          <m:rPr/>
                          <m:t>i</m:t>
                        </m:r>
                        <m:r>
                          <m:rPr/>
                          <m:t>n</m:t>
                        </m:r>
                      </m:sub>
                    </m:sSub>
                    <m:r>
                      <m:t>+</m:t>
                    </m:r>
                    <m:r>
                      <m:t>B</m:t>
                    </m:r>
                    <m:r>
                      <m:t>T</m:t>
                    </m:r>
                    <m:sSub>
                      <m:e>
                        <m:r>
                          <m:t>H</m:t>
                        </m:r>
                      </m:e>
                      <m:sub>
                        <m:r>
                          <m:rPr/>
                          <m:t>d</m:t>
                        </m:r>
                        <m:r>
                          <m:rPr/>
                          <m:t>i</m:t>
                        </m:r>
                        <m:r>
                          <m:rPr/>
                          <m:t>s</m:t>
                        </m:r>
                        <m:r>
                          <m:rPr/>
                          <m:t>c</m:t>
                        </m:r>
                        <m:r>
                          <m:rPr/>
                          <m:t>o</m:t>
                        </m:r>
                      </m:sub>
                    </m:sSub>
                  </m:e>
                </m:d>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(9)</w:t>
            </w:r>
          </w:p>
        </w:tc>
      </w:tr>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Sup>
                  <m:e>
                    <m:r>
                      <m:t>I</m:t>
                    </m:r>
                  </m:e>
                  <m:sub>
                    <m:r>
                      <m:rPr/>
                      <m:t>o</m:t>
                    </m:r>
                    <m:r>
                      <m:rPr/>
                      <m:t>p</m:t>
                    </m:r>
                    <m:r>
                      <m:rPr/>
                      <m:t>t</m:t>
                    </m:r>
                  </m:sub>
                  <m:sup>
                    <m:r>
                      <m:rPr/>
                      <m:t>t</m:t>
                    </m:r>
                    <m:r>
                      <m:rPr/>
                      <m:t>o</m:t>
                    </m:r>
                    <m:r>
                      <m:rPr/>
                      <m:t>p</m:t>
                    </m:r>
                    <m:r>
                      <m:t>,</m:t>
                    </m:r>
                    <m:r>
                      <m:t>F</m:t>
                    </m:r>
                  </m:sup>
                </m:sSubSup>
                <m:r>
                  <m:t>=</m:t>
                </m:r>
                <m:r>
                  <m:rPr>
                    <m:nor/>
                  </m:rPr>
                  <m:t>max</m:t>
                </m:r>
                <m:r>
                  <m:t>​</m:t>
                </m:r>
                <m:d>
                  <m:dPr>
                    <m:begChr m:val="("/>
                    <m:endChr m:val=")"/>
                    <m:grow/>
                  </m:dPr>
                  <m:e>
                    <m:sSubSup>
                      <m:e>
                        <m:r>
                          <m:t>I</m:t>
                        </m:r>
                      </m:e>
                      <m:sub>
                        <m:r>
                          <m:rPr/>
                          <m:t>o</m:t>
                        </m:r>
                        <m:r>
                          <m:rPr/>
                          <m:t>p</m:t>
                        </m:r>
                        <m:r>
                          <m:rPr/>
                          <m:t>t</m:t>
                        </m:r>
                      </m:sub>
                      <m:sup>
                        <m:r>
                          <m:rPr/>
                          <m:t>t</m:t>
                        </m:r>
                        <m:r>
                          <m:rPr/>
                          <m:t>o</m:t>
                        </m:r>
                        <m:r>
                          <m:rPr/>
                          <m:t>p</m:t>
                        </m:r>
                        <m:r>
                          <m:rPr/>
                          <m:t>,</m:t>
                        </m:r>
                        <m:r>
                          <m:rPr/>
                          <m:t>I</m:t>
                        </m:r>
                        <m:r>
                          <m:rPr/>
                          <m:t>R</m:t>
                        </m:r>
                      </m:sup>
                    </m:sSubSup>
                    <m:r>
                      <m:t>,</m:t>
                    </m:r>
                    <m:sSubSup>
                      <m:e>
                        <m:r>
                          <m:t>I</m:t>
                        </m:r>
                      </m:e>
                      <m:sub>
                        <m:r>
                          <m:rPr/>
                          <m:t>o</m:t>
                        </m:r>
                        <m:r>
                          <m:rPr/>
                          <m:t>p</m:t>
                        </m:r>
                        <m:r>
                          <m:rPr/>
                          <m:t>t</m:t>
                        </m:r>
                      </m:sub>
                      <m:sup>
                        <m:r>
                          <m:rPr/>
                          <m:t>t</m:t>
                        </m:r>
                        <m:r>
                          <m:rPr/>
                          <m:t>o</m:t>
                        </m:r>
                        <m:r>
                          <m:rPr/>
                          <m:t>p</m:t>
                        </m:r>
                        <m:r>
                          <m:rPr/>
                          <m:t>,</m:t>
                        </m:r>
                        <m:r>
                          <m:rPr/>
                          <m:t>V</m:t>
                        </m:r>
                        <m:r>
                          <m:rPr/>
                          <m:t>I</m:t>
                        </m:r>
                        <m:r>
                          <m:rPr/>
                          <m:t>S</m:t>
                        </m:r>
                      </m:sup>
                    </m:sSubSup>
                  </m:e>
                </m:d>
                <m:r>
                  <m:t>,</m:t>
                </m:r>
                <m:r>
                  <m:t> </m:t>
                </m:r>
                <m:sSubSup>
                  <m:e>
                    <m:r>
                      <m:t>I</m:t>
                    </m:r>
                  </m:e>
                  <m:sub>
                    <m:r>
                      <m:rPr/>
                      <m:t>o</m:t>
                    </m:r>
                    <m:r>
                      <m:rPr/>
                      <m:t>p</m:t>
                    </m:r>
                    <m:r>
                      <m:rPr/>
                      <m:t>t</m:t>
                    </m:r>
                  </m:sub>
                  <m:sup>
                    <m:r>
                      <m:rPr/>
                      <m:t>b</m:t>
                    </m:r>
                    <m:r>
                      <m:rPr/>
                      <m:t>o</m:t>
                    </m:r>
                    <m:r>
                      <m:rPr/>
                      <m:t>t</m:t>
                    </m:r>
                    <m:r>
                      <m:t>,</m:t>
                    </m:r>
                    <m:r>
                      <m:t>F</m:t>
                    </m:r>
                  </m:sup>
                </m:sSubSup>
                <m:r>
                  <m:t>=</m:t>
                </m:r>
                <m:r>
                  <m:rPr>
                    <m:nor/>
                  </m:rPr>
                  <m:t>max</m:t>
                </m:r>
                <m:r>
                  <m:t>​</m:t>
                </m:r>
                <m:d>
                  <m:dPr>
                    <m:begChr m:val="("/>
                    <m:endChr m:val=")"/>
                    <m:grow/>
                  </m:dPr>
                  <m:e>
                    <m:sSubSup>
                      <m:e>
                        <m:r>
                          <m:t>I</m:t>
                        </m:r>
                      </m:e>
                      <m:sub>
                        <m:r>
                          <m:rPr/>
                          <m:t>o</m:t>
                        </m:r>
                        <m:r>
                          <m:rPr/>
                          <m:t>p</m:t>
                        </m:r>
                        <m:r>
                          <m:rPr/>
                          <m:t>t</m:t>
                        </m:r>
                      </m:sub>
                      <m:sup>
                        <m:r>
                          <m:rPr/>
                          <m:t>b</m:t>
                        </m:r>
                        <m:r>
                          <m:rPr/>
                          <m:t>o</m:t>
                        </m:r>
                        <m:r>
                          <m:rPr/>
                          <m:t>t</m:t>
                        </m:r>
                        <m:r>
                          <m:rPr/>
                          <m:t>,</m:t>
                        </m:r>
                        <m:r>
                          <m:rPr/>
                          <m:t>I</m:t>
                        </m:r>
                        <m:r>
                          <m:rPr/>
                          <m:t>R</m:t>
                        </m:r>
                      </m:sup>
                    </m:sSubSup>
                    <m:r>
                      <m:t>,</m:t>
                    </m:r>
                    <m:sSubSup>
                      <m:e>
                        <m:r>
                          <m:t>I</m:t>
                        </m:r>
                      </m:e>
                      <m:sub>
                        <m:r>
                          <m:rPr/>
                          <m:t>o</m:t>
                        </m:r>
                        <m:r>
                          <m:rPr/>
                          <m:t>p</m:t>
                        </m:r>
                        <m:r>
                          <m:rPr/>
                          <m:t>t</m:t>
                        </m:r>
                      </m:sub>
                      <m:sup>
                        <m:r>
                          <m:rPr/>
                          <m:t>b</m:t>
                        </m:r>
                        <m:r>
                          <m:rPr/>
                          <m:t>o</m:t>
                        </m:r>
                        <m:r>
                          <m:rPr/>
                          <m:t>t</m:t>
                        </m:r>
                        <m:r>
                          <m:rPr/>
                          <m:t>,</m:t>
                        </m:r>
                        <m:r>
                          <m:rPr/>
                          <m:t>V</m:t>
                        </m:r>
                        <m:r>
                          <m:rPr/>
                          <m:t>I</m:t>
                        </m:r>
                        <m:r>
                          <m:rPr/>
                          <m:t>S</m:t>
                        </m:r>
                      </m:sup>
                    </m:sSubSup>
                  </m:e>
                </m:d>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(10)</w:t>
            </w:r>
          </w:p>
        </w:tc>
      </w:tr>
    </w:tbl>
    <w:p>
      <w:pPr>
        <w:pStyle w:val="Normal"/>
        <w:spacing w:lineRule="auto" w:line="360"/>
        <w:ind w:firstLine="709"/>
        <w:jc w:val="both"/>
        <w:rPr/>
      </w:pPr>
      <w:r>
        <w:rPr>
          <w:i/>
          <w:iCs/>
          <w:rFonts w:eastAsia="Times New Roman" w:cs="Times New Roman"/>
        </w:rPr>
        <w:t xml:space="preserve">Reconstrucción y regla de fusión. </w:t>
      </w:r>
      <w:r>
        <w:rPr>
          <w:rFonts w:eastAsia="Times New Roman" w:cs="Times New Roman"/>
        </w:rPr>
        <w:t xml:space="preserve">Sobre la imagen base I_base = (I_VIS + I_IR)/2 —que retiene la iluminación del visible y la temperatura global del infrarrojo— se reconstruye la imagen fusionada según la ecuación (11): se añaden las estructuras brillantes (término con I_opt^top) y se restan las oscuras (término con I_opt^bot), moduladas por el peso de contraste m. Valores altos de m maximizan el contraste a costa de artefactos; valores bajos preservan la fidelidad. Esta regla adapta la reconstrucción aditivo-sustractiva de Bala et al. (ecuación 9 de ese trabajo, aquí ecuación 5) al esquema de fusión ponderada VIS/IR de Ortega y Espinoza.</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F</m:t>
                </m:r>
                <m:r>
                  <m:t>=</m:t>
                </m:r>
                <m:sSub>
                  <m:e>
                    <m:r>
                      <m:t>I</m:t>
                    </m:r>
                  </m:e>
                  <m:sub>
                    <m:r>
                      <m:rPr/>
                      <m:t>b</m:t>
                    </m:r>
                    <m:r>
                      <m:rPr/>
                      <m:t>a</m:t>
                    </m:r>
                    <m:r>
                      <m:rPr/>
                      <m:t>s</m:t>
                    </m:r>
                    <m:r>
                      <m:rPr/>
                      <m:t>e</m:t>
                    </m:r>
                  </m:sub>
                </m:sSub>
                <m:r>
                  <m:t>+</m:t>
                </m:r>
                <m:r>
                  <m:t>m</m:t>
                </m:r>
                <m:r>
                  <m:t> </m:t>
                </m:r>
                <m:sSubSup>
                  <m:e>
                    <m:r>
                      <m:t>I</m:t>
                    </m:r>
                  </m:e>
                  <m:sub>
                    <m:r>
                      <m:rPr/>
                      <m:t>o</m:t>
                    </m:r>
                    <m:r>
                      <m:rPr/>
                      <m:t>p</m:t>
                    </m:r>
                    <m:r>
                      <m:rPr/>
                      <m:t>t</m:t>
                    </m:r>
                  </m:sub>
                  <m:sup>
                    <m:r>
                      <m:rPr/>
                      <m:t>t</m:t>
                    </m:r>
                    <m:r>
                      <m:rPr/>
                      <m:t>o</m:t>
                    </m:r>
                    <m:r>
                      <m:rPr/>
                      <m:t>p</m:t>
                    </m:r>
                    <m:r>
                      <m:t>,</m:t>
                    </m:r>
                    <m:r>
                      <m:t>F</m:t>
                    </m:r>
                  </m:sup>
                </m:sSubSup>
                <m:r>
                  <m:t>−</m:t>
                </m:r>
                <m:r>
                  <m:t>m</m:t>
                </m:r>
                <m:r>
                  <m:t> </m:t>
                </m:r>
                <m:sSubSup>
                  <m:e>
                    <m:r>
                      <m:t>I</m:t>
                    </m:r>
                  </m:e>
                  <m:sub>
                    <m:r>
                      <m:rPr/>
                      <m:t>o</m:t>
                    </m:r>
                    <m:r>
                      <m:rPr/>
                      <m:t>p</m:t>
                    </m:r>
                    <m:r>
                      <m:rPr/>
                      <m:t>t</m:t>
                    </m:r>
                  </m:sub>
                  <m:sup>
                    <m:r>
                      <m:rPr/>
                      <m:t>b</m:t>
                    </m:r>
                    <m:r>
                      <m:rPr/>
                      <m:t>o</m:t>
                    </m:r>
                    <m:r>
                      <m:rPr/>
                      <m:t>t</m:t>
                    </m:r>
                    <m:r>
                      <m:t>,</m:t>
                    </m:r>
                    <m:r>
                      <m:t>F</m:t>
                    </m:r>
                  </m:sup>
                </m:sSubSup>
                <m:r>
                  <m:t>,</m:t>
                </m:r>
                <m:r>
                  <m:t> </m:t>
                </m:r>
                <m:sSub>
                  <m:e>
                    <m:r>
                      <m:t>I</m:t>
                    </m:r>
                  </m:e>
                  <m:sub>
                    <m:r>
                      <m:rPr/>
                      <m:t>b</m:t>
                    </m:r>
                    <m:r>
                      <m:rPr/>
                      <m:t>a</m:t>
                    </m:r>
                    <m:r>
                      <m:rPr/>
                      <m:t>s</m:t>
                    </m:r>
                    <m:r>
                      <m:rPr/>
                      <m:t>e</m:t>
                    </m:r>
                  </m:sub>
                </m:sSub>
                <m:r>
                  <m:t>=</m:t>
                </m:r>
                <m:f>
                  <m:fPr>
                    <m:type m:val="lin"/>
                  </m:fPr>
                  <m:num>
                    <m:r>
                      <m:t>1</m:t>
                    </m:r>
                  </m:num>
                  <m:den>
                    <m:r>
                      <m:t>2</m:t>
                    </m:r>
                  </m:den>
                </m:f>
                <m:d>
                  <m:dPr>
                    <m:begChr m:val="("/>
                    <m:endChr m:val=")"/>
                    <m:grow/>
                  </m:dPr>
                  <m:e>
                    <m:sSub>
                      <m:e>
                        <m:r>
                          <m:t>I</m:t>
                        </m:r>
                      </m:e>
                      <m:sub>
                        <m:r>
                          <m:t>V</m:t>
                        </m:r>
                        <m:r>
                          <m:t>I</m:t>
                        </m:r>
                        <m:r>
                          <m:t>S</m:t>
                        </m:r>
                      </m:sub>
                    </m:sSub>
                    <m:r>
                      <m:t>+</m:t>
                    </m:r>
                    <m:sSub>
                      <m:e>
                        <m:r>
                          <m:t>I</m:t>
                        </m:r>
                      </m:e>
                      <m:sub>
                        <m:r>
                          <m:t>I</m:t>
                        </m:r>
                        <m:r>
                          <m:t>R</m:t>
                        </m:r>
                      </m:sub>
                    </m:sSub>
                  </m:e>
                </m:d>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(11)</w:t>
            </w:r>
          </w:p>
        </w:tc>
      </w:tr>
    </w:tbl>
    <w:p>
      <w:pPr>
        <w:pStyle w:val="Normal"/>
        <w:spacing w:lineRule="auto" w:line="276"/>
        <w:jc w:val="center"/>
        <w:rPr/>
      </w:pPr>
      <w:r>
        <w:rPr/>
        <w:drawing>
          <wp:inline distT="0" distB="0" distL="0" distR="0">
            <wp:extent cx="5212080" cy="7177405"/>
            <wp:effectExtent l="0" t="0" r="0" b="0"/>
            <wp:docPr id="5"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14"/>
                    <pic:cNvPicPr>
                      <a:picLocks noChangeAspect="1" noChangeArrowheads="1"/>
                    </pic:cNvPicPr>
                  </pic:nvPicPr>
                  <pic:blipFill>
                    <a:blip r:embed="rId6"/>
                    <a:stretch>
                      <a:fillRect/>
                    </a:stretch>
                  </pic:blipFill>
                  <pic:spPr bwMode="auto">
                    <a:xfrm>
                      <a:off x="0" y="0"/>
                      <a:ext cx="5212080" cy="7177405"/>
                    </a:xfrm>
                    <a:prstGeom prst="rect">
                      <a:avLst/>
                    </a:prstGeom>
                    <a:noFill/>
                  </pic:spPr>
                </pic:pic>
              </a:graphicData>
            </a:graphic>
          </wp:inline>
        </w:drawing>
      </w:r>
    </w:p>
    <w:p>
      <w:pPr>
        <w:pStyle w:val="Normal"/>
        <w:spacing w:lineRule="auto" w:line="276"/>
        <w:jc w:val="start"/>
        <w:rPr/>
      </w:pPr>
      <w:r>
        <w:rPr>
          <w:rFonts w:eastAsia="Times New Roman" w:cs="Times New Roman"/>
          <w:i/>
          <w:sz w:val="18"/>
        </w:rPr>
        <w:t xml:space="preserve">Figura 4. Flujograma de la Propuesta Novedosa: proceso paso a paso (banco de cinco elementos estructurantes por fuente, promediado de las respuestas lineales, suma con la respuesta del disco para obtener las transformadas óptimas, combinación entre fuentes por máximo y reconstrucción ponderada con el peso m).</w:t>
      </w:r>
    </w:p>
    <w:p>
      <w:pPr>
        <w:pStyle w:val="Normal"/>
        <w:spacing w:lineRule="auto" w:line="276"/>
        <w:rPr/>
      </w:pPr>
      <w:r>
        <w:rPr/>
      </w:r>
    </w:p>
    <w:p>
      <w:pPr>
        <w:pStyle w:val="Normal"/>
        <w:spacing w:lineRule="auto" w:line="360"/>
        <w:ind w:firstLine="709"/>
        <w:jc w:val="both"/>
        <w:rPr/>
      </w:pPr>
      <w:r>
        <w:rPr>
          <w:i/>
          <w:iCs/>
          <w:rFonts w:eastAsia="Times New Roman" w:cs="Times New Roman"/>
        </w:rPr>
        <w:t xml:space="preserve">Optimización por Enjambre de Partículas (PSO). </w:t>
      </w:r>
      <w:r>
        <w:rPr>
          <w:rFonts w:eastAsia="Times New Roman" w:cs="Times New Roman"/>
        </w:rPr>
        <w:t xml:space="preserve">El método tiene dos hiperparámetros —el radio r del banco de elementos estructurantes y el peso de contraste m— cuyo ajuste manual es costoso y subjetivo. Para fijarlos se emplea la Optimización por Enjambre de Partículas (Kennedy y Eberhart, 1995), metaheurística poblacional inspirada en el comportamiento colectivo de las bandadas. Cada partícula es una solución candidata x = (r, m) que recuerda su mejor posición propia (pbest) y la mejor del enjambre (gbest); en cada iteración su velocidad y posición se actualizan según la ecuación (13), donde w es la inercia y c₁, c₂ los coeficientes cognitivo y social. La configuración del enjambre se seleccionó mediante un barrido sistemático de 25 combinaciones —número de partículas de 2 a 10 en incrementos de 2 y número de iteraciones de 10 a 50 en incrementos de 10, replicando el diseño experimental de Ortega y Espinoza (2025)—, con c₁ = c₂ = 1,5 e inercia decreciente de 0,9 a 0,4.</w:t>
      </w:r>
    </w:p>
    <w:p>
      <w:pPr>
        <w:pStyle w:val="Normal"/>
        <w:spacing w:lineRule="auto" w:line="360" w:before="0" w:after="120"/>
        <w:ind w:firstLine="709"/>
        <w:jc w:val="both"/>
        <w:rPr/>
      </w:pPr>
      <w:r>
        <w:rPr>
          <w:rFonts w:eastAsia="Times New Roman" w:cs="Times New Roman"/>
          <w:b w:val="false"/>
          <w:sz w:val="24"/>
        </w:rPr>
        <w:t>El PSO optimiza el vector de hiperparámetros del método dentro del espacio de búsqueda acotado:</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x</m:t>
                </m:r>
                <m:r>
                  <m:t>=</m:t>
                </m:r>
                <m:r>
                  <m:t>(</m:t>
                </m:r>
                <m:r>
                  <m:t>r</m:t>
                </m:r>
                <m:r>
                  <m:t>,</m:t>
                </m:r>
                <m:r>
                  <m:t>m</m:t>
                </m:r>
                <m:r>
                  <m:t>)</m:t>
                </m:r>
                <m:r>
                  <m:t>,</m:t>
                </m:r>
                <m:r>
                  <m:t> </m:t>
                </m:r>
                <m:r>
                  <m:t>r</m:t>
                </m:r>
                <m:r>
                  <m:t>∈</m:t>
                </m:r>
                <m:r>
                  <m:t>{</m:t>
                </m:r>
                <m:r>
                  <m:t>1</m:t>
                </m:r>
                <m:r>
                  <m:t>,</m:t>
                </m:r>
                <m:r>
                  <m:t>…</m:t>
                </m:r>
                <m:r>
                  <m:t>,</m:t>
                </m:r>
                <m:r>
                  <m:t>25</m:t>
                </m:r>
                <m:r>
                  <m:t>}</m:t>
                </m:r>
                <m:r>
                  <m:t>,</m:t>
                </m:r>
                <m:r>
                  <m:t> </m:t>
                </m:r>
                <m:r>
                  <m:t>m</m:t>
                </m:r>
                <m:r>
                  <m:t>∈</m:t>
                </m:r>
                <m:r>
                  <m:t>[</m:t>
                </m:r>
                <m:r>
                  <m:t>0.05</m:t>
                </m:r>
                <m:r>
                  <m:t>,</m:t>
                </m:r>
                <m:r>
                  <m:t> </m:t>
                </m:r>
                <m:r>
                  <m:t>1.20</m:t>
                </m:r>
                <m:r>
                  <m:t>]</m:t>
                </m:r>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(12)</w:t>
            </w:r>
          </w:p>
        </w:tc>
      </w:tr>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m:t xml:space="preserve">v</m:t>
                    </m:r>
                  </m:e>
                  <m:sub>
                    <m:r>
                      <m:t xml:space="preserve">t</m:t>
                    </m:r>
                    <m:r>
                      <m:rPr>
                        <m:lit/>
                        <m:nor/>
                      </m:rPr>
                      <m:t xml:space="preserve">+</m:t>
                    </m:r>
                    <m:r>
                      <m:t xml:space="preserve">1</m:t>
                    </m:r>
                  </m:sub>
                </m:sSub>
                <m:r>
                  <m:rPr>
                    <m:lit/>
                    <m:nor/>
                  </m:rPr>
                  <m:t xml:space="preserve">=</m:t>
                </m:r>
                <m:r>
                  <m:t xml:space="preserve">w</m:t>
                </m:r>
                <m:sSub>
                  <m:e>
                    <m:r>
                      <m:t xml:space="preserve">v</m:t>
                    </m:r>
                  </m:e>
                  <m:sub>
                    <m:r>
                      <m:t xml:space="preserve">t</m:t>
                    </m:r>
                  </m:sub>
                </m:sSub>
                <m:r>
                  <m:rPr>
                    <m:lit/>
                    <m:nor/>
                  </m:rPr>
                  <m:t xml:space="preserve">+</m:t>
                </m:r>
                <m:sSub>
                  <m:e>
                    <m:r>
                      <m:t xml:space="preserve">c</m:t>
                    </m:r>
                  </m:e>
                  <m:sub>
                    <m:r>
                      <m:t xml:space="preserve">1</m:t>
                    </m:r>
                  </m:sub>
                </m:sSub>
                <m:sSub>
                  <m:e>
                    <m:r>
                      <m:t xml:space="preserve">r</m:t>
                    </m:r>
                  </m:e>
                  <m:sub>
                    <m:r>
                      <m:t xml:space="preserve">1</m:t>
                    </m:r>
                  </m:sub>
                </m:sSub>
                <m:d>
                  <m:dPr>
                    <m:begChr m:val="("/>
                    <m:endChr m:val=")"/>
                  </m:dPr>
                  <m:e>
                    <m:sSub>
                      <m:e>
                        <m:r>
                          <m:t xml:space="preserve">p</m:t>
                        </m:r>
                      </m:e>
                      <m:sub>
                        <m:r>
                          <m:rPr>
                            <m:lit/>
                            <m:nor/>
                          </m:rPr>
                          <m:t xml:space="preserve">best</m:t>
                        </m:r>
                      </m:sub>
                    </m:sSub>
                    <m:r>
                      <m:t xml:space="preserve">−</m:t>
                    </m:r>
                    <m:sSub>
                      <m:e>
                        <m:r>
                          <m:t xml:space="preserve">x</m:t>
                        </m:r>
                      </m:e>
                      <m:sub>
                        <m:r>
                          <m:t xml:space="preserve">t</m:t>
                        </m:r>
                      </m:sub>
                    </m:sSub>
                  </m:e>
                </m:d>
                <m:r>
                  <m:rPr>
                    <m:lit/>
                    <m:nor/>
                  </m:rPr>
                  <m:t xml:space="preserve">+</m:t>
                </m:r>
                <m:sSub>
                  <m:e>
                    <m:r>
                      <m:t xml:space="preserve">c</m:t>
                    </m:r>
                  </m:e>
                  <m:sub>
                    <m:r>
                      <m:t xml:space="preserve">2</m:t>
                    </m:r>
                  </m:sub>
                </m:sSub>
                <m:sSub>
                  <m:e>
                    <m:r>
                      <m:t xml:space="preserve">r</m:t>
                    </m:r>
                  </m:e>
                  <m:sub>
                    <m:r>
                      <m:t xml:space="preserve">2</m:t>
                    </m:r>
                  </m:sub>
                </m:sSub>
                <m:d>
                  <m:dPr>
                    <m:begChr m:val="("/>
                    <m:endChr m:val=")"/>
                  </m:dPr>
                  <m:e>
                    <m:sSub>
                      <m:e>
                        <m:r>
                          <m:t xml:space="preserve">g</m:t>
                        </m:r>
                      </m:e>
                      <m:sub>
                        <m:r>
                          <m:rPr>
                            <m:lit/>
                            <m:nor/>
                          </m:rPr>
                          <m:t xml:space="preserve">best</m:t>
                        </m:r>
                      </m:sub>
                    </m:sSub>
                    <m:r>
                      <m:t xml:space="preserve">−</m:t>
                    </m:r>
                    <m:sSub>
                      <m:e>
                        <m:r>
                          <m:t xml:space="preserve">x</m:t>
                        </m:r>
                      </m:e>
                      <m:sub>
                        <m:r>
                          <m:t xml:space="preserve">t</m:t>
                        </m:r>
                      </m:sub>
                    </m:sSub>
                  </m:e>
                </m:d>
                <m:r>
                  <m:t xml:space="preserve">,</m:t>
                </m:r>
                <m:sSub>
                  <m:e>
                    <m:r>
                      <m:t xml:space="preserve">x</m:t>
                    </m:r>
                  </m:e>
                  <m:sub>
                    <m:r>
                      <m:t xml:space="preserve">t</m:t>
                    </m:r>
                    <m:r>
                      <m:rPr>
                        <m:lit/>
                        <m:nor/>
                      </m:rPr>
                      <m:t xml:space="preserve">+</m:t>
                    </m:r>
                    <m:r>
                      <m:t xml:space="preserve">1</m:t>
                    </m:r>
                  </m:sub>
                </m:sSub>
                <m:r>
                  <m:rPr>
                    <m:lit/>
                    <m:nor/>
                  </m:rPr>
                  <m:t xml:space="preserve">=</m:t>
                </m:r>
                <m:sSub>
                  <m:e>
                    <m:r>
                      <m:t xml:space="preserve">x</m:t>
                    </m:r>
                  </m:e>
                  <m:sub>
                    <m:r>
                      <m:t xml:space="preserve">t</m:t>
                    </m:r>
                  </m:sub>
                </m:sSub>
                <m:r>
                  <m:rPr>
                    <m:lit/>
                    <m:nor/>
                  </m:rPr>
                  <m:t xml:space="preserve">+</m:t>
                </m:r>
                <m:sSub>
                  <m:e>
                    <m:r>
                      <m:t xml:space="preserve">v</m:t>
                    </m:r>
                  </m:e>
                  <m:sub>
                    <m:r>
                      <m:t xml:space="preserve">t</m:t>
                    </m:r>
                    <m:r>
                      <m:rPr>
                        <m:lit/>
                        <m:nor/>
                      </m:rPr>
                      <m:t xml:space="preserve">+</m:t>
                    </m:r>
                    <m:r>
                      <m:t xml:space="preserve">1</m:t>
                    </m:r>
                  </m:sub>
                </m:sSub>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(13)</w:t>
            </w:r>
          </w:p>
        </w:tc>
      </w:tr>
    </w:tbl>
    <w:p>
      <w:pPr>
        <w:pStyle w:val="Normal"/>
        <w:spacing w:lineRule="auto" w:line="276"/>
        <w:jc w:val="center"/>
        <w:rPr/>
      </w:pPr>
      <w:r>
        <w:rPr/>
        <w:drawing>
          <wp:inline distT="0" distB="0" distL="0" distR="0">
            <wp:extent cx="4572000" cy="2658110"/>
            <wp:effectExtent l="0" t="0" r="0" b="0"/>
            <wp:docPr id="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icture 11"/>
                    <pic:cNvPicPr>
                      <a:picLocks noChangeAspect="1" noChangeArrowheads="1"/>
                    </pic:cNvPicPr>
                  </pic:nvPicPr>
                  <pic:blipFill>
                    <a:blip r:embed="rId7"/>
                    <a:stretch>
                      <a:fillRect/>
                    </a:stretch>
                  </pic:blipFill>
                  <pic:spPr bwMode="auto">
                    <a:xfrm>
                      <a:off x="0" y="0"/>
                      <a:ext cx="4572000" cy="2658110"/>
                    </a:xfrm>
                    <a:prstGeom prst="rect">
                      <a:avLst/>
                    </a:prstGeom>
                    <a:noFill/>
                  </pic:spPr>
                </pic:pic>
              </a:graphicData>
            </a:graphic>
          </wp:inline>
        </w:drawing>
      </w:r>
    </w:p>
    <w:p>
      <w:pPr>
        <w:pStyle w:val="Normal"/>
        <w:spacing w:lineRule="auto" w:line="276"/>
        <w:jc w:val="start"/>
        <w:rPr/>
      </w:pPr>
      <w:r>
        <w:rPr>
          <w:rFonts w:eastAsia="Times New Roman" w:cs="Times New Roman"/>
          <w:i/>
          <w:sz w:val="18"/>
        </w:rPr>
        <w:t>Figura 5. Optimización por enjambre de partículas (PSO) del vector de hiperparámetros (r, m).</w:t>
      </w:r>
    </w:p>
    <w:p>
      <w:pPr>
        <w:pStyle w:val="Normal"/>
        <w:spacing w:lineRule="auto" w:line="276"/>
        <w:rPr/>
      </w:pPr>
      <w:r>
        <w:rPr/>
      </w:r>
    </w:p>
    <w:p>
      <w:pPr>
        <w:pStyle w:val="Normal"/>
        <w:spacing w:lineRule="auto" w:line="360"/>
        <w:ind w:firstLine="709"/>
        <w:jc w:val="both"/>
        <w:rPr/>
      </w:pPr>
      <w:r>
        <w:rPr>
          <w:i/>
          <w:iCs/>
          <w:rFonts w:eastAsia="Times New Roman" w:cs="Times New Roman"/>
        </w:rPr>
        <w:t xml:space="preserve">Función de aptitud (Ortega y Espinoza). </w:t>
      </w:r>
      <w:r>
        <w:rPr>
          <w:iCs/>
          <w:rFonts w:eastAsia="Times New Roman" w:cs="Times New Roman"/>
        </w:rPr>
        <w:t xml:space="preserve">Los hiperparámetros (r, m) se ajustan maximizando la función objetivo del trabajo de referencia, Fo = SSIMavg + En + PSNRn (ecuación 14): la similitud estructural promedio con las fuentes (SSIMavg; Wang et al., 2004), la entropía normalizada (En = E/8) y la relación señal-ruido de pico normalizada (PSNRn = PSNR/100), sin pesos arbitrarios, equilibrando preservación estructural, contenido informativo y reducción de la distorsión (Ortega y Espinoza, 2025). El barrido de 25 configuraciones (partículas 2–10 × iteraciones 10–50, Cuadro 1 de dicho trabajo) se ejecuta sobre tres escenas representativas con el espacio de búsqueda del trabajo de referencia, r ∈ [1, 25] y m ∈ [0,30; 2,00]. El peso óptimo converge al límite inferior del rango, m* = 0,30, en las 25 configuraciones: los dos términos de fidelidad de Fo (SSIMavg y PSNRn) decrecen al aumentar el realce y dominan sobre la entropía normalizada. Para el radio, Fo favorece el valor trivial r = 1 —que desactiva el banco de elementos estructurantes—, mientras que las nueve métricas de evaluación de esta tesis, todas de tipo «mayor es mejor», favorecen r = 25. Se adopta por tanto la configuración r = 25, m = 0,30: el peso que produce la metodología de referencia y el radio que maximiza el criterio de evaluación, activando el banco completo de cinco elementos estructurantes.</w:t>
      </w:r>
    </w:p>
    <w:p>
      <w:pPr>
        <w:pStyle w:val="Normal"/>
        <w:spacing w:lineRule="auto" w:line="276"/>
        <w:jc w:val="start"/>
        <w:rPr/>
      </w:pPr>
      <w:r>
        <w:rPr>
          <w:rFonts w:eastAsia="Times New Roman" w:cs="Times New Roman"/>
          <w:i/>
          <w:sz w:val="18"/>
        </w:rPr>
        <w:t>Tabla 2. Configuración de la Propuesta Novedosa y del PSO.</w:t>
      </w:r>
    </w:p>
    <w:tbl>
      <w:tblPr>
        <w:tblW w:w="9360" w:type="dxa"/>
        <w:jc w:val="start"/>
        <w:tblInd w:w="0" w:type="dxa"/>
        <w:tblLayout w:type="fixed"/>
        <w:tblCellMar>
          <w:top w:w="40" w:type="dxa"/>
          <w:start w:w="90" w:type="dxa"/>
          <w:bottom w:w="40" w:type="dxa"/>
          <w:end w:w="90" w:type="dxa"/>
        </w:tblCellMar>
        <w:tblLook w:noHBand="0" w:noVBand="1" w:firstColumn="1" w:lastRow="0" w:lastColumn="0" w:firstRow="1" w:val="04a0"/>
      </w:tblPr>
      <w:tblGrid>
        <w:gridCol w:w="4680"/>
        <w:gridCol w:w="4680"/>
      </w:tblGrid>
      <w:tr>
        <w:trPr/>
        <w:tc>
          <w:tcPr>
            <w:tcW w:w="468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Parámetro</w:t>
            </w:r>
          </w:p>
        </w:tc>
        <w:tc>
          <w:tcPr>
            <w:tcW w:w="468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Valor</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Elementos estructurantes</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5: un disco (radio r) + cuatro líneas (0°, 45°, 90°, 135°; longitud 2r+1)</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Combinación de las respuestas</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Promedio de las 4 líneas (ec. 7) y suma con la respuesta del disco (ec. 9)</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Escala (radio)</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Única, de radio r (ajustado por PSO)</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Regla de fusión entre fuentes</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Máximo por píxel (ec. 10)</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Función de aptitud</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Fo = SSIMavg + En + PSNRn</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Partículas del enjambre</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2–10 (barrido, paso 2)</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Iteraciones</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10–50 (barrido, paso 10)</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Inercia w</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0,9 → 0,4 (decreciente)</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Coeficientes c₁, c₂</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1,5 ; 1,5</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Rangos de búsqueda</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r ∈ [1, 25]; m ∈ [0,30; 2,00] (rango publicado)</w:t>
            </w:r>
          </w:p>
        </w:tc>
      </w:tr>
      <w:tr>
        <w:trPr/>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Óptimo hallado</w:t>
            </w:r>
          </w:p>
        </w:tc>
        <w:tc>
          <w:tcPr>
            <w:tcW w:w="468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 xml:space="preserve">r = 25; m = 0,30 (m* del barrido en las 25 configuraciones; Fo = 1,7039)</w:t>
            </w:r>
          </w:p>
        </w:tc>
      </w:tr>
    </w:tbl>
    <w:p>
      <w:pPr>
        <w:pStyle w:val="Normal"/>
        <w:spacing w:lineRule="auto" w:line="276"/>
        <w:rPr/>
      </w:pPr>
      <w:r>
        <w:rPr/>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m:t xml:space="preserve">F</m:t>
                    </m:r>
                  </m:e>
                  <m:sub>
                    <m:r>
                      <m:t xml:space="preserve">o</m:t>
                    </m:r>
                  </m:sub>
                </m:sSub>
                <m:r>
                  <m:rPr>
                    <m:lit/>
                    <m:nor/>
                  </m:rPr>
                  <m:t xml:space="preserve">=</m:t>
                </m:r>
                <m:sSub>
                  <m:e>
                    <m:r>
                      <m:t xml:space="preserve">SSIM</m:t>
                    </m:r>
                  </m:e>
                  <m:sub>
                    <m:r>
                      <m:t xml:space="preserve">avg</m:t>
                    </m:r>
                  </m:sub>
                </m:sSub>
                <m:r>
                  <m:rPr>
                    <m:lit/>
                    <m:nor/>
                  </m:rPr>
                  <m:t xml:space="preserve">+</m:t>
                </m:r>
                <m:sSub>
                  <m:e>
                    <m:r>
                      <m:t xml:space="preserve">E</m:t>
                    </m:r>
                  </m:e>
                  <m:sub>
                    <m:r>
                      <m:t xml:space="preserve">n</m:t>
                    </m:r>
                  </m:sub>
                </m:sSub>
                <m:r>
                  <m:rPr>
                    <m:lit/>
                    <m:nor/>
                  </m:rPr>
                  <m:t xml:space="preserve">+</m:t>
                </m:r>
                <m:sSub>
                  <m:e>
                    <m:r>
                      <m:t xml:space="preserve">PSNR</m:t>
                    </m:r>
                  </m:e>
                  <m:sub>
                    <m:r>
                      <m:t xml:space="preserve">n</m:t>
                    </m:r>
                  </m:sub>
                </m:sSub>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(14)</w:t>
            </w:r>
          </w:p>
        </w:tc>
      </w:tr>
    </w:tbl>
    <w:p>
      <w:pPr>
        <w:pStyle w:val="Heading3"/>
        <w:spacing w:before="180" w:after="100"/>
        <w:jc w:val="start"/>
        <w:rPr/>
      </w:pPr>
      <w:r>
        <w:rPr>
          <w:rFonts w:eastAsia="Times New Roman" w:cs="Times New Roman"/>
          <w:b/>
          <w:bCs/>
          <w:i/>
          <w:iCs/>
          <w:color w:val="000000"/>
          <w:sz w:val="24"/>
          <w:szCs w:val="24"/>
        </w:rPr>
        <w:t>2.2.6 Métodos comparativos del benchmark</w:t>
      </w:r>
    </w:p>
    <w:p>
      <w:pPr>
        <w:pStyle w:val="Normal"/>
        <w:spacing w:lineRule="auto" w:line="360" w:before="0" w:after="160"/>
        <w:ind w:firstLine="709"/>
        <w:jc w:val="both"/>
        <w:rPr/>
      </w:pPr>
      <w:r>
        <w:rPr>
          <w:rFonts w:eastAsia="Times New Roman" w:cs="Times New Roman"/>
          <w:sz w:val="24"/>
          <w:szCs w:val="24"/>
        </w:rPr>
        <w:t>Para situar el método propuesto en el panorama de la disciplina se utilizan seis métodos comparativos: cinco representativos del estado del arte en fusión multiescala y la metodología clásica de la transformada Top-Hat:</w:t>
      </w:r>
    </w:p>
    <w:p>
      <w:pPr>
        <w:pStyle w:val="Normal"/>
        <w:spacing w:lineRule="auto" w:line="276"/>
        <w:jc w:val="start"/>
        <w:rPr/>
      </w:pPr>
      <w:r>
        <w:rPr>
          <w:rFonts w:eastAsia="Times New Roman" w:cs="Times New Roman"/>
          <w:i/>
          <w:sz w:val="18"/>
        </w:rPr>
        <w:t>Tabla 3. Métodos comparativos del benchmark.</w:t>
      </w:r>
    </w:p>
    <w:tbl>
      <w:tblPr>
        <w:tblW w:w="9360" w:type="dxa"/>
        <w:jc w:val="start"/>
        <w:tblInd w:w="0" w:type="dxa"/>
        <w:tblLayout w:type="fixed"/>
        <w:tblCellMar>
          <w:top w:w="40" w:type="dxa"/>
          <w:start w:w="90" w:type="dxa"/>
          <w:bottom w:w="40" w:type="dxa"/>
          <w:end w:w="90" w:type="dxa"/>
        </w:tblCellMar>
        <w:tblLook w:noHBand="0" w:noVBand="1" w:firstColumn="1" w:lastRow="0" w:lastColumn="0" w:firstRow="1" w:val="04a0"/>
      </w:tblPr>
      <w:tblGrid>
        <w:gridCol w:w="3120"/>
        <w:gridCol w:w="3120"/>
        <w:gridCol w:w="3120"/>
      </w:tblGrid>
      <w:tr>
        <w:trPr/>
        <w:tc>
          <w:tcPr>
            <w:tcW w:w="312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Método</w:t>
            </w:r>
          </w:p>
        </w:tc>
        <w:tc>
          <w:tcPr>
            <w:tcW w:w="312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Descripción</w:t>
            </w:r>
          </w:p>
        </w:tc>
        <w:tc>
          <w:tcPr>
            <w:tcW w:w="312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Referencia</w:t>
            </w:r>
          </w:p>
        </w:tc>
      </w:tr>
      <w:tr>
        <w:trPr/>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Ratio of low-pass Pyramid (RP)</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Razones entre niveles gaussianos consecutivos; se conserva en cada píxel la razón que más se aparta de 1 y se reconstruye multiplicativamente</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Toet (1989)</w:t>
            </w:r>
          </w:p>
        </w:tc>
      </w:tr>
      <w:tr>
        <w:trPr/>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Pirámide de Laplace (LP)</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both"/>
              <w:rPr/>
            </w:pPr>
            <w:r>
              <w:rPr>
                <w:rFonts w:eastAsia="Times New Roman" w:cs="Times New Roman"/>
                <w:sz w:val="19"/>
              </w:rPr>
              <w:t>Descomposición Gaussiana–Laplaciana de 4 niveles; fusión por máxima actividad local y reconstrucción inversa</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Burt y Adelson (1983)</w:t>
            </w:r>
          </w:p>
        </w:tc>
      </w:tr>
      <w:tr>
        <w:trPr/>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Curvelet (CVT, vía wavelet 2D)</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both"/>
              <w:rPr/>
            </w:pPr>
            <w:r>
              <w:rPr>
                <w:rFonts w:eastAsia="Times New Roman" w:cs="Times New Roman"/>
                <w:sz w:val="19"/>
              </w:rPr>
              <w:t>Subbandas direccionales (Daubechies db4, 3 niveles); máxima magnitud en detalle, promedio en aproximación</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Candès et al. (2006)</w:t>
            </w:r>
          </w:p>
        </w:tc>
      </w:tr>
      <w:tr>
        <w:trPr/>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Wavelet discreta (DWT)</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both"/>
              <w:rPr/>
            </w:pPr>
            <w:r>
              <w:rPr>
                <w:rFonts w:eastAsia="Times New Roman" w:cs="Times New Roman"/>
                <w:sz w:val="19"/>
              </w:rPr>
              <w:t>Subbandas de detalle y aproximación (Haar, 3 niveles); detalle por máxima magnitud, aproximación por promedio</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w:t>
            </w:r>
          </w:p>
        </w:tc>
      </w:tr>
      <w:tr>
        <w:trPr/>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Dual-Tree Complex Wavelet (DTCWT)</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both"/>
              <w:rPr/>
            </w:pPr>
            <w:r>
              <w:rPr>
                <w:rFonts w:eastAsia="Times New Roman" w:cs="Times New Roman"/>
                <w:sz w:val="19"/>
              </w:rPr>
              <w:t>Seis subbandas direccionales complejas por nivel (4 niveles), invariante al desplazamiento; fusión por máxima magnitud</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Kingsbury</w:t>
            </w:r>
          </w:p>
        </w:tc>
      </w:tr>
      <w:tr>
        <w:trPr/>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Top-Hat clásico</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both"/>
              <w:rPr/>
            </w:pPr>
            <w:r>
              <w:rPr>
                <w:rFonts w:eastAsia="Times New Roman" w:cs="Times New Roman"/>
                <w:sz w:val="19"/>
              </w:rPr>
              <w:t>Fusión morfológica básica: disco único B₅, detalle entre fuentes por máximo y reconstrucción sin ponderación (m = 1)</w:t>
            </w:r>
          </w:p>
        </w:tc>
        <w:tc>
          <w:tcPr>
            <w:tcW w:w="3120"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rPr/>
            </w:pPr>
            <w:r>
              <w:rPr>
                <w:rFonts w:eastAsia="Times New Roman" w:cs="Times New Roman"/>
                <w:sz w:val="19"/>
              </w:rPr>
              <w:t>—</w:t>
            </w:r>
          </w:p>
        </w:tc>
      </w:tr>
    </w:tbl>
    <w:p>
      <w:pPr>
        <w:pStyle w:val="Normal"/>
        <w:spacing w:lineRule="auto" w:line="276"/>
        <w:rPr/>
      </w:pPr>
      <w:r>
        <w:rPr/>
      </w:r>
    </w:p>
    <w:p>
      <w:pPr>
        <w:pStyle w:val="Heading3"/>
        <w:spacing w:before="180" w:after="100"/>
        <w:jc w:val="start"/>
        <w:rPr/>
      </w:pPr>
      <w:r>
        <w:rPr>
          <w:rFonts w:eastAsia="Times New Roman" w:cs="Times New Roman"/>
          <w:b/>
          <w:bCs/>
          <w:i/>
          <w:iCs/>
          <w:color w:val="000000"/>
          <w:sz w:val="24"/>
          <w:szCs w:val="24"/>
        </w:rPr>
        <w:t>2.2.7 Métricas de evaluación</w:t>
      </w:r>
    </w:p>
    <w:p>
      <w:pPr>
        <w:pStyle w:val="Normal"/>
        <w:spacing w:lineRule="auto" w:line="360" w:before="0" w:after="160"/>
        <w:ind w:firstLine="709"/>
        <w:jc w:val="both"/>
        <w:rPr/>
      </w:pPr>
      <w:r>
        <w:rPr>
          <w:rFonts w:eastAsia="Times New Roman" w:cs="Times New Roman"/>
        </w:rPr>
        <w:t>Dado que en la fusión VIS/IR no existe una imagen de referencia (ground truth) —como subraya la revisión de Singh et al. (2023)—, la evaluación se realiza con nueve métricas que computan el puntaje a partir de la imagen fusionada y de sus fuentes: la entropía (EN), la desviación estándar (SD), la entropía de bordes (FE), el gradiente medio (MG), la información mutua con el visible y el infrarrojo (MI_vis, MI_ir), la frecuencia espacial (SF), la similitud estructural promedio con las fuentes (SSIM) y la relación señal-ruido de pico calculada frente a ambas fuentes (PSNR). Este subconjunto —alineado con la metodología de referencia (Ortega y Espinoza, 2025)— cubre la actividad y el contenido informativo, la fidelidad estructural y la distorsión. La literatura de fusión define además una familia de índices de calidad orientados a la preservación de bordes y a la reducción de artefactos (Qabf, Nabf, SCD, VIF, FMI y los índices de Piella y Heijmans, 2003), cuyas definiciones se recogen en la sección siguiente por completitud; la evaluación empírica de esta tesis reporta el subconjunto de nueve métricas descrito.</w:t>
      </w:r>
    </w:p>
    <w:p>
      <w:pPr>
        <w:pStyle w:val="Normal"/>
        <w:spacing w:lineRule="auto" w:line="360" w:before="0" w:after="120"/>
        <w:ind w:firstLine="709"/>
        <w:jc w:val="both"/>
        <w:rPr/>
      </w:pPr>
      <w:r>
        <w:rPr>
          <w:rFonts w:eastAsia="Times New Roman" w:cs="Times New Roman"/>
          <w:b w:val="false"/>
          <w:sz w:val="24"/>
        </w:rPr>
        <w:t>A continuación se formalizan las principales métricas sin referencia empleadas en la evaluación. Las primeras cuantifican propiedades intrínsecas de la imagen fusionada (información, contraste, nitidez) y las restantes miden cuánta información de las fuentes se transfiere y con qué fidelidad estructural:</w:t>
      </w:r>
    </w:p>
    <w:p>
      <w:pPr>
        <w:pStyle w:val="Normal"/>
        <w:spacing w:lineRule="auto" w:line="360" w:before="0" w:after="120"/>
        <w:ind w:firstLine="709"/>
        <w:jc w:val="both"/>
        <w:rPr/>
      </w:pPr>
      <w:r>
        <w:rPr>
          <w:rFonts w:eastAsia="Times New Roman" w:cs="Times New Roman"/>
          <w:b/>
          <w:sz w:val="24"/>
        </w:rPr>
        <w:t xml:space="preserve">Entropía (EN). </w:t>
      </w:r>
      <w:r>
        <w:rPr>
          <w:rFonts w:eastAsia="Times New Roman" w:cs="Times New Roman"/>
          <w:b w:val="false"/>
          <w:sz w:val="24"/>
        </w:rPr>
        <w:t>Cantidad de información de la imagen fusionada; mayor es mejor (p_l = histograma normalizado, L niveles de gris).</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EN</m:t>
                </m:r>
                <m:r>
                  <m:rPr>
                    <m:lit/>
                    <m:nor/>
                  </m:rPr>
                  <m:t xml:space="preserve">=</m:t>
                </m:r>
                <m:r>
                  <m:t xml:space="preserve">−</m:t>
                </m:r>
                <m:nary>
                  <m:naryPr>
                    <m:chr m:val="∑"/>
                  </m:naryPr>
                  <m:sub>
                    <m:r>
                      <m:t xml:space="preserve">l</m:t>
                    </m:r>
                    <m:r>
                      <m:rPr>
                        <m:lit/>
                        <m:nor/>
                      </m:rPr>
                      <m:t xml:space="preserve">=</m:t>
                    </m:r>
                    <m:r>
                      <m:t xml:space="preserve">0</m:t>
                    </m:r>
                  </m:sub>
                  <m:sup>
                    <m:r>
                      <m:t>L−1</m:t>
                    </m:r>
                  </m:sup>
                  <m:e>
                    <m:sSub>
                      <m:e>
                        <m:r>
                          <m:t xml:space="preserve">p</m:t>
                        </m:r>
                      </m:e>
                      <m:sub>
                        <m:r>
                          <m:t xml:space="preserve">l</m:t>
                        </m:r>
                      </m:sub>
                    </m:sSub>
                  </m:e>
                </m:nary>
                <m:sSub>
                  <m:e>
                    <m:r>
                      <m:rPr>
                        <m:lit/>
                        <m:nor/>
                      </m:rPr>
                      <m:t xml:space="preserve">log</m:t>
                    </m:r>
                  </m:e>
                  <m:sub>
                    <m:r>
                      <m:t xml:space="preserve">2</m:t>
                    </m:r>
                  </m:sub>
                </m:sSub>
                <m:sSub>
                  <m:e>
                    <m:r>
                      <m:t xml:space="preserve">p</m:t>
                    </m:r>
                  </m:e>
                  <m:sub>
                    <m:r>
                      <m:t xml:space="preserve">l</m:t>
                    </m:r>
                  </m:sub>
                </m:sSub>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(15)</w:t>
            </w:r>
          </w:p>
        </w:tc>
      </w:tr>
    </w:tbl>
    <w:p>
      <w:pPr>
        <w:pStyle w:val="Normal"/>
        <w:spacing w:lineRule="auto" w:line="360" w:before="0" w:after="120"/>
        <w:ind w:firstLine="709"/>
        <w:jc w:val="both"/>
        <w:rPr/>
      </w:pPr>
      <w:r>
        <w:rPr>
          <w:rFonts w:eastAsia="Times New Roman" w:cs="Times New Roman"/>
          <w:b/>
          <w:sz w:val="24"/>
        </w:rPr>
        <w:t xml:space="preserve">Desviación estándar (SD). </w:t>
      </w:r>
      <w:r>
        <w:rPr>
          <w:rFonts w:eastAsia="Times New Roman" w:cs="Times New Roman"/>
          <w:b w:val="false"/>
          <w:sz w:val="24"/>
        </w:rPr>
        <w:t>Contraste global respecto de la media μ; mayor SD indica mayor dispersión de intensidades.</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SD</m:t>
                </m:r>
                <m:r>
                  <m:rPr>
                    <m:lit/>
                    <m:nor/>
                  </m:rPr>
                  <m:t xml:space="preserve">=</m:t>
                </m:r>
                <m:rad>
                  <m:radPr>
                    <m:degHide m:val="1"/>
                  </m:radPr>
                  <m:deg/>
                  <m:e>
                    <m:f>
                      <m:num>
                        <m:r>
                          <m:t xml:space="preserve">1</m:t>
                        </m:r>
                      </m:num>
                      <m:den>
                        <m:r>
                          <m:t xml:space="preserve">MN</m:t>
                        </m:r>
                      </m:den>
                    </m:f>
                    <m:nary>
                      <m:naryPr>
                        <m:chr m:val="∑"/>
                      </m:naryPr>
                      <m:sub>
                        <m:r>
                          <m:t xml:space="preserve">i</m:t>
                        </m:r>
                        <m:r>
                          <m:rPr>
                            <m:lit/>
                            <m:nor/>
                          </m:rPr>
                          <m:t xml:space="preserve">=</m:t>
                        </m:r>
                        <m:r>
                          <m:t xml:space="preserve">1</m:t>
                        </m:r>
                      </m:sub>
                      <m:sup>
                        <m:r>
                          <m:t xml:space="preserve">M</m:t>
                        </m:r>
                      </m:sup>
                      <m:e>
                        <m:nary>
                          <m:naryPr>
                            <m:chr m:val="∑"/>
                          </m:naryPr>
                          <m:sub>
                            <m:r>
                              <m:t xml:space="preserve">j</m:t>
                            </m:r>
                            <m:r>
                              <m:rPr>
                                <m:lit/>
                                <m:nor/>
                              </m:rPr>
                              <m:t xml:space="preserve">=</m:t>
                            </m:r>
                            <m:r>
                              <m:t xml:space="preserve">1</m:t>
                            </m:r>
                          </m:sub>
                          <m:sup>
                            <m:r>
                              <m:t xml:space="preserve">N</m:t>
                            </m:r>
                          </m:sup>
                          <m:e>
                            <m:sSup>
                              <m:e>
                                <m:d>
                                  <m:dPr>
                                    <m:begChr m:val="("/>
                                    <m:endChr m:val=")"/>
                                  </m:dPr>
                                  <m:e>
                                    <m:r>
                                      <m:t xml:space="preserve">F</m:t>
                                    </m:r>
                                    <m:d>
                                      <m:dPr>
                                        <m:begChr m:val="("/>
                                        <m:endChr m:val=")"/>
                                      </m:dPr>
                                      <m:e>
                                        <m:r>
                                          <m:t>i,j</m:t>
                                        </m:r>
                                      </m:e>
                                    </m:d>
                                    <m:r>
                                      <m:t>−μ</m:t>
                                    </m:r>
                                  </m:e>
                                </m:d>
                              </m:e>
                              <m:sup>
                                <m:r>
                                  <m:t xml:space="preserve">2</m:t>
                                </m:r>
                              </m:sup>
                            </m:sSup>
                          </m:e>
                        </m:nary>
                      </m:e>
                    </m:nary>
                  </m:e>
                </m:rad>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(16)</w:t>
            </w:r>
          </w:p>
        </w:tc>
      </w:tr>
    </w:tbl>
    <w:p>
      <w:pPr>
        <w:pStyle w:val="Normal"/>
        <w:spacing w:lineRule="auto" w:line="360" w:before="0" w:after="120"/>
        <w:ind w:firstLine="709"/>
        <w:jc w:val="both"/>
        <w:rPr/>
      </w:pPr>
      <w:r>
        <w:rPr>
          <w:rFonts w:eastAsia="Times New Roman" w:cs="Times New Roman"/>
          <w:b/>
          <w:sz w:val="24"/>
        </w:rPr>
        <w:t xml:space="preserve">Frecuencia espacial (SF). </w:t>
      </w:r>
      <w:r>
        <w:rPr>
          <w:rFonts w:eastAsia="Times New Roman" w:cs="Times New Roman"/>
          <w:b w:val="false"/>
          <w:sz w:val="24"/>
        </w:rPr>
        <w:t>Nitidez y nivel de detalle, combinando las frecuencias por filas (RF) y por columnas (CF).</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SF</m:t>
                </m:r>
                <m:r>
                  <m:rPr>
                    <m:lit/>
                    <m:nor/>
                  </m:rPr>
                  <m:t xml:space="preserve">=</m:t>
                </m:r>
                <m:rad>
                  <m:radPr>
                    <m:degHide m:val="1"/>
                  </m:radPr>
                  <m:deg/>
                  <m:e>
                    <m:r>
                      <m:t xml:space="preserve">R</m:t>
                    </m:r>
                    <m:sSup>
                      <m:e>
                        <m:r>
                          <m:t xml:space="preserve">F</m:t>
                        </m:r>
                      </m:e>
                      <m:sup>
                        <m:r>
                          <m:t xml:space="preserve">2</m:t>
                        </m:r>
                      </m:sup>
                    </m:sSup>
                    <m:r>
                      <m:rPr>
                        <m:lit/>
                        <m:nor/>
                      </m:rPr>
                      <m:t xml:space="preserve">+</m:t>
                    </m:r>
                    <m:r>
                      <m:t xml:space="preserve">C</m:t>
                    </m:r>
                    <m:sSup>
                      <m:e>
                        <m:r>
                          <m:t xml:space="preserve">F</m:t>
                        </m:r>
                      </m:e>
                      <m:sup>
                        <m:r>
                          <m:t xml:space="preserve">2</m:t>
                        </m:r>
                      </m:sup>
                    </m:sSup>
                  </m:e>
                </m:rad>
                <m:r>
                  <m:t>,RF</m:t>
                </m:r>
                <m:r>
                  <m:rPr>
                    <m:lit/>
                    <m:nor/>
                  </m:rPr>
                  <m:t xml:space="preserve">=</m:t>
                </m:r>
                <m:rad>
                  <m:radPr>
                    <m:degHide m:val="1"/>
                  </m:radPr>
                  <m:deg/>
                  <m:e>
                    <m:f>
                      <m:num>
                        <m:r>
                          <m:t xml:space="preserve">1</m:t>
                        </m:r>
                      </m:num>
                      <m:den>
                        <m:r>
                          <m:t xml:space="preserve">MN</m:t>
                        </m:r>
                      </m:den>
                    </m:f>
                    <m:nary>
                      <m:naryPr>
                        <m:chr m:val="∑"/>
                        <m:supHide m:val="1"/>
                      </m:naryPr>
                      <m:sub>
                        <m:r>
                          <m:t xml:space="preserve">i</m:t>
                        </m:r>
                      </m:sub>
                      <m:sup/>
                      <m:e>
                        <m:nary>
                          <m:naryPr>
                            <m:chr m:val="∑"/>
                            <m:supHide m:val="1"/>
                          </m:naryPr>
                          <m:sub>
                            <m:r>
                              <m:t xml:space="preserve">j</m:t>
                            </m:r>
                          </m:sub>
                          <m:sup/>
                          <m:e>
                            <m:sSup>
                              <m:e>
                                <m:d>
                                  <m:dPr>
                                    <m:begChr m:val="("/>
                                    <m:endChr m:val=")"/>
                                  </m:dPr>
                                  <m:e>
                                    <m:r>
                                      <m:t xml:space="preserve">F</m:t>
                                    </m:r>
                                    <m:d>
                                      <m:dPr>
                                        <m:begChr m:val="("/>
                                        <m:endChr m:val=")"/>
                                      </m:dPr>
                                      <m:e>
                                        <m:r>
                                          <m:t>i,j</m:t>
                                        </m:r>
                                      </m:e>
                                    </m:d>
                                    <m:r>
                                      <m:t>−F</m:t>
                                    </m:r>
                                    <m:d>
                                      <m:dPr>
                                        <m:begChr m:val="("/>
                                        <m:endChr m:val=")"/>
                                      </m:dPr>
                                      <m:e>
                                        <m:r>
                                          <m:t>i,j−1</m:t>
                                        </m:r>
                                      </m:e>
                                    </m:d>
                                  </m:e>
                                </m:d>
                              </m:e>
                              <m:sup>
                                <m:r>
                                  <m:t xml:space="preserve">2</m:t>
                                </m:r>
                              </m:sup>
                            </m:sSup>
                          </m:e>
                        </m:nary>
                      </m:e>
                    </m:nary>
                  </m:e>
                </m:rad>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(17)</w:t>
            </w:r>
          </w:p>
        </w:tc>
      </w:tr>
    </w:tbl>
    <w:p>
      <w:pPr>
        <w:pStyle w:val="Normal"/>
        <w:spacing w:lineRule="auto" w:line="360" w:before="0" w:after="120"/>
        <w:ind w:firstLine="709"/>
        <w:jc w:val="both"/>
        <w:rPr/>
      </w:pPr>
      <w:r>
        <w:rPr>
          <w:rFonts w:eastAsia="Times New Roman" w:cs="Times New Roman"/>
          <w:b/>
          <w:sz w:val="24"/>
        </w:rPr>
        <w:t xml:space="preserve">Gradiente medio (MG). </w:t>
      </w:r>
      <w:r>
        <w:rPr>
          <w:rFonts w:eastAsia="Times New Roman" w:cs="Times New Roman"/>
          <w:b w:val="false"/>
          <w:sz w:val="24"/>
        </w:rPr>
        <w:t>Definición y agudeza de los bordes a partir de los gradientes Δx, Δy.</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bar>
                  <m:barPr>
                    <m:pos m:val="top"/>
                  </m:barPr>
                  <m:e>
                    <m:r>
                      <m:t xml:space="preserve">G</m:t>
                    </m:r>
                  </m:e>
                </m:bar>
                <m:r>
                  <m:rPr>
                    <m:lit/>
                    <m:nor/>
                  </m:rPr>
                  <m:t xml:space="preserve">=</m:t>
                </m:r>
                <m:f>
                  <m:num>
                    <m:r>
                      <m:t xml:space="preserve">1</m:t>
                    </m:r>
                  </m:num>
                  <m:den>
                    <m:r>
                      <m:t xml:space="preserve">MN</m:t>
                    </m:r>
                  </m:den>
                </m:f>
                <m:nary>
                  <m:naryPr>
                    <m:chr m:val="∑"/>
                    <m:supHide m:val="1"/>
                  </m:naryPr>
                  <m:sub>
                    <m:r>
                      <m:t xml:space="preserve">i</m:t>
                    </m:r>
                  </m:sub>
                  <m:sup/>
                  <m:e>
                    <m:nary>
                      <m:naryPr>
                        <m:chr m:val="∑"/>
                        <m:supHide m:val="1"/>
                      </m:naryPr>
                      <m:sub>
                        <m:r>
                          <m:t xml:space="preserve">j</m:t>
                        </m:r>
                      </m:sub>
                      <m:sup/>
                      <m:e>
                        <m:rad>
                          <m:radPr>
                            <m:degHide m:val="1"/>
                          </m:radPr>
                          <m:deg/>
                          <m:e/>
                        </m:rad>
                      </m:e>
                    </m:nary>
                  </m:e>
                </m:nary>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(18)</w:t>
            </w:r>
          </w:p>
        </w:tc>
      </w:tr>
    </w:tbl>
    <w:p>
      <w:pPr>
        <w:pStyle w:val="Normal"/>
        <w:spacing w:lineRule="auto" w:line="360" w:before="0" w:after="120"/>
        <w:ind w:firstLine="709"/>
        <w:jc w:val="both"/>
        <w:rPr/>
      </w:pPr>
      <w:r>
        <w:rPr>
          <w:rFonts w:eastAsia="Times New Roman" w:cs="Times New Roman"/>
          <w:b/>
          <w:sz w:val="24"/>
        </w:rPr>
        <w:t xml:space="preserve">Información mutua (MI). </w:t>
      </w:r>
      <w:r>
        <w:rPr>
          <w:rFonts w:eastAsia="Times New Roman" w:cs="Times New Roman"/>
          <w:b w:val="false"/>
          <w:sz w:val="24"/>
        </w:rPr>
        <w:t>Información de las fuentes A y B transferida a la fusión F; suma de las MI por par.</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MI</m:t>
                </m:r>
                <m:r>
                  <m:rPr>
                    <m:lit/>
                    <m:nor/>
                  </m:rPr>
                  <m:t xml:space="preserve">=</m:t>
                </m:r>
                <m:r>
                  <m:t xml:space="preserve">M</m:t>
                </m:r>
                <m:sSub>
                  <m:e>
                    <m:r>
                      <m:t xml:space="preserve">I</m:t>
                    </m:r>
                  </m:e>
                  <m:sub>
                    <m:r>
                      <m:t xml:space="preserve">AF</m:t>
                    </m:r>
                  </m:sub>
                </m:sSub>
                <m:r>
                  <m:rPr>
                    <m:lit/>
                    <m:nor/>
                  </m:rPr>
                  <m:t xml:space="preserve">+</m:t>
                </m:r>
                <m:r>
                  <m:t xml:space="preserve">M</m:t>
                </m:r>
                <m:sSub>
                  <m:e>
                    <m:r>
                      <m:t xml:space="preserve">I</m:t>
                    </m:r>
                  </m:e>
                  <m:sub>
                    <m:r>
                      <m:t xml:space="preserve">BF</m:t>
                    </m:r>
                  </m:sub>
                </m:sSub>
                <m:r>
                  <m:t>,M</m:t>
                </m:r>
                <m:sSub>
                  <m:e>
                    <m:r>
                      <m:t xml:space="preserve">I</m:t>
                    </m:r>
                  </m:e>
                  <m:sub>
                    <m:r>
                      <m:t xml:space="preserve">XF</m:t>
                    </m:r>
                  </m:sub>
                </m:sSub>
                <m:r>
                  <m:rPr>
                    <m:lit/>
                    <m:nor/>
                  </m:rPr>
                  <m:t xml:space="preserve">=</m:t>
                </m:r>
                <m:nary>
                  <m:naryPr>
                    <m:chr m:val="∑"/>
                    <m:supHide m:val="1"/>
                  </m:naryPr>
                  <m:sub>
                    <m:r>
                      <m:t xml:space="preserve">x</m:t>
                    </m:r>
                  </m:sub>
                  <m:sup/>
                  <m:e>
                    <m:nary>
                      <m:naryPr>
                        <m:chr m:val="∑"/>
                        <m:supHide m:val="1"/>
                      </m:naryPr>
                      <m:sub>
                        <m:r>
                          <m:t xml:space="preserve">f</m:t>
                        </m:r>
                      </m:sub>
                      <m:sup/>
                      <m:e>
                        <m:r>
                          <m:t xml:space="preserve">p</m:t>
                        </m:r>
                      </m:e>
                    </m:nary>
                  </m:e>
                </m:nary>
                <m:d>
                  <m:dPr>
                    <m:begChr m:val="("/>
                    <m:endChr m:val=")"/>
                  </m:dPr>
                  <m:e>
                    <m:r>
                      <m:t>x,f</m:t>
                    </m:r>
                  </m:e>
                </m:d>
                <m:sSub>
                  <m:e>
                    <m:r>
                      <m:rPr>
                        <m:lit/>
                        <m:nor/>
                      </m:rPr>
                      <m:t xml:space="preserve">log</m:t>
                    </m:r>
                  </m:e>
                  <m:sub>
                    <m:r>
                      <m:t xml:space="preserve">2</m:t>
                    </m:r>
                  </m:sub>
                </m:sSub>
                <m:f>
                  <m:num>
                    <m:r>
                      <m:t xml:space="preserve">p</m:t>
                    </m:r>
                    <m:d>
                      <m:dPr>
                        <m:begChr m:val="("/>
                        <m:endChr m:val=")"/>
                      </m:dPr>
                      <m:e>
                        <m:r>
                          <m:t>x,f</m:t>
                        </m:r>
                      </m:e>
                    </m:d>
                  </m:num>
                  <m:den>
                    <m:r>
                      <m:t xml:space="preserve">p</m:t>
                    </m:r>
                    <m:d>
                      <m:dPr>
                        <m:begChr m:val="("/>
                        <m:endChr m:val=")"/>
                      </m:dPr>
                      <m:e>
                        <m:r>
                          <m:t xml:space="preserve">x</m:t>
                        </m:r>
                      </m:e>
                    </m:d>
                    <m:r>
                      <m:t xml:space="preserve">p</m:t>
                    </m:r>
                    <m:d>
                      <m:dPr>
                        <m:begChr m:val="("/>
                        <m:endChr m:val=")"/>
                      </m:dPr>
                      <m:e>
                        <m:r>
                          <m:t xml:space="preserve">f</m:t>
                        </m:r>
                      </m:e>
                    </m:d>
                  </m:den>
                </m:f>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(19)</w:t>
            </w:r>
          </w:p>
        </w:tc>
      </w:tr>
    </w:tbl>
    <w:p>
      <w:pPr>
        <w:pStyle w:val="Normal"/>
        <w:spacing w:lineRule="auto" w:line="360" w:before="0" w:after="120"/>
        <w:ind w:firstLine="709"/>
        <w:jc w:val="both"/>
        <w:rPr/>
      </w:pPr>
      <w:r>
        <w:rPr>
          <w:rFonts w:eastAsia="Times New Roman" w:cs="Times New Roman"/>
          <w:b/>
          <w:sz w:val="24"/>
        </w:rPr>
        <w:t xml:space="preserve">Q^AB/F (Xydeas–Petrović). </w:t>
      </w:r>
      <w:r>
        <w:rPr>
          <w:rFonts w:eastAsia="Times New Roman" w:cs="Times New Roman"/>
          <w:b w:val="false"/>
          <w:sz w:val="24"/>
        </w:rPr>
        <w:t>Preservación de la información de bordes, ponderada por la intensidad de borde de cada fuente (w^A, w^B).</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p>
                  <m:e>
                    <m:r>
                      <m:t xml:space="preserve">Q</m:t>
                    </m:r>
                  </m:e>
                  <m:sup>
                    <m:r>
                      <m:t xml:space="preserve">A</m:t>
                    </m:r>
                    <m:f>
                      <m:fPr>
                        <m:type m:val="lin"/>
                      </m:fPr>
                      <m:num>
                        <m:r>
                          <m:t xml:space="preserve">B</m:t>
                        </m:r>
                      </m:num>
                      <m:den>
                        <m:r>
                          <m:t xml:space="preserve">F</m:t>
                        </m:r>
                      </m:den>
                    </m:f>
                  </m:sup>
                </m:sSup>
                <m:r>
                  <m:rPr>
                    <m:lit/>
                    <m:nor/>
                  </m:rPr>
                  <m:t xml:space="preserve">=</m:t>
                </m:r>
                <m:f>
                  <m:num>
                    <m:nary>
                      <m:naryPr>
                        <m:chr m:val="∑"/>
                        <m:supHide m:val="1"/>
                      </m:naryPr>
                      <m:sub>
                        <m:r>
                          <m:t>i,j</m:t>
                        </m:r>
                      </m:sub>
                      <m:sup/>
                      <m:e>
                        <m:d>
                          <m:dPr>
                            <m:begChr m:val="("/>
                            <m:endChr m:val=")"/>
                          </m:dPr>
                          <m:e>
                            <m:sSubSup>
                              <m:e>
                                <m:r>
                                  <m:t xml:space="preserve">Q</m:t>
                                </m:r>
                              </m:e>
                              <m:sub>
                                <m:r>
                                  <m:t>i,j</m:t>
                                </m:r>
                              </m:sub>
                              <m:sup>
                                <m:r>
                                  <m:t xml:space="preserve">AF</m:t>
                                </m:r>
                              </m:sup>
                            </m:sSubSup>
                            <m:sSubSup>
                              <m:e>
                                <m:r>
                                  <m:t xml:space="preserve">w</m:t>
                                </m:r>
                              </m:e>
                              <m:sub>
                                <m:r>
                                  <m:t>i,j</m:t>
                                </m:r>
                              </m:sub>
                              <m:sup>
                                <m:r>
                                  <m:t xml:space="preserve">A</m:t>
                                </m:r>
                              </m:sup>
                            </m:sSubSup>
                            <m:r>
                              <m:rPr>
                                <m:lit/>
                                <m:nor/>
                              </m:rPr>
                              <m:t xml:space="preserve">+</m:t>
                            </m:r>
                            <m:sSubSup>
                              <m:e>
                                <m:r>
                                  <m:t xml:space="preserve">Q</m:t>
                                </m:r>
                              </m:e>
                              <m:sub>
                                <m:r>
                                  <m:t>i,j</m:t>
                                </m:r>
                              </m:sub>
                              <m:sup>
                                <m:r>
                                  <m:t xml:space="preserve">BF</m:t>
                                </m:r>
                              </m:sup>
                            </m:sSubSup>
                            <m:sSubSup>
                              <m:e>
                                <m:r>
                                  <m:t xml:space="preserve">w</m:t>
                                </m:r>
                              </m:e>
                              <m:sub>
                                <m:r>
                                  <m:t>i,j</m:t>
                                </m:r>
                              </m:sub>
                              <m:sup>
                                <m:r>
                                  <m:t xml:space="preserve">B</m:t>
                                </m:r>
                              </m:sup>
                            </m:sSubSup>
                          </m:e>
                        </m:d>
                      </m:e>
                    </m:nary>
                  </m:num>
                  <m:den>
                    <m:nary>
                      <m:naryPr>
                        <m:chr m:val="∑"/>
                        <m:supHide m:val="1"/>
                      </m:naryPr>
                      <m:sub>
                        <m:r>
                          <m:t>i,j</m:t>
                        </m:r>
                      </m:sub>
                      <m:sup/>
                      <m:e>
                        <m:d>
                          <m:dPr>
                            <m:begChr m:val="("/>
                            <m:endChr m:val=")"/>
                          </m:dPr>
                          <m:e>
                            <m:sSubSup>
                              <m:e>
                                <m:r>
                                  <m:t xml:space="preserve">w</m:t>
                                </m:r>
                              </m:e>
                              <m:sub>
                                <m:r>
                                  <m:t>i,j</m:t>
                                </m:r>
                              </m:sub>
                              <m:sup>
                                <m:r>
                                  <m:t xml:space="preserve">A</m:t>
                                </m:r>
                              </m:sup>
                            </m:sSubSup>
                            <m:r>
                              <m:rPr>
                                <m:lit/>
                                <m:nor/>
                              </m:rPr>
                              <m:t xml:space="preserve">+</m:t>
                            </m:r>
                            <m:sSubSup>
                              <m:e>
                                <m:r>
                                  <m:t xml:space="preserve">w</m:t>
                                </m:r>
                              </m:e>
                              <m:sub>
                                <m:r>
                                  <m:t>i,j</m:t>
                                </m:r>
                              </m:sub>
                              <m:sup>
                                <m:r>
                                  <m:t xml:space="preserve">B</m:t>
                                </m:r>
                              </m:sup>
                            </m:sSubSup>
                          </m:e>
                        </m:d>
                      </m:e>
                    </m:nary>
                  </m:den>
                </m:f>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(20)</w:t>
            </w:r>
          </w:p>
        </w:tc>
      </w:tr>
    </w:tbl>
    <w:p>
      <w:pPr>
        <w:pStyle w:val="Normal"/>
        <w:spacing w:lineRule="auto" w:line="360" w:before="0" w:after="120"/>
        <w:ind w:firstLine="709"/>
        <w:jc w:val="both"/>
        <w:rPr/>
      </w:pPr>
      <w:r>
        <w:rPr>
          <w:rFonts w:eastAsia="Times New Roman" w:cs="Times New Roman"/>
          <w:b/>
          <w:sz w:val="24"/>
        </w:rPr>
        <w:t xml:space="preserve">N^AB/F (Nabf). </w:t>
      </w:r>
      <w:r>
        <w:rPr>
          <w:rFonts w:eastAsia="Times New Roman" w:cs="Times New Roman"/>
          <w:b w:val="false"/>
          <w:sz w:val="24"/>
        </w:rPr>
        <w:t>Tasa de ruido y artefactos introducidos por la fusión (AM = mapa de artefactos); menor es mejor.</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p>
                  <m:e>
                    <m:r>
                      <m:t xml:space="preserve">N</m:t>
                    </m:r>
                  </m:e>
                  <m:sup>
                    <m:r>
                      <m:t xml:space="preserve">A</m:t>
                    </m:r>
                    <m:f>
                      <m:fPr>
                        <m:type m:val="lin"/>
                      </m:fPr>
                      <m:num>
                        <m:r>
                          <m:t xml:space="preserve">B</m:t>
                        </m:r>
                      </m:num>
                      <m:den>
                        <m:r>
                          <m:t xml:space="preserve">F</m:t>
                        </m:r>
                      </m:den>
                    </m:f>
                  </m:sup>
                </m:sSup>
                <m:r>
                  <m:rPr>
                    <m:lit/>
                    <m:nor/>
                  </m:rPr>
                  <m:t xml:space="preserve">=</m:t>
                </m:r>
                <m:f>
                  <m:num>
                    <m:nary>
                      <m:naryPr>
                        <m:chr m:val="∑"/>
                        <m:supHide m:val="1"/>
                      </m:naryPr>
                      <m:sub>
                        <m:r>
                          <m:t>i,j</m:t>
                        </m:r>
                      </m:sub>
                      <m:sup/>
                      <m:e>
                        <m:r>
                          <m:t xml:space="preserve">A</m:t>
                        </m:r>
                      </m:e>
                    </m:nary>
                    <m:sSub>
                      <m:e>
                        <m:r>
                          <m:t xml:space="preserve">M</m:t>
                        </m:r>
                      </m:e>
                      <m:sub>
                        <m:r>
                          <m:t>i,j</m:t>
                        </m:r>
                      </m:sub>
                    </m:sSub>
                    <m:d>
                      <m:dPr>
                        <m:begChr m:val="("/>
                        <m:endChr m:val=")"/>
                      </m:dPr>
                      <m:e>
                        <m:sSubSup>
                          <m:e>
                            <m:r>
                              <m:t xml:space="preserve">w</m:t>
                            </m:r>
                          </m:e>
                          <m:sub>
                            <m:r>
                              <m:t>i,j</m:t>
                            </m:r>
                          </m:sub>
                          <m:sup>
                            <m:r>
                              <m:t xml:space="preserve">A</m:t>
                            </m:r>
                          </m:sup>
                        </m:sSubSup>
                        <m:r>
                          <m:rPr>
                            <m:lit/>
                            <m:nor/>
                          </m:rPr>
                          <m:t xml:space="preserve">+</m:t>
                        </m:r>
                        <m:sSubSup>
                          <m:e>
                            <m:r>
                              <m:t xml:space="preserve">w</m:t>
                            </m:r>
                          </m:e>
                          <m:sub>
                            <m:r>
                              <m:t>i,j</m:t>
                            </m:r>
                          </m:sub>
                          <m:sup>
                            <m:r>
                              <m:t xml:space="preserve">B</m:t>
                            </m:r>
                          </m:sup>
                        </m:sSubSup>
                      </m:e>
                    </m:d>
                  </m:num>
                  <m:den>
                    <m:nary>
                      <m:naryPr>
                        <m:chr m:val="∑"/>
                        <m:supHide m:val="1"/>
                      </m:naryPr>
                      <m:sub>
                        <m:r>
                          <m:t>i,j</m:t>
                        </m:r>
                      </m:sub>
                      <m:sup/>
                      <m:e>
                        <m:d>
                          <m:dPr>
                            <m:begChr m:val="("/>
                            <m:endChr m:val=")"/>
                          </m:dPr>
                          <m:e>
                            <m:sSubSup>
                              <m:e>
                                <m:r>
                                  <m:t xml:space="preserve">w</m:t>
                                </m:r>
                              </m:e>
                              <m:sub>
                                <m:r>
                                  <m:t>i,j</m:t>
                                </m:r>
                              </m:sub>
                              <m:sup>
                                <m:r>
                                  <m:t xml:space="preserve">A</m:t>
                                </m:r>
                              </m:sup>
                            </m:sSubSup>
                            <m:r>
                              <m:rPr>
                                <m:lit/>
                                <m:nor/>
                              </m:rPr>
                              <m:t xml:space="preserve">+</m:t>
                            </m:r>
                            <m:sSubSup>
                              <m:e>
                                <m:r>
                                  <m:t xml:space="preserve">w</m:t>
                                </m:r>
                              </m:e>
                              <m:sub>
                                <m:r>
                                  <m:t>i,j</m:t>
                                </m:r>
                              </m:sub>
                              <m:sup>
                                <m:r>
                                  <m:t xml:space="preserve">B</m:t>
                                </m:r>
                              </m:sup>
                            </m:sSubSup>
                          </m:e>
                        </m:d>
                      </m:e>
                    </m:nary>
                  </m:den>
                </m:f>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(21)</w:t>
            </w:r>
          </w:p>
        </w:tc>
      </w:tr>
    </w:tbl>
    <w:p>
      <w:pPr>
        <w:pStyle w:val="Normal"/>
        <w:spacing w:lineRule="auto" w:line="360" w:before="0" w:after="120"/>
        <w:ind w:firstLine="709"/>
        <w:jc w:val="both"/>
        <w:rPr/>
      </w:pPr>
      <w:r>
        <w:rPr>
          <w:rFonts w:eastAsia="Times New Roman" w:cs="Times New Roman"/>
          <w:b/>
          <w:sz w:val="24"/>
        </w:rPr>
        <w:t xml:space="preserve">SSIM. </w:t>
      </w:r>
      <w:r>
        <w:rPr>
          <w:rFonts w:eastAsia="Times New Roman" w:cs="Times New Roman"/>
          <w:b w:val="false"/>
          <w:sz w:val="24"/>
        </w:rPr>
        <w:t>Similitud estructural entre la fusión y las fuentes (luminancia, contraste y estructura; C_1, C_2 constantes de estabilidad).</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SSIM</m:t>
                </m:r>
                <m:d>
                  <m:dPr>
                    <m:begChr m:val="("/>
                    <m:endChr m:val=")"/>
                  </m:dPr>
                  <m:e>
                    <m:r>
                      <m:t>x,y</m:t>
                    </m:r>
                  </m:e>
                </m:d>
                <m:r>
                  <m:rPr>
                    <m:lit/>
                    <m:nor/>
                  </m:rPr>
                  <m:t xml:space="preserve">=</m:t>
                </m:r>
                <m:f>
                  <m:num>
                    <m:d>
                      <m:dPr>
                        <m:begChr m:val="("/>
                        <m:endChr m:val=")"/>
                      </m:dPr>
                      <m:e>
                        <m:r>
                          <m:t xml:space="preserve">2</m:t>
                        </m:r>
                        <m:sSub>
                          <m:e>
                            <m:r>
                              <m:t xml:space="preserve">μ</m:t>
                            </m:r>
                          </m:e>
                          <m:sub>
                            <m:r>
                              <m:t xml:space="preserve">x</m:t>
                            </m:r>
                          </m:sub>
                        </m:sSub>
                        <m:sSub>
                          <m:e>
                            <m:r>
                              <m:t xml:space="preserve">μ</m:t>
                            </m:r>
                          </m:e>
                          <m:sub>
                            <m:r>
                              <m:t xml:space="preserve">y</m:t>
                            </m:r>
                          </m:sub>
                        </m:sSub>
                        <m:r>
                          <m:rPr>
                            <m:lit/>
                            <m:nor/>
                          </m:rPr>
                          <m:t xml:space="preserve">+</m:t>
                        </m:r>
                        <m:sSub>
                          <m:e>
                            <m:r>
                              <m:t xml:space="preserve">C</m:t>
                            </m:r>
                          </m:e>
                          <m:sub>
                            <m:r>
                              <m:t xml:space="preserve">1</m:t>
                            </m:r>
                          </m:sub>
                        </m:sSub>
                      </m:e>
                    </m:d>
                    <m:d>
                      <m:dPr>
                        <m:begChr m:val="("/>
                        <m:endChr m:val=")"/>
                      </m:dPr>
                      <m:e>
                        <m:r>
                          <m:t xml:space="preserve">2</m:t>
                        </m:r>
                        <m:sSub>
                          <m:e>
                            <m:r>
                              <m:t xml:space="preserve">σ</m:t>
                            </m:r>
                          </m:e>
                          <m:sub>
                            <m:r>
                              <m:t xml:space="preserve">xy</m:t>
                            </m:r>
                          </m:sub>
                        </m:sSub>
                        <m:r>
                          <m:rPr>
                            <m:lit/>
                            <m:nor/>
                          </m:rPr>
                          <m:t xml:space="preserve">+</m:t>
                        </m:r>
                        <m:sSub>
                          <m:e>
                            <m:r>
                              <m:t xml:space="preserve">C</m:t>
                            </m:r>
                          </m:e>
                          <m:sub>
                            <m:r>
                              <m:t xml:space="preserve">2</m:t>
                            </m:r>
                          </m:sub>
                        </m:sSub>
                      </m:e>
                    </m:d>
                  </m:num>
                  <m:den>
                    <m:d>
                      <m:dPr>
                        <m:begChr m:val="("/>
                        <m:endChr m:val=")"/>
                      </m:dPr>
                      <m:e>
                        <m:sSubSup>
                          <m:e>
                            <m:r>
                              <m:t xml:space="preserve">μ</m:t>
                            </m:r>
                          </m:e>
                          <m:sub>
                            <m:r>
                              <m:t xml:space="preserve">x</m:t>
                            </m:r>
                          </m:sub>
                          <m:sup>
                            <m:r>
                              <m:t xml:space="preserve">2</m:t>
                            </m:r>
                          </m:sup>
                        </m:sSubSup>
                        <m:r>
                          <m:rPr>
                            <m:lit/>
                            <m:nor/>
                          </m:rPr>
                          <m:t xml:space="preserve">+</m:t>
                        </m:r>
                        <m:sSubSup>
                          <m:e>
                            <m:r>
                              <m:t xml:space="preserve">μ</m:t>
                            </m:r>
                          </m:e>
                          <m:sub>
                            <m:r>
                              <m:t xml:space="preserve">y</m:t>
                            </m:r>
                          </m:sub>
                          <m:sup>
                            <m:r>
                              <m:t xml:space="preserve">2</m:t>
                            </m:r>
                          </m:sup>
                        </m:sSubSup>
                        <m:r>
                          <m:rPr>
                            <m:lit/>
                            <m:nor/>
                          </m:rPr>
                          <m:t xml:space="preserve">+</m:t>
                        </m:r>
                        <m:sSub>
                          <m:e>
                            <m:r>
                              <m:t xml:space="preserve">C</m:t>
                            </m:r>
                          </m:e>
                          <m:sub>
                            <m:r>
                              <m:t xml:space="preserve">1</m:t>
                            </m:r>
                          </m:sub>
                        </m:sSub>
                      </m:e>
                    </m:d>
                    <m:d>
                      <m:dPr>
                        <m:begChr m:val="("/>
                        <m:endChr m:val=")"/>
                      </m:dPr>
                      <m:e>
                        <m:sSubSup>
                          <m:e>
                            <m:r>
                              <m:t xml:space="preserve">σ</m:t>
                            </m:r>
                          </m:e>
                          <m:sub>
                            <m:r>
                              <m:t xml:space="preserve">x</m:t>
                            </m:r>
                          </m:sub>
                          <m:sup>
                            <m:r>
                              <m:t xml:space="preserve">2</m:t>
                            </m:r>
                          </m:sup>
                        </m:sSubSup>
                        <m:r>
                          <m:rPr>
                            <m:lit/>
                            <m:nor/>
                          </m:rPr>
                          <m:t xml:space="preserve">+</m:t>
                        </m:r>
                        <m:sSubSup>
                          <m:e>
                            <m:r>
                              <m:t xml:space="preserve">σ</m:t>
                            </m:r>
                          </m:e>
                          <m:sub>
                            <m:r>
                              <m:t xml:space="preserve">y</m:t>
                            </m:r>
                          </m:sub>
                          <m:sup>
                            <m:r>
                              <m:t xml:space="preserve">2</m:t>
                            </m:r>
                          </m:sup>
                        </m:sSubSup>
                        <m:r>
                          <m:rPr>
                            <m:lit/>
                            <m:nor/>
                          </m:rPr>
                          <m:t xml:space="preserve">+</m:t>
                        </m:r>
                        <m:sSub>
                          <m:e>
                            <m:r>
                              <m:t xml:space="preserve">C</m:t>
                            </m:r>
                          </m:e>
                          <m:sub>
                            <m:r>
                              <m:t xml:space="preserve">2</m:t>
                            </m:r>
                          </m:sub>
                        </m:sSub>
                      </m:e>
                    </m:d>
                  </m:den>
                </m:f>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(22)</w:t>
            </w:r>
          </w:p>
        </w:tc>
      </w:tr>
    </w:tbl>
    <w:p>
      <w:pPr>
        <w:pStyle w:val="Normal"/>
        <w:spacing w:lineRule="auto" w:line="360" w:before="0" w:after="120"/>
        <w:ind w:firstLine="709"/>
        <w:jc w:val="both"/>
        <w:rPr/>
      </w:pPr>
      <w:r>
        <w:rPr>
          <w:rFonts w:eastAsia="Times New Roman" w:cs="Times New Roman"/>
          <w:b/>
          <w:sz w:val="24"/>
        </w:rPr>
        <w:t xml:space="preserve">SCD. </w:t>
      </w:r>
      <w:r>
        <w:rPr>
          <w:rFonts w:eastAsia="Times New Roman" w:cs="Times New Roman"/>
          <w:b w:val="false"/>
          <w:sz w:val="24"/>
        </w:rPr>
        <w:t>Suma de correlaciones de las diferencias D_1, D_2 entre la fusión y cada fuente.</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SCD</m:t>
                </m:r>
                <m:r>
                  <m:rPr>
                    <m:lit/>
                    <m:nor/>
                  </m:rPr>
                  <m:t xml:space="preserve">=</m:t>
                </m:r>
                <m:r>
                  <m:t xml:space="preserve">r</m:t>
                </m:r>
                <m:d>
                  <m:dPr>
                    <m:begChr m:val="("/>
                    <m:endChr m:val=")"/>
                  </m:dPr>
                  <m:e>
                    <m:sSub>
                      <m:e>
                        <m:r>
                          <m:t xml:space="preserve">D</m:t>
                        </m:r>
                      </m:e>
                      <m:sub>
                        <m:r>
                          <m:t xml:space="preserve">1</m:t>
                        </m:r>
                      </m:sub>
                    </m:sSub>
                    <m:r>
                      <m:t xml:space="preserve">,</m:t>
                    </m:r>
                    <m:sSub>
                      <m:e>
                        <m:r>
                          <m:t xml:space="preserve">I</m:t>
                        </m:r>
                      </m:e>
                      <m:sub>
                        <m:r>
                          <m:t xml:space="preserve">1</m:t>
                        </m:r>
                      </m:sub>
                    </m:sSub>
                  </m:e>
                </m:d>
                <m:r>
                  <m:rPr>
                    <m:lit/>
                    <m:nor/>
                  </m:rPr>
                  <m:t xml:space="preserve">+</m:t>
                </m:r>
                <m:r>
                  <m:t xml:space="preserve">r</m:t>
                </m:r>
                <m:d>
                  <m:dPr>
                    <m:begChr m:val="("/>
                    <m:endChr m:val=")"/>
                  </m:dPr>
                  <m:e>
                    <m:sSub>
                      <m:e>
                        <m:r>
                          <m:t xml:space="preserve">D</m:t>
                        </m:r>
                      </m:e>
                      <m:sub>
                        <m:r>
                          <m:t xml:space="preserve">2</m:t>
                        </m:r>
                      </m:sub>
                    </m:sSub>
                    <m:r>
                      <m:t xml:space="preserve">,</m:t>
                    </m:r>
                    <m:sSub>
                      <m:e>
                        <m:r>
                          <m:t xml:space="preserve">I</m:t>
                        </m:r>
                      </m:e>
                      <m:sub>
                        <m:r>
                          <m:t xml:space="preserve">2</m:t>
                        </m:r>
                      </m:sub>
                    </m:sSub>
                  </m:e>
                </m:d>
                <m:r>
                  <m:t xml:space="preserve">,</m:t>
                </m:r>
                <m:sSub>
                  <m:e>
                    <m:r>
                      <m:t xml:space="preserve">D</m:t>
                    </m:r>
                  </m:e>
                  <m:sub>
                    <m:r>
                      <m:t xml:space="preserve">1</m:t>
                    </m:r>
                  </m:sub>
                </m:sSub>
                <m:r>
                  <m:rPr>
                    <m:lit/>
                    <m:nor/>
                  </m:rPr>
                  <m:t xml:space="preserve">=</m:t>
                </m:r>
                <m:r>
                  <m:t>F−</m:t>
                </m:r>
                <m:sSub>
                  <m:e>
                    <m:r>
                      <m:t xml:space="preserve">I</m:t>
                    </m:r>
                  </m:e>
                  <m:sub>
                    <m:r>
                      <m:t xml:space="preserve">2</m:t>
                    </m:r>
                  </m:sub>
                </m:sSub>
                <m:r>
                  <m:t xml:space="preserve">,</m:t>
                </m:r>
                <m:sSub>
                  <m:e>
                    <m:r>
                      <m:t xml:space="preserve">D</m:t>
                    </m:r>
                  </m:e>
                  <m:sub>
                    <m:r>
                      <m:t xml:space="preserve">2</m:t>
                    </m:r>
                  </m:sub>
                </m:sSub>
                <m:r>
                  <m:rPr>
                    <m:lit/>
                    <m:nor/>
                  </m:rPr>
                  <m:t xml:space="preserve">=</m:t>
                </m:r>
                <m:r>
                  <m:t>F−</m:t>
                </m:r>
                <m:sSub>
                  <m:e>
                    <m:r>
                      <m:t xml:space="preserve">I</m:t>
                    </m:r>
                  </m:e>
                  <m:sub>
                    <m:r>
                      <m:t xml:space="preserve">1</m:t>
                    </m:r>
                  </m:sub>
                </m:sSub>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(23)</w:t>
            </w:r>
          </w:p>
        </w:tc>
      </w:tr>
    </w:tbl>
    <w:p>
      <w:pPr>
        <w:pStyle w:val="Normal"/>
        <w:spacing w:lineRule="auto" w:line="360" w:before="0" w:after="120"/>
        <w:ind w:firstLine="709"/>
        <w:jc w:val="both"/>
        <w:rPr/>
      </w:pPr>
      <w:r>
        <w:rPr>
          <w:rFonts w:eastAsia="Times New Roman" w:cs="Times New Roman"/>
          <w:b/>
          <w:sz w:val="24"/>
        </w:rPr>
        <w:t xml:space="preserve">VIF. </w:t>
      </w:r>
      <w:r>
        <w:rPr>
          <w:rFonts w:eastAsia="Times New Roman" w:cs="Times New Roman"/>
          <w:b w:val="false"/>
          <w:sz w:val="24"/>
        </w:rPr>
        <w:t>Fidelidad visual de la información, basada en un modelo de información en el dominio de subbandas.</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VIF</m:t>
                </m:r>
                <m:r>
                  <m:rPr>
                    <m:lit/>
                    <m:nor/>
                  </m:rPr>
                  <m:t xml:space="preserve">=</m:t>
                </m:r>
                <m:f>
                  <m:num>
                    <m:nary>
                      <m:naryPr>
                        <m:chr m:val="∑"/>
                        <m:supHide m:val="1"/>
                      </m:naryPr>
                      <m:sub>
                        <m:r>
                          <m:t xml:space="preserve">j</m:t>
                        </m:r>
                      </m:sub>
                      <m:sup/>
                      <m:e>
                        <m:r>
                          <m:t xml:space="preserve">I</m:t>
                        </m:r>
                      </m:e>
                    </m:nary>
                    <m:d>
                      <m:dPr>
                        <m:begChr m:val="("/>
                        <m:endChr m:val=")"/>
                      </m:dPr>
                      <m:e>
                        <m:sSup>
                          <m:e>
                            <m:r>
                              <m:t xml:space="preserve">C</m:t>
                            </m:r>
                          </m:e>
                          <m:sup>
                            <m:r>
                              <m:t xml:space="preserve">j</m:t>
                            </m:r>
                          </m:sup>
                        </m:sSup>
                        <m:r>
                          <m:t xml:space="preserve">;</m:t>
                        </m:r>
                        <m:sSup>
                          <m:e>
                            <m:r>
                              <m:t xml:space="preserve">F</m:t>
                            </m:r>
                          </m:e>
                          <m:sup>
                            <m:r>
                              <m:t xml:space="preserve">j</m:t>
                            </m:r>
                          </m:sup>
                        </m:sSup>
                        <m:r>
                          <m:rPr>
                            <m:lit/>
                            <m:nor/>
                          </m:rPr>
                          <m:t xml:space="preserve">|</m:t>
                        </m:r>
                        <m:sSup>
                          <m:e>
                            <m:r>
                              <m:t xml:space="preserve">s</m:t>
                            </m:r>
                          </m:e>
                          <m:sup>
                            <m:r>
                              <m:t xml:space="preserve">j</m:t>
                            </m:r>
                          </m:sup>
                        </m:sSup>
                      </m:e>
                    </m:d>
                  </m:num>
                  <m:den>
                    <m:nary>
                      <m:naryPr>
                        <m:chr m:val="∑"/>
                        <m:supHide m:val="1"/>
                      </m:naryPr>
                      <m:sub>
                        <m:r>
                          <m:t xml:space="preserve">j</m:t>
                        </m:r>
                      </m:sub>
                      <m:sup/>
                      <m:e>
                        <m:r>
                          <m:t xml:space="preserve">I</m:t>
                        </m:r>
                      </m:e>
                    </m:nary>
                    <m:d>
                      <m:dPr>
                        <m:begChr m:val="("/>
                        <m:endChr m:val=")"/>
                      </m:dPr>
                      <m:e>
                        <m:sSup>
                          <m:e>
                            <m:r>
                              <m:t xml:space="preserve">C</m:t>
                            </m:r>
                          </m:e>
                          <m:sup>
                            <m:r>
                              <m:t xml:space="preserve">j</m:t>
                            </m:r>
                          </m:sup>
                        </m:sSup>
                        <m:r>
                          <m:t xml:space="preserve">;</m:t>
                        </m:r>
                        <m:sSup>
                          <m:e>
                            <m:r>
                              <m:t xml:space="preserve">E</m:t>
                            </m:r>
                          </m:e>
                          <m:sup>
                            <m:r>
                              <m:t xml:space="preserve">j</m:t>
                            </m:r>
                          </m:sup>
                        </m:sSup>
                        <m:r>
                          <m:rPr>
                            <m:lit/>
                            <m:nor/>
                          </m:rPr>
                          <m:t xml:space="preserve">|</m:t>
                        </m:r>
                        <m:sSup>
                          <m:e>
                            <m:r>
                              <m:t xml:space="preserve">s</m:t>
                            </m:r>
                          </m:e>
                          <m:sup>
                            <m:r>
                              <m:t xml:space="preserve">j</m:t>
                            </m:r>
                          </m:sup>
                        </m:sSup>
                      </m:e>
                    </m:d>
                  </m:den>
                </m:f>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(24)</w:t>
            </w:r>
          </w:p>
        </w:tc>
      </w:tr>
    </w:tbl>
    <w:p>
      <w:pPr>
        <w:pStyle w:val="Normal"/>
        <w:spacing w:lineRule="auto" w:line="360" w:before="0" w:after="120"/>
        <w:ind w:firstLine="709"/>
        <w:jc w:val="both"/>
        <w:rPr/>
      </w:pPr>
      <w:r>
        <w:rPr>
          <w:rFonts w:eastAsia="Times New Roman" w:cs="Times New Roman"/>
          <w:b/>
          <w:sz w:val="24"/>
        </w:rPr>
        <w:t xml:space="preserve">FMI. </w:t>
      </w:r>
      <w:r>
        <w:rPr>
          <w:rFonts w:eastAsia="Times New Roman" w:cs="Times New Roman"/>
          <w:b w:val="false"/>
          <w:sz w:val="24"/>
        </w:rPr>
        <w:t>Información mutua de los mapas de características (gradiente), normalizada por las entropías (Haghighat et al., 2011).</w:t>
      </w:r>
    </w:p>
    <w:tbl>
      <w:tblPr>
        <w:tblW w:w="9360" w:type="dxa"/>
        <w:jc w:val="start"/>
        <w:tblInd w:w="0" w:type="dxa"/>
        <w:tblLayout w:type="fixed"/>
        <w:tblCellMar>
          <w:top w:w="0" w:type="dxa"/>
          <w:start w:w="108" w:type="dxa"/>
          <w:bottom w:w="0" w:type="dxa"/>
          <w:end w:w="108" w:type="dxa"/>
        </w:tblCellMar>
      </w:tblPr>
      <w:tblGrid>
        <w:gridCol w:w="900"/>
        <w:gridCol w:w="7558"/>
        <w:gridCol w:w="902"/>
      </w:tblGrid>
      <w:tr>
        <w:trPr/>
        <w:tc>
          <w:tcPr>
            <w:tcW w:w="900" w:type="dxa"/>
            <w:tcBorders/>
            <w:vAlign w:val="center"/>
          </w:tcPr>
          <w:p>
            <w:pPr>
              <w:pStyle w:val="Normal"/>
              <w:widowControl w:val="false"/>
              <w:spacing w:lineRule="auto" w:line="276" w:before="0" w:after="120"/>
              <w:rPr/>
            </w:pPr>
            <w:r>
              <w:rPr/>
            </w:r>
          </w:p>
        </w:tc>
        <w:tc>
          <w:tcPr>
            <w:tcW w:w="7558" w:type="dxa"/>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r>
                  <m:t xml:space="preserve">FMI</m:t>
                </m:r>
                <m:r>
                  <m:rPr>
                    <m:lit/>
                    <m:nor/>
                  </m:rPr>
                  <m:t xml:space="preserve">=</m:t>
                </m:r>
                <m:f>
                  <m:num>
                    <m:r>
                      <m:t xml:space="preserve">M</m:t>
                    </m:r>
                    <m:sSub>
                      <m:e>
                        <m:r>
                          <m:t xml:space="preserve">I</m:t>
                        </m:r>
                      </m:e>
                      <m:sub>
                        <m:r>
                          <m:t xml:space="preserve">AF</m:t>
                        </m:r>
                      </m:sub>
                    </m:sSub>
                  </m:num>
                  <m:den>
                    <m:sSub>
                      <m:e>
                        <m:r>
                          <m:t xml:space="preserve">H</m:t>
                        </m:r>
                      </m:e>
                      <m:sub>
                        <m:r>
                          <m:t xml:space="preserve">A</m:t>
                        </m:r>
                      </m:sub>
                    </m:sSub>
                    <m:r>
                      <m:rPr>
                        <m:lit/>
                        <m:nor/>
                      </m:rPr>
                      <m:t xml:space="preserve">+</m:t>
                    </m:r>
                    <m:sSub>
                      <m:e>
                        <m:r>
                          <m:t xml:space="preserve">H</m:t>
                        </m:r>
                      </m:e>
                      <m:sub>
                        <m:r>
                          <m:t xml:space="preserve">F</m:t>
                        </m:r>
                      </m:sub>
                    </m:sSub>
                  </m:den>
                </m:f>
                <m:r>
                  <m:rPr>
                    <m:lit/>
                    <m:nor/>
                  </m:rPr>
                  <m:t xml:space="preserve">+</m:t>
                </m:r>
                <m:f>
                  <m:num>
                    <m:r>
                      <m:t xml:space="preserve">M</m:t>
                    </m:r>
                    <m:sSub>
                      <m:e>
                        <m:r>
                          <m:t xml:space="preserve">I</m:t>
                        </m:r>
                      </m:e>
                      <m:sub>
                        <m:r>
                          <m:t xml:space="preserve">BF</m:t>
                        </m:r>
                      </m:sub>
                    </m:sSub>
                  </m:num>
                  <m:den>
                    <m:sSub>
                      <m:e>
                        <m:r>
                          <m:t xml:space="preserve">H</m:t>
                        </m:r>
                      </m:e>
                      <m:sub>
                        <m:r>
                          <m:t xml:space="preserve">B</m:t>
                        </m:r>
                      </m:sub>
                    </m:sSub>
                    <m:r>
                      <m:rPr>
                        <m:lit/>
                        <m:nor/>
                      </m:rPr>
                      <m:t xml:space="preserve">+</m:t>
                    </m:r>
                    <m:sSub>
                      <m:e>
                        <m:r>
                          <m:t xml:space="preserve">H</m:t>
                        </m:r>
                      </m:e>
                      <m:sub>
                        <m:r>
                          <m:t xml:space="preserve">F</m:t>
                        </m:r>
                      </m:sub>
                    </m:sSub>
                  </m:den>
                </m:f>
              </m:oMath>
            </m:oMathPara>
          </w:p>
        </w:tc>
        <w:tc>
          <w:tcPr>
            <w:tcW w:w="902" w:type="dxa"/>
            <w:tcBorders/>
            <w:vAlign w:val="center"/>
          </w:tcPr>
          <w:p>
            <w:pPr>
              <w:pStyle w:val="Normal"/>
              <w:widowControl w:val="false"/>
              <w:spacing w:lineRule="auto" w:line="276" w:before="0" w:after="120"/>
              <w:jc w:val="end"/>
              <w:rPr/>
            </w:pPr>
            <w:r>
              <w:rPr>
                <w:rFonts w:eastAsia="Times New Roman" w:cs="Times New Roman"/>
              </w:rPr>
              <w:t>(25)</w:t>
            </w:r>
          </w:p>
        </w:tc>
      </w:tr>
    </w:tbl>
    <w:p>
      <w:pPr>
        <w:pStyle w:val="Normal"/>
        <w:spacing w:lineRule="auto" w:line="360" w:before="0" w:after="120"/>
        <w:ind w:firstLine="709"/>
        <w:jc w:val="both"/>
        <w:rPr/>
      </w:pPr>
      <w:r>
        <w:rPr>
          <w:rFonts w:eastAsia="Times New Roman" w:cs="Times New Roman"/>
          <w:b/>
          <w:sz w:val="24"/>
        </w:rPr>
        <w:t xml:space="preserve">Q_0 / Piella. </w:t>
      </w:r>
      <w:r>
        <w:rPr>
          <w:rFonts w:eastAsia="Times New Roman" w:cs="Times New Roman"/>
          <w:b w:val="false"/>
          <w:sz w:val="24"/>
        </w:rPr>
        <w:t>Calidad estructural universal; las variantes Q_W y Q_E la ponderan por la saliencia y los bordes locales (Piella y Heijmans, 2003).</w:t>
      </w:r>
    </w:p>
    <w:tbl>
      <w:tblPr>
        <w:tblW w:w="9360" w:type="dxa"/>
        <w:jc w:val="start"/>
        <w:tblInd w:w="0" w:type="dxa"/>
        <w:tblLayout w:type="fixed"/>
        <w:tblCellMar>
          <w:top w:w="0" w:type="dxa"/>
          <w:start w:w="108" w:type="dxa"/>
          <w:bottom w:w="0" w:type="dxa"/>
          <w:end w:w="108" w:type="dxa"/>
        </w:tblCellMar>
      </w:tblPr>
      <w:tblGrid>
        <w:gridCol w:w="900"/>
        <w:gridCol w:w="798"/>
        <w:gridCol w:w="3502"/>
        <w:gridCol w:w="3001"/>
        <w:gridCol w:w="258"/>
        <w:gridCol w:w="901"/>
      </w:tblGrid>
      <w:tr>
        <w:trPr/>
        <w:tc>
          <w:tcPr>
            <w:tcW w:w="900"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76" w:before="0" w:after="120"/>
              <w:rPr/>
            </w:pPr>
            <w:r>
              <w:rPr/>
            </w:r>
          </w:p>
        </w:tc>
        <w:tc>
          <w:tcPr>
            <w:tcW w:w="7559" w:type="dxa"/>
            <w:gridSpan w:val="4"/>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76" w:before="0" w:after="120"/>
              <w:jc w:val="center"/>
              <w:rPr/>
            </w:pPr>
            <w:r>
              <w:rPr/>
            </w:r>
            <m:oMathPara xmlns:m="http://schemas.openxmlformats.org/officeDocument/2006/math">
              <m:oMathParaPr>
                <m:jc m:val="center"/>
              </m:oMathParaPr>
              <m:oMath>
                <m:sSub>
                  <m:e>
                    <m:r>
                      <m:t xml:space="preserve">Q</m:t>
                    </m:r>
                  </m:e>
                  <m:sub>
                    <m:r>
                      <m:t xml:space="preserve">0</m:t>
                    </m:r>
                  </m:sub>
                </m:sSub>
                <m:r>
                  <m:rPr>
                    <m:lit/>
                    <m:nor/>
                  </m:rPr>
                  <m:t xml:space="preserve">=</m:t>
                </m:r>
                <m:f>
                  <m:num>
                    <m:r>
                      <m:t xml:space="preserve">4</m:t>
                    </m:r>
                    <m:sSub>
                      <m:e>
                        <m:r>
                          <m:t xml:space="preserve">σ</m:t>
                        </m:r>
                      </m:e>
                      <m:sub>
                        <m:r>
                          <m:t xml:space="preserve">xy</m:t>
                        </m:r>
                      </m:sub>
                    </m:sSub>
                    <m:sSub>
                      <m:e>
                        <m:r>
                          <m:t xml:space="preserve">μ</m:t>
                        </m:r>
                      </m:e>
                      <m:sub>
                        <m:r>
                          <m:t xml:space="preserve">x</m:t>
                        </m:r>
                      </m:sub>
                    </m:sSub>
                    <m:sSub>
                      <m:e>
                        <m:r>
                          <m:t xml:space="preserve">μ</m:t>
                        </m:r>
                      </m:e>
                      <m:sub>
                        <m:r>
                          <m:t xml:space="preserve">y</m:t>
                        </m:r>
                      </m:sub>
                    </m:sSub>
                  </m:num>
                  <m:den>
                    <m:d>
                      <m:dPr>
                        <m:begChr m:val="("/>
                        <m:endChr m:val=")"/>
                      </m:dPr>
                      <m:e>
                        <m:sSubSup>
                          <m:e>
                            <m:r>
                              <m:t xml:space="preserve">σ</m:t>
                            </m:r>
                          </m:e>
                          <m:sub>
                            <m:r>
                              <m:t xml:space="preserve">x</m:t>
                            </m:r>
                          </m:sub>
                          <m:sup>
                            <m:r>
                              <m:t xml:space="preserve">2</m:t>
                            </m:r>
                          </m:sup>
                        </m:sSubSup>
                        <m:r>
                          <m:rPr>
                            <m:lit/>
                            <m:nor/>
                          </m:rPr>
                          <m:t xml:space="preserve">+</m:t>
                        </m:r>
                        <m:sSubSup>
                          <m:e>
                            <m:r>
                              <m:t xml:space="preserve">σ</m:t>
                            </m:r>
                          </m:e>
                          <m:sub>
                            <m:r>
                              <m:t xml:space="preserve">y</m:t>
                            </m:r>
                          </m:sub>
                          <m:sup>
                            <m:r>
                              <m:t xml:space="preserve">2</m:t>
                            </m:r>
                          </m:sup>
                        </m:sSubSup>
                      </m:e>
                    </m:d>
                    <m:d>
                      <m:dPr>
                        <m:begChr m:val="("/>
                        <m:endChr m:val=")"/>
                      </m:dPr>
                      <m:e>
                        <m:sSubSup>
                          <m:e>
                            <m:r>
                              <m:t xml:space="preserve">μ</m:t>
                            </m:r>
                          </m:e>
                          <m:sub>
                            <m:r>
                              <m:t xml:space="preserve">x</m:t>
                            </m:r>
                          </m:sub>
                          <m:sup>
                            <m:r>
                              <m:t xml:space="preserve">2</m:t>
                            </m:r>
                          </m:sup>
                        </m:sSubSup>
                        <m:r>
                          <m:rPr>
                            <m:lit/>
                            <m:nor/>
                          </m:rPr>
                          <m:t xml:space="preserve">+</m:t>
                        </m:r>
                        <m:sSubSup>
                          <m:e>
                            <m:r>
                              <m:t xml:space="preserve">μ</m:t>
                            </m:r>
                          </m:e>
                          <m:sub>
                            <m:r>
                              <m:t xml:space="preserve">y</m:t>
                            </m:r>
                          </m:sub>
                          <m:sup>
                            <m:r>
                              <m:t xml:space="preserve">2</m:t>
                            </m:r>
                          </m:sup>
                        </m:sSubSup>
                      </m:e>
                    </m:d>
                  </m:den>
                </m:f>
              </m:oMath>
            </m:oMathPara>
          </w:p>
        </w:tc>
        <w:tc>
          <w:tcPr>
            <w:tcW w:w="901" w:type="dxa"/>
            <w:tcBorders>
              <w:top w:val="single" w:sz="4" w:space="0" w:color="000000"/>
              <w:start w:val="single" w:sz="4" w:space="0" w:color="000000"/>
              <w:bottom w:val="single" w:sz="4" w:space="0" w:color="000000"/>
              <w:end w:val="single" w:sz="4" w:space="0" w:color="000000"/>
            </w:tcBorders>
            <w:vAlign w:val="center"/>
          </w:tcPr>
          <w:p>
            <w:pPr>
              <w:pStyle w:val="Normal"/>
              <w:widowControl w:val="false"/>
              <w:spacing w:lineRule="auto" w:line="276" w:before="0" w:after="120"/>
              <w:jc w:val="end"/>
              <w:rPr/>
            </w:pPr>
            <w:r>
              <w:rPr>
                <w:rFonts w:eastAsia="Times New Roman" w:cs="Times New Roman"/>
              </w:rPr>
              <w:t>(26)</w:t>
            </w:r>
          </w:p>
        </w:tc>
      </w:tr>
      <w:tr>
        <w:trPr/>
        <w:tc>
          <w:tcPr>
            <w:tcW w:w="1698" w:type="dxa"/>
            <w:gridSpan w:val="2"/>
            <w:tcBorders>
              <w:top w:val="single" w:sz="4" w:space="0" w:color="000000"/>
              <w:start w:val="single" w:sz="4" w:space="0" w:color="000000"/>
              <w:bottom w:val="single" w:sz="4" w:space="0" w:color="000000"/>
              <w:end w:val="single" w:sz="4" w:space="0" w:color="000000"/>
            </w:tcBorders>
            <w:shd w:color="auto" w:fill="D5E8F0"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b/>
                <w:bCs/>
                <w:sz w:val="22"/>
                <w:szCs w:val="22"/>
              </w:rPr>
              <w:t>Métrica</w:t>
            </w:r>
          </w:p>
        </w:tc>
        <w:tc>
          <w:tcPr>
            <w:tcW w:w="3502" w:type="dxa"/>
            <w:tcBorders>
              <w:top w:val="single" w:sz="4" w:space="0" w:color="000000"/>
              <w:start w:val="single" w:sz="4" w:space="0" w:color="000000"/>
              <w:bottom w:val="single" w:sz="4" w:space="0" w:color="000000"/>
              <w:end w:val="single" w:sz="4" w:space="0" w:color="000000"/>
            </w:tcBorders>
            <w:shd w:color="auto" w:fill="D5E8F0"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b/>
                <w:bCs/>
                <w:sz w:val="22"/>
                <w:szCs w:val="22"/>
              </w:rPr>
              <w:t>Definición operativa</w:t>
            </w:r>
          </w:p>
        </w:tc>
        <w:tc>
          <w:tcPr>
            <w:tcW w:w="3001" w:type="dxa"/>
            <w:tcBorders>
              <w:top w:val="single" w:sz="4" w:space="0" w:color="000000"/>
              <w:start w:val="single" w:sz="4" w:space="0" w:color="000000"/>
              <w:bottom w:val="single" w:sz="4" w:space="0" w:color="000000"/>
              <w:end w:val="single" w:sz="4" w:space="0" w:color="000000"/>
            </w:tcBorders>
            <w:shd w:color="auto" w:fill="D5E8F0"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b/>
                <w:bCs/>
                <w:sz w:val="22"/>
                <w:szCs w:val="22"/>
              </w:rPr>
              <w:t>Interpretación</w:t>
            </w:r>
          </w:p>
        </w:tc>
        <w:tc>
          <w:tcPr>
            <w:tcW w:w="1159" w:type="dxa"/>
            <w:gridSpan w:val="2"/>
            <w:tcBorders>
              <w:top w:val="single" w:sz="4" w:space="0" w:color="000000"/>
              <w:start w:val="single" w:sz="4" w:space="0" w:color="000000"/>
              <w:bottom w:val="single" w:sz="4" w:space="0" w:color="000000"/>
              <w:end w:val="single" w:sz="4" w:space="0" w:color="000000"/>
            </w:tcBorders>
            <w:shd w:color="auto" w:fill="D5E8F0"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b/>
                <w:bCs/>
                <w:sz w:val="22"/>
                <w:szCs w:val="22"/>
              </w:rPr>
              <w:t>Dirección</w:t>
            </w:r>
          </w:p>
        </w:tc>
      </w:tr>
      <w:tr>
        <w:trPr/>
        <w:tc>
          <w:tcPr>
            <w:tcW w:w="1698" w:type="dxa"/>
            <w:gridSpan w:val="2"/>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start"/>
              <w:rPr/>
            </w:pPr>
            <w:r>
              <w:rPr>
                <w:rFonts w:eastAsia="Times New Roman" w:cs="Times New Roman"/>
                <w:sz w:val="22"/>
                <w:szCs w:val="22"/>
              </w:rPr>
              <w:t>EN</w:t>
            </w:r>
          </w:p>
        </w:tc>
        <w:tc>
          <w:tcPr>
            <w:tcW w:w="3502" w:type="dxa"/>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Entropía de Shannon del histograma de la imagen fusionada</w:t>
            </w:r>
          </w:p>
        </w:tc>
        <w:tc>
          <w:tcPr>
            <w:tcW w:w="3001" w:type="dxa"/>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Riqueza informacional global</w:t>
            </w:r>
          </w:p>
        </w:tc>
        <w:tc>
          <w:tcPr>
            <w:tcW w:w="1159" w:type="dxa"/>
            <w:gridSpan w:val="2"/>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8" w:type="dxa"/>
            <w:gridSpan w:val="2"/>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start"/>
              <w:rPr/>
            </w:pPr>
            <w:r>
              <w:rPr>
                <w:rFonts w:eastAsia="Times New Roman" w:cs="Times New Roman"/>
                <w:sz w:val="22"/>
                <w:szCs w:val="22"/>
              </w:rPr>
              <w:t>SD</w:t>
            </w:r>
          </w:p>
        </w:tc>
        <w:tc>
          <w:tcPr>
            <w:tcW w:w="3502" w:type="dxa"/>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Desviación estándar de los niveles de gris</w:t>
            </w:r>
          </w:p>
        </w:tc>
        <w:tc>
          <w:tcPr>
            <w:tcW w:w="3001" w:type="dxa"/>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Contraste global</w:t>
            </w:r>
          </w:p>
        </w:tc>
        <w:tc>
          <w:tcPr>
            <w:tcW w:w="1159" w:type="dxa"/>
            <w:gridSpan w:val="2"/>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8" w:type="dxa"/>
            <w:gridSpan w:val="2"/>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start"/>
              <w:rPr/>
            </w:pPr>
            <w:r>
              <w:rPr>
                <w:rFonts w:eastAsia="Times New Roman" w:cs="Times New Roman"/>
                <w:sz w:val="22"/>
                <w:szCs w:val="22"/>
              </w:rPr>
              <w:t>FE</w:t>
            </w:r>
          </w:p>
        </w:tc>
        <w:tc>
          <w:tcPr>
            <w:tcW w:w="3502" w:type="dxa"/>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EN(F) ÷ media(EN(VIS), EN(IR))</w:t>
            </w:r>
          </w:p>
        </w:tc>
        <w:tc>
          <w:tcPr>
            <w:tcW w:w="3001" w:type="dxa"/>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Ganancia informacional sobre las fuentes</w:t>
            </w:r>
          </w:p>
        </w:tc>
        <w:tc>
          <w:tcPr>
            <w:tcW w:w="1159" w:type="dxa"/>
            <w:gridSpan w:val="2"/>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8" w:type="dxa"/>
            <w:gridSpan w:val="2"/>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start"/>
              <w:rPr/>
            </w:pPr>
            <w:r>
              <w:rPr>
                <w:rFonts w:eastAsia="Times New Roman" w:cs="Times New Roman"/>
                <w:sz w:val="22"/>
                <w:szCs w:val="22"/>
              </w:rPr>
              <w:t>MG</w:t>
            </w:r>
          </w:p>
        </w:tc>
        <w:tc>
          <w:tcPr>
            <w:tcW w:w="3502" w:type="dxa"/>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Promedio de la magnitud del gradiente</w:t>
            </w:r>
          </w:p>
        </w:tc>
        <w:tc>
          <w:tcPr>
            <w:tcW w:w="3001" w:type="dxa"/>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Nitidez y preservación de bordes</w:t>
            </w:r>
          </w:p>
        </w:tc>
        <w:tc>
          <w:tcPr>
            <w:tcW w:w="1159" w:type="dxa"/>
            <w:gridSpan w:val="2"/>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8" w:type="dxa"/>
            <w:gridSpan w:val="2"/>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start"/>
              <w:rPr/>
            </w:pPr>
            <w:r>
              <w:rPr>
                <w:rFonts w:eastAsia="Times New Roman" w:cs="Times New Roman"/>
                <w:sz w:val="22"/>
                <w:szCs w:val="22"/>
              </w:rPr>
              <w:t>MI_vis</w:t>
            </w:r>
          </w:p>
        </w:tc>
        <w:tc>
          <w:tcPr>
            <w:tcW w:w="3502" w:type="dxa"/>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Información mutua entre F y la imagen VIS</w:t>
            </w:r>
          </w:p>
        </w:tc>
        <w:tc>
          <w:tcPr>
            <w:tcW w:w="3001" w:type="dxa"/>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Fidelidad a la fuente visible</w:t>
            </w:r>
          </w:p>
        </w:tc>
        <w:tc>
          <w:tcPr>
            <w:tcW w:w="1159" w:type="dxa"/>
            <w:gridSpan w:val="2"/>
            <w:tcBorders>
              <w:top w:val="single" w:sz="4" w:space="0" w:color="000000"/>
              <w:start w:val="single" w:sz="4" w:space="0" w:color="000000"/>
              <w:bottom w:val="single" w:sz="4" w:space="0" w:color="000000"/>
              <w:end w:val="single" w:sz="4" w:space="0" w:color="000000"/>
            </w:tcBorders>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8" w:type="dxa"/>
            <w:gridSpan w:val="2"/>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start"/>
              <w:rPr/>
            </w:pPr>
            <w:r>
              <w:rPr>
                <w:rFonts w:eastAsia="Times New Roman" w:cs="Times New Roman"/>
                <w:sz w:val="22"/>
                <w:szCs w:val="22"/>
              </w:rPr>
              <w:t>MI_ir</w:t>
            </w:r>
          </w:p>
        </w:tc>
        <w:tc>
          <w:tcPr>
            <w:tcW w:w="3502" w:type="dxa"/>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Información mutua entre F y la imagen IR</w:t>
            </w:r>
          </w:p>
        </w:tc>
        <w:tc>
          <w:tcPr>
            <w:tcW w:w="3001" w:type="dxa"/>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Fidelidad a la fuente infrarroja</w:t>
            </w:r>
          </w:p>
        </w:tc>
        <w:tc>
          <w:tcPr>
            <w:tcW w:w="1159" w:type="dxa"/>
            <w:gridSpan w:val="2"/>
            <w:tcBorders>
              <w:top w:val="single" w:sz="4" w:space="0" w:color="000000"/>
              <w:start w:val="single" w:sz="4" w:space="0" w:color="000000"/>
              <w:bottom w:val="single" w:sz="4" w:space="0" w:color="000000"/>
              <w:end w:val="single" w:sz="4" w:space="0" w:color="000000"/>
            </w:tcBorders>
            <w:shd w:color="auto" w:fill="F4F7F6" w:val="clear"/>
            <w:tcMar>
              <w:top w:w="80" w:type="dxa"/>
              <w:start w:w="120" w:type="dxa"/>
              <w:bottom w:w="80" w:type="dxa"/>
              <w:end w:w="120" w:type="dxa"/>
            </w:tcMar>
          </w:tcPr>
          <w:p>
            <w:pPr>
              <w:pStyle w:val="Normal"/>
              <w:widowControl w:val="false"/>
              <w:spacing w:lineRule="auto" w:line="276" w:before="0" w:after="120"/>
              <w:jc w:val="center"/>
              <w:rPr/>
            </w:pPr>
            <w:r>
              <w:rPr>
                <w:rFonts w:eastAsia="Times New Roman" w:cs="Times New Roman"/>
                <w:sz w:val="22"/>
                <w:szCs w:val="22"/>
              </w:rPr>
              <w:t>↑</w:t>
            </w:r>
          </w:p>
        </w:tc>
      </w:tr>
      <w:tr>
        <w:trPr/>
        <w:tc>
          <w:tcPr>
            <w:tcW w:w="1698"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SF</w:t>
            </w:r>
          </w:p>
        </w:tc>
        <w:tc>
          <w:tcPr>
            <w:tcW w:w="350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Frecuencia espacial: actividad espacial global (filas y columnas)</w:t>
            </w:r>
          </w:p>
        </w:tc>
        <w:tc>
          <w:tcPr>
            <w:tcW w:w="30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Detalle y textura global</w:t>
            </w:r>
          </w:p>
        </w:tc>
        <w:tc>
          <w:tcPr>
            <w:tcW w:w="1159"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w:t>
            </w:r>
          </w:p>
        </w:tc>
      </w:tr>
      <w:tr>
        <w:trPr/>
        <w:tc>
          <w:tcPr>
            <w:tcW w:w="1698"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Qabf</w:t>
            </w:r>
          </w:p>
        </w:tc>
        <w:tc>
          <w:tcPr>
            <w:tcW w:w="350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Información de borde de las fuentes transferida a la fusión (Xydeas-Petrovic)</w:t>
            </w:r>
          </w:p>
        </w:tc>
        <w:tc>
          <w:tcPr>
            <w:tcW w:w="30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Preservación de bordes</w:t>
            </w:r>
          </w:p>
        </w:tc>
        <w:tc>
          <w:tcPr>
            <w:tcW w:w="1159"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w:t>
            </w:r>
          </w:p>
        </w:tc>
      </w:tr>
      <w:tr>
        <w:trPr/>
        <w:tc>
          <w:tcPr>
            <w:tcW w:w="1698"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Nabf</w:t>
            </w:r>
          </w:p>
        </w:tc>
        <w:tc>
          <w:tcPr>
            <w:tcW w:w="350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Bordes/ruido añadidos por la fusión inexistentes en las fuentes</w:t>
            </w:r>
          </w:p>
        </w:tc>
        <w:tc>
          <w:tcPr>
            <w:tcW w:w="30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Artefactos (menor es mejor)</w:t>
            </w:r>
          </w:p>
        </w:tc>
        <w:tc>
          <w:tcPr>
            <w:tcW w:w="1159"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w:t>
            </w:r>
          </w:p>
        </w:tc>
      </w:tr>
      <w:tr>
        <w:trPr/>
        <w:tc>
          <w:tcPr>
            <w:tcW w:w="1698"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SSIM</w:t>
            </w:r>
          </w:p>
        </w:tc>
        <w:tc>
          <w:tcPr>
            <w:tcW w:w="350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Similitud estructural promedio respecto a VIS e IR</w:t>
            </w:r>
          </w:p>
        </w:tc>
        <w:tc>
          <w:tcPr>
            <w:tcW w:w="30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Fidelidad estructural</w:t>
            </w:r>
          </w:p>
        </w:tc>
        <w:tc>
          <w:tcPr>
            <w:tcW w:w="1159"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w:t>
            </w:r>
          </w:p>
        </w:tc>
      </w:tr>
      <w:tr>
        <w:trPr/>
        <w:tc>
          <w:tcPr>
            <w:tcW w:w="1698"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SCD</w:t>
            </w:r>
          </w:p>
        </w:tc>
        <w:tc>
          <w:tcPr>
            <w:tcW w:w="350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Suma de correlaciones de las diferencias (Aslantas-Bendes)</w:t>
            </w:r>
          </w:p>
        </w:tc>
        <w:tc>
          <w:tcPr>
            <w:tcW w:w="30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Información de fuente retenida</w:t>
            </w:r>
          </w:p>
        </w:tc>
        <w:tc>
          <w:tcPr>
            <w:tcW w:w="1159"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w:t>
            </w:r>
          </w:p>
        </w:tc>
      </w:tr>
      <w:tr>
        <w:trPr/>
        <w:tc>
          <w:tcPr>
            <w:tcW w:w="1698"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VIF</w:t>
            </w:r>
          </w:p>
        </w:tc>
        <w:tc>
          <w:tcPr>
            <w:tcW w:w="3502"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Fidelidad de información visual promedio (Sheikh-Bovik)</w:t>
            </w:r>
          </w:p>
        </w:tc>
        <w:tc>
          <w:tcPr>
            <w:tcW w:w="300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Fidelidad perceptual</w:t>
            </w:r>
          </w:p>
        </w:tc>
        <w:tc>
          <w:tcPr>
            <w:tcW w:w="1159" w:type="dxa"/>
            <w:gridSpan w:val="2"/>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rPr/>
            </w:pPr>
            <w:r>
              <w:rPr>
                <w:rFonts w:eastAsia="Times New Roman" w:cs="Times New Roman"/>
              </w:rPr>
              <w:t>↑</w:t>
            </w:r>
          </w:p>
        </w:tc>
      </w:tr>
    </w:tbl>
    <w:p>
      <w:pPr>
        <w:pStyle w:val="Heading1"/>
        <w:spacing w:before="0" w:after="240"/>
        <w:jc w:val="start"/>
        <w:rPr/>
      </w:pPr>
      <w:r>
        <w:br w:type="page"/>
      </w:r>
      <w:r>
        <w:rPr>
          <w:rFonts w:eastAsia="Times New Roman" w:cs="Times New Roman"/>
          <w:b/>
          <w:bCs/>
          <w:color w:val="000000"/>
          <w:sz w:val="24"/>
          <w:szCs w:val="28"/>
        </w:rPr>
        <w:t>3. MARCO CONCEPTUAL</w:t>
      </w:r>
    </w:p>
    <w:p>
      <w:pPr>
        <w:pStyle w:val="Heading2"/>
        <w:spacing w:before="240" w:after="120"/>
        <w:jc w:val="start"/>
        <w:rPr/>
      </w:pPr>
      <w:r>
        <w:rPr>
          <w:rFonts w:eastAsia="Times New Roman" w:cs="Times New Roman"/>
          <w:b/>
          <w:bCs/>
          <w:color w:val="000000"/>
          <w:sz w:val="24"/>
          <w:szCs w:val="26"/>
        </w:rPr>
        <w:t>3.1 Imagen visible (VIS)</w:t>
      </w:r>
    </w:p>
    <w:p>
      <w:pPr>
        <w:pStyle w:val="Normal"/>
        <w:spacing w:lineRule="auto" w:line="360" w:before="0" w:after="160"/>
        <w:ind w:firstLine="709"/>
        <w:jc w:val="both"/>
        <w:rPr/>
      </w:pPr>
      <w:r>
        <w:rPr>
          <w:rFonts w:eastAsia="Times New Roman" w:cs="Times New Roman"/>
          <w:sz w:val="24"/>
          <w:szCs w:val="24"/>
        </w:rPr>
        <w:t>Imagen capturada en el rango espectral de 400 a 700 nanómetros, correspondiente a la sensibilidad del ojo humano. Resolución típica alta y dependencia fuerte de la iluminación ambiente.</w:t>
      </w:r>
    </w:p>
    <w:p>
      <w:pPr>
        <w:pStyle w:val="Heading2"/>
        <w:spacing w:before="240" w:after="120"/>
        <w:jc w:val="start"/>
        <w:rPr/>
      </w:pPr>
      <w:r>
        <w:rPr>
          <w:rFonts w:eastAsia="Times New Roman" w:cs="Times New Roman"/>
          <w:b/>
          <w:bCs/>
          <w:color w:val="000000"/>
          <w:sz w:val="24"/>
          <w:szCs w:val="26"/>
        </w:rPr>
        <w:t>3.2 Imagen infrarroja (IR)</w:t>
      </w:r>
    </w:p>
    <w:p>
      <w:pPr>
        <w:pStyle w:val="Normal"/>
        <w:spacing w:lineRule="auto" w:line="360" w:before="0" w:after="160"/>
        <w:ind w:firstLine="709"/>
        <w:jc w:val="both"/>
        <w:rPr/>
      </w:pPr>
      <w:r>
        <w:rPr>
          <w:rFonts w:eastAsia="Times New Roman" w:cs="Times New Roman"/>
          <w:sz w:val="24"/>
          <w:szCs w:val="24"/>
        </w:rPr>
        <w:t>Imagen capturada en el rango térmico (típicamente 8 a 14 micras, IR de onda larga) que registra la radiación emitida por los cuerpos en función de su temperatura. Resolución espacial típicamente inferior a la VIS pero independiente de la iluminación visible.</w:t>
      </w:r>
    </w:p>
    <w:p>
      <w:pPr>
        <w:pStyle w:val="Heading2"/>
        <w:spacing w:before="240" w:after="120"/>
        <w:jc w:val="start"/>
        <w:rPr/>
      </w:pPr>
      <w:r>
        <w:rPr>
          <w:rFonts w:eastAsia="Times New Roman" w:cs="Times New Roman"/>
          <w:b/>
          <w:bCs/>
          <w:color w:val="000000"/>
          <w:sz w:val="24"/>
          <w:szCs w:val="26"/>
        </w:rPr>
        <w:t>3.3 Elemento estructurante (SE)</w:t>
      </w:r>
    </w:p>
    <w:p>
      <w:pPr>
        <w:pStyle w:val="Normal"/>
        <w:spacing w:lineRule="auto" w:line="360" w:before="0" w:after="160"/>
        <w:ind w:firstLine="709"/>
        <w:jc w:val="both"/>
        <w:rPr/>
      </w:pPr>
      <w:r>
        <w:rPr>
          <w:rFonts w:eastAsia="Times New Roman" w:cs="Times New Roman"/>
          <w:sz w:val="24"/>
          <w:szCs w:val="24"/>
        </w:rPr>
        <w:t>Conjunto plano y compacto que define la geometría del vecindario sobre el que actúan las operaciones morfológicas. En esta tesis se exploran SE de tipo disco, cuadrado y cruz, con radios de 2, 3 y 5 píxeles.</w:t>
      </w:r>
    </w:p>
    <w:p>
      <w:pPr>
        <w:pStyle w:val="Heading2"/>
        <w:spacing w:before="240" w:after="120"/>
        <w:jc w:val="start"/>
        <w:rPr/>
      </w:pPr>
      <w:r>
        <w:rPr>
          <w:rFonts w:eastAsia="Times New Roman" w:cs="Times New Roman"/>
          <w:b/>
          <w:bCs/>
          <w:color w:val="000000"/>
          <w:sz w:val="24"/>
          <w:szCs w:val="26"/>
        </w:rPr>
        <w:t>3.4 White Top-Hat (WTH)</w:t>
      </w:r>
    </w:p>
    <w:p>
      <w:pPr>
        <w:pStyle w:val="Normal"/>
        <w:spacing w:lineRule="auto" w:line="360" w:before="0" w:after="160"/>
        <w:ind w:firstLine="709"/>
        <w:jc w:val="both"/>
        <w:rPr/>
      </w:pPr>
      <w:r>
        <w:rPr>
          <w:rFonts w:eastAsia="Times New Roman" w:cs="Times New Roman"/>
          <w:sz w:val="24"/>
          <w:szCs w:val="24"/>
        </w:rPr>
        <w:t>Operador morfológico definido como la diferencia entre la imagen original y su apertura. Aísla las estructuras brillantes locales menores que el SE.</w:t>
      </w:r>
    </w:p>
    <w:p>
      <w:pPr>
        <w:pStyle w:val="Heading2"/>
        <w:jc w:val="start"/>
        <w:rPr/>
      </w:pPr>
      <w:r>
        <w:rPr>
          <w:rFonts w:eastAsia="Times New Roman" w:cs="Times New Roman"/>
          <w:b/>
          <w:color w:val="000000"/>
          <w:sz w:val="24"/>
        </w:rPr>
        <w:t>3.5 Black Top-Hat (BTH)</w:t>
      </w:r>
    </w:p>
    <w:p>
      <w:pPr>
        <w:pStyle w:val="Normal"/>
        <w:spacing w:lineRule="auto" w:line="360"/>
        <w:ind w:firstLine="709"/>
        <w:jc w:val="both"/>
        <w:rPr/>
      </w:pPr>
      <w:r>
        <w:rPr>
          <w:rFonts w:eastAsia="Times New Roman" w:cs="Times New Roman"/>
        </w:rPr>
        <w:t>Operador morfológico dual del WTH, definido como la diferencia entre el cierre de la imagen y la imagen original: BTH(f, b) = φ(f, b) − f. Aísla las estructuras oscuras locales (valles) menores que el SE. Incorporarlo permite capturar simultáneamente el detalle brillante (vía WTH) y el detalle oscuro (vía BTH) de cada escala.</w:t>
      </w:r>
    </w:p>
    <w:p>
      <w:pPr>
        <w:pStyle w:val="Heading2"/>
        <w:spacing w:before="240" w:after="120"/>
        <w:jc w:val="start"/>
        <w:rPr/>
      </w:pPr>
      <w:r>
        <w:rPr>
          <w:rFonts w:eastAsia="Times New Roman" w:cs="Times New Roman"/>
          <w:b/>
          <w:bCs/>
          <w:color w:val="000000"/>
          <w:sz w:val="24"/>
          <w:szCs w:val="26"/>
        </w:rPr>
        <w:t>3.6 Descomposición multiescala</w:t>
      </w:r>
    </w:p>
    <w:p>
      <w:pPr>
        <w:pStyle w:val="Normal"/>
        <w:spacing w:lineRule="auto" w:line="360" w:before="0" w:after="160"/>
        <w:ind w:firstLine="709"/>
        <w:jc w:val="both"/>
        <w:rPr/>
      </w:pPr>
      <w:r>
        <w:rPr>
          <w:rFonts w:eastAsia="Times New Roman" w:cs="Times New Roman"/>
          <w:sz w:val="24"/>
          <w:szCs w:val="24"/>
        </w:rPr>
        <w:t>Representación de una imagen como suma de capas que aíslan estructuras a distintas escalas. En esta tesis se construye iterativamente aplicando WTH con SE de radio creciente.</w:t>
      </w:r>
    </w:p>
    <w:p>
      <w:pPr>
        <w:pStyle w:val="Heading2"/>
        <w:spacing w:before="240" w:after="120"/>
        <w:jc w:val="start"/>
        <w:rPr/>
      </w:pPr>
      <w:r>
        <w:rPr>
          <w:rFonts w:eastAsia="Times New Roman" w:cs="Times New Roman"/>
          <w:b/>
          <w:bCs/>
          <w:color w:val="000000"/>
          <w:sz w:val="24"/>
          <w:szCs w:val="26"/>
        </w:rPr>
        <w:t>3.7 Regla de fusión por actividad local</w:t>
      </w:r>
    </w:p>
    <w:p>
      <w:pPr>
        <w:pStyle w:val="Normal"/>
        <w:spacing w:lineRule="auto" w:line="360" w:before="0" w:after="160"/>
        <w:ind w:firstLine="709"/>
        <w:jc w:val="both"/>
        <w:rPr/>
      </w:pPr>
      <w:r>
        <w:rPr>
          <w:rFonts w:eastAsia="Times New Roman" w:cs="Times New Roman"/>
          <w:sz w:val="24"/>
          <w:szCs w:val="24"/>
        </w:rPr>
        <w:t>Mecanismo de selección capa-a-capa que escoge el aporte de la fuente cuya actividad local (magnitud del coeficiente suavizada con un kernel gaussiano) es mayor en cada posición.</w:t>
      </w:r>
    </w:p>
    <w:p>
      <w:pPr>
        <w:pStyle w:val="Heading2"/>
        <w:spacing w:before="240" w:after="120"/>
        <w:jc w:val="start"/>
        <w:rPr/>
      </w:pPr>
      <w:r>
        <w:rPr>
          <w:rFonts w:eastAsia="Times New Roman" w:cs="Times New Roman"/>
          <w:b/>
          <w:bCs/>
          <w:color w:val="000000"/>
          <w:sz w:val="24"/>
          <w:szCs w:val="26"/>
        </w:rPr>
        <w:t>3.8 Métrica sin referencia</w:t>
      </w:r>
    </w:p>
    <w:p>
      <w:pPr>
        <w:pStyle w:val="Normal"/>
        <w:spacing w:lineRule="auto" w:line="360" w:before="0" w:after="160"/>
        <w:ind w:firstLine="709"/>
        <w:jc w:val="both"/>
        <w:rPr/>
      </w:pPr>
      <w:r>
        <w:rPr>
          <w:rFonts w:eastAsia="Times New Roman" w:cs="Times New Roman"/>
          <w:sz w:val="24"/>
          <w:szCs w:val="24"/>
        </w:rPr>
        <w:t>Indicador cuantitativo de calidad calculado únicamente a partir de la imagen fusionada o de su relación con las fuentes, sin requerir una imagen objetivo conocida.</w:t>
      </w:r>
    </w:p>
    <w:p>
      <w:pPr>
        <w:pStyle w:val="Heading2"/>
        <w:spacing w:before="240" w:after="120"/>
        <w:jc w:val="start"/>
        <w:rPr/>
      </w:pPr>
      <w:r>
        <w:rPr>
          <w:rFonts w:eastAsia="Times New Roman" w:cs="Times New Roman"/>
          <w:b/>
          <w:bCs/>
          <w:color w:val="000000"/>
          <w:sz w:val="24"/>
          <w:szCs w:val="26"/>
        </w:rPr>
        <w:t>3.9 Prueba de Friedman</w:t>
      </w:r>
    </w:p>
    <w:p>
      <w:pPr>
        <w:pStyle w:val="Normal"/>
        <w:spacing w:lineRule="auto" w:line="360" w:before="0" w:after="160"/>
        <w:ind w:firstLine="709"/>
        <w:jc w:val="both"/>
        <w:rPr/>
      </w:pPr>
      <w:r>
        <w:rPr>
          <w:rFonts w:eastAsia="Times New Roman" w:cs="Times New Roman"/>
          <w:sz w:val="24"/>
          <w:szCs w:val="24"/>
        </w:rPr>
        <w:t>Prueba estadística no paramétrica para muestras relacionadas con tres o más tratamientos. Se utiliza para detectar diferencias globales entre métodos cuando los datos no cumplen normalidad.</w:t>
      </w:r>
    </w:p>
    <w:p>
      <w:pPr>
        <w:pStyle w:val="Heading2"/>
        <w:spacing w:before="240" w:after="120"/>
        <w:jc w:val="start"/>
        <w:rPr/>
      </w:pPr>
      <w:r>
        <w:rPr>
          <w:rFonts w:eastAsia="Times New Roman" w:cs="Times New Roman"/>
          <w:b/>
          <w:bCs/>
          <w:color w:val="000000"/>
          <w:sz w:val="24"/>
          <w:szCs w:val="26"/>
        </w:rPr>
        <w:t>3.10 Prueba de Wilcoxon</w:t>
      </w:r>
    </w:p>
    <w:p>
      <w:pPr>
        <w:pStyle w:val="Normal"/>
        <w:spacing w:lineRule="auto" w:line="360" w:before="0" w:after="160"/>
        <w:ind w:firstLine="709"/>
        <w:jc w:val="both"/>
        <w:rPr/>
      </w:pPr>
      <w:r>
        <w:rPr>
          <w:rFonts w:eastAsia="Times New Roman" w:cs="Times New Roman"/>
          <w:sz w:val="24"/>
          <w:szCs w:val="24"/>
        </w:rPr>
        <w:t>Prueba estadística no paramétrica de rangos signados para comparaciones pareadas, utilizada en esta tesis para confrontar cada configuración Top-Hat contra cada baseline.</w:t>
      </w:r>
    </w:p>
    <w:p>
      <w:pPr>
        <w:pStyle w:val="Heading2"/>
        <w:jc w:val="start"/>
        <w:rPr/>
      </w:pPr>
      <w:r>
        <w:rPr>
          <w:rFonts w:eastAsia="Times New Roman" w:cs="Times New Roman"/>
          <w:b/>
          <w:color w:val="000000"/>
          <w:sz w:val="24"/>
        </w:rPr>
        <w:t>3.11 Elemento estructurante lineal</w:t>
      </w:r>
    </w:p>
    <w:p>
      <w:pPr>
        <w:pStyle w:val="Normal"/>
        <w:spacing w:lineRule="auto" w:line="360"/>
        <w:ind w:firstLine="709"/>
        <w:jc w:val="both"/>
        <w:rPr/>
      </w:pPr>
      <w:r>
        <w:rPr>
          <w:rFonts w:eastAsia="Times New Roman" w:cs="Times New Roman"/>
        </w:rPr>
        <w:t>Segmento recto de longitud 2r+1 orientado a un ángulo determinado (0°, 45°, 90° o 135°), usado como elemento estructurante para resaltar estructuras alargadas en esa dirección. A diferencia del disco, que es isótropo, el SE lineal es direccional; el método óptimo combina un disco y cuatro líneas por escala para cubrir todas las orientaciones.</w:t>
      </w:r>
    </w:p>
    <w:p>
      <w:pPr>
        <w:pStyle w:val="Heading2"/>
        <w:jc w:val="start"/>
        <w:rPr/>
      </w:pPr>
      <w:r>
        <w:rPr>
          <w:rFonts w:eastAsia="Times New Roman" w:cs="Times New Roman"/>
          <w:b/>
          <w:color w:val="000000"/>
          <w:sz w:val="24"/>
        </w:rPr>
        <w:t>3.12 Combinación de respuestas por suma</w:t>
      </w:r>
    </w:p>
    <w:p>
      <w:pPr>
        <w:pStyle w:val="Normal"/>
        <w:spacing w:lineRule="auto" w:line="360"/>
        <w:ind w:firstLine="709"/>
        <w:jc w:val="both"/>
        <w:rPr/>
      </w:pPr>
      <w:r>
        <w:rPr>
          <w:rFonts w:eastAsia="Times New Roman" w:cs="Times New Roman"/>
        </w:rPr>
        <w:t>Regla que, dadas las transformadas Top-Hat obtenidas con distintos elementos estructurantes sobre la misma imagen, acumula sus respuestas sumándolas píxel a píxel (la lineal promediada y la del disco), de modo que las estructuras captadas por cada geometría contribuyen conjuntamente al detalle extraído.</w:t>
      </w:r>
    </w:p>
    <w:p>
      <w:pPr>
        <w:pStyle w:val="Heading2"/>
        <w:jc w:val="start"/>
        <w:rPr/>
      </w:pPr>
      <w:r>
        <w:rPr>
          <w:rFonts w:eastAsia="Times New Roman" w:cs="Times New Roman"/>
          <w:b/>
          <w:color w:val="000000"/>
          <w:sz w:val="24"/>
        </w:rPr>
        <w:t>3.13 Fusión Top-Hat clásica</w:t>
      </w:r>
    </w:p>
    <w:p>
      <w:pPr>
        <w:pStyle w:val="Normal"/>
        <w:spacing w:lineRule="auto" w:line="360"/>
        <w:ind w:firstLine="709"/>
        <w:jc w:val="both"/>
        <w:rPr/>
      </w:pPr>
      <w:r>
        <w:rPr>
          <w:rFonts w:eastAsia="Times New Roman" w:cs="Times New Roman"/>
        </w:rPr>
        <w:t xml:space="preserve">Esquema de fusión morfológica de referencia: White y Black Top-Hat con un único disco sobre cada fuente, combinación del detalle entre fuentes por máximo píxel a píxel y reconstrucción aditivo–sustractiva sin ponderación sobre la imagen base.</w:t>
      </w:r>
    </w:p>
    <w:p>
      <w:pPr>
        <w:pStyle w:val="Heading2"/>
        <w:jc w:val="start"/>
        <w:rPr/>
      </w:pPr>
      <w:r>
        <w:rPr>
          <w:rFonts w:eastAsia="Times New Roman" w:cs="Times New Roman"/>
          <w:b/>
          <w:color w:val="000000"/>
          <w:sz w:val="24"/>
        </w:rPr>
        <w:t>3.14 Peso de ajuste de contraste (m)</w:t>
      </w:r>
    </w:p>
    <w:p>
      <w:pPr>
        <w:pStyle w:val="Normal"/>
        <w:spacing w:lineRule="auto" w:line="360"/>
        <w:ind w:firstLine="709"/>
        <w:jc w:val="both"/>
        <w:rPr/>
      </w:pPr>
      <w:r>
        <w:rPr>
          <w:rFonts w:eastAsia="Times New Roman" w:cs="Times New Roman"/>
        </w:rPr>
        <w:t>Escalar que pondera cuánto se suman los realces brillantes (WTH) y se restan los oscuros (BTH) sobre la imagen base en la regla de fusión. Valores altos aumentan el contraste a riesgo de artefactos; valores bajos preservan la fidelidad a las fuentes. En el método óptimo se ajusta automáticamente por PSO.</w:t>
      </w:r>
    </w:p>
    <w:p>
      <w:pPr>
        <w:pStyle w:val="Heading2"/>
        <w:jc w:val="start"/>
        <w:rPr/>
      </w:pPr>
      <w:r>
        <w:rPr>
          <w:rFonts w:eastAsia="Times New Roman" w:cs="Times New Roman"/>
          <w:b/>
          <w:color w:val="000000"/>
          <w:sz w:val="24"/>
        </w:rPr>
        <w:t>3.15 Optimización por Enjambre de Partículas (PSO)</w:t>
      </w:r>
    </w:p>
    <w:p>
      <w:pPr>
        <w:pStyle w:val="Normal"/>
        <w:spacing w:lineRule="auto" w:line="360"/>
        <w:ind w:firstLine="709"/>
        <w:jc w:val="both"/>
        <w:rPr/>
      </w:pPr>
      <w:r>
        <w:rPr>
          <w:rFonts w:eastAsia="Times New Roman" w:cs="Times New Roman"/>
        </w:rPr>
        <w:t>Metaheurística poblacional (Kennedy y Eberhart, 1995) que busca el óptimo de una función moviendo un conjunto de partículas según su mejor posición individual (pbest) y la mejor global del enjambre (gbest). En esta tesis ajusta automáticamente los hiperparámetros (r, m) dla Propuesta Novedosa.</w:t>
      </w:r>
    </w:p>
    <w:p>
      <w:pPr>
        <w:pStyle w:val="Heading2"/>
        <w:jc w:val="start"/>
        <w:rPr/>
      </w:pPr>
      <w:r>
        <w:rPr>
          <w:rFonts w:eastAsia="Times New Roman" w:cs="Times New Roman"/>
          <w:b/>
          <w:color w:val="000000"/>
          <w:sz w:val="24"/>
        </w:rPr>
        <w:t>3.16 Función de aptitud</w:t>
      </w:r>
    </w:p>
    <w:p>
      <w:pPr>
        <w:pStyle w:val="Normal"/>
        <w:spacing w:lineRule="auto" w:line="360"/>
        <w:ind w:firstLine="709"/>
        <w:jc w:val="both"/>
        <w:rPr/>
      </w:pPr>
      <w:r>
        <w:rPr>
          <w:rFonts w:eastAsia="Times New Roman" w:cs="Times New Roman"/>
        </w:rPr>
        <w:t>Criterio escalar que el PSO maximiza para evaluar cada solución candidata. Aquí es una combinación orientada a la fusión, Fo = SSIMavg + En + PSNRn, que premia la fidelidad estructural, la preservación de bordes y la correlación, y penaliza los artefactos.</w:t>
      </w:r>
      <w:r>
        <w:br w:type="page"/>
      </w:r>
    </w:p>
    <w:p>
      <w:pPr>
        <w:pStyle w:val="Heading1"/>
        <w:spacing w:before="0" w:after="240"/>
        <w:jc w:val="start"/>
        <w:rPr/>
      </w:pPr>
      <w:r>
        <w:rPr>
          <w:rFonts w:eastAsia="Times New Roman" w:cs="Times New Roman"/>
          <w:b/>
          <w:bCs/>
          <w:color w:val="000000"/>
          <w:sz w:val="24"/>
          <w:szCs w:val="28"/>
        </w:rPr>
        <w:t>4. MARCO METODOLÓGICO</w:t>
      </w:r>
    </w:p>
    <w:p>
      <w:pPr>
        <w:pStyle w:val="Heading2"/>
        <w:spacing w:before="240" w:after="120"/>
        <w:jc w:val="start"/>
        <w:rPr/>
      </w:pPr>
      <w:r>
        <w:rPr>
          <w:rFonts w:eastAsia="Times New Roman" w:cs="Times New Roman"/>
          <w:b/>
          <w:bCs/>
          <w:color w:val="000000"/>
          <w:sz w:val="24"/>
          <w:szCs w:val="26"/>
        </w:rPr>
        <w:t>4.1 Enfoque</w:t>
      </w:r>
    </w:p>
    <w:p>
      <w:pPr>
        <w:pStyle w:val="Normal"/>
        <w:spacing w:lineRule="auto" w:line="360" w:before="0" w:after="160"/>
        <w:ind w:firstLine="709"/>
        <w:jc w:val="both"/>
        <w:rPr/>
      </w:pPr>
      <w:r>
        <w:rPr>
          <w:rFonts w:eastAsia="Times New Roman" w:cs="Times New Roman"/>
          <w:sz w:val="24"/>
          <w:szCs w:val="24"/>
        </w:rPr>
        <w:t>La investigación adopta un enfoque cuantitativo. Todos los hallazgos se sostienen en mediciones numéricas sobre conjuntos de imágenes definidos a priori, calculadas mediante implementaciones reproducibles y contrastadas con pruebas estadísticas no paramétricas.</w:t>
      </w:r>
    </w:p>
    <w:p>
      <w:pPr>
        <w:pStyle w:val="Heading2"/>
        <w:spacing w:before="240" w:after="120"/>
        <w:jc w:val="start"/>
        <w:rPr/>
      </w:pPr>
      <w:r>
        <w:rPr>
          <w:rFonts w:eastAsia="Times New Roman" w:cs="Times New Roman"/>
          <w:b/>
          <w:bCs/>
          <w:color w:val="000000"/>
          <w:sz w:val="24"/>
          <w:szCs w:val="26"/>
        </w:rPr>
        <w:t>4.2 Tipo</w:t>
      </w:r>
    </w:p>
    <w:p>
      <w:pPr>
        <w:pStyle w:val="Normal"/>
        <w:spacing w:lineRule="auto" w:line="360" w:before="0" w:after="160"/>
        <w:ind w:firstLine="709"/>
        <w:jc w:val="both"/>
        <w:rPr/>
      </w:pPr>
      <w:r>
        <w:rPr>
          <w:rFonts w:eastAsia="Times New Roman" w:cs="Times New Roman"/>
          <w:sz w:val="24"/>
          <w:szCs w:val="24"/>
        </w:rPr>
        <w:t>La investigación es de tipo experimental, con carácter descriptivo y comparativo. Se manipulan sistemáticamente los hiperparámetros del método propuesto y se observan los efectos sobre las métricas de calidad. La comparación con baselines aporta el componente comparativo.</w:t>
      </w:r>
    </w:p>
    <w:p>
      <w:pPr>
        <w:pStyle w:val="Heading2"/>
        <w:spacing w:before="240" w:after="120"/>
        <w:jc w:val="start"/>
        <w:rPr/>
      </w:pPr>
      <w:r>
        <w:rPr>
          <w:rFonts w:eastAsia="Times New Roman" w:cs="Times New Roman"/>
          <w:b/>
          <w:bCs/>
          <w:color w:val="000000"/>
          <w:sz w:val="24"/>
          <w:szCs w:val="26"/>
        </w:rPr>
        <w:t>4.3 Diseño</w:t>
      </w:r>
    </w:p>
    <w:p>
      <w:pPr>
        <w:pStyle w:val="Normal"/>
        <w:spacing w:lineRule="auto" w:line="360" w:before="0" w:after="160"/>
        <w:ind w:firstLine="709"/>
        <w:jc w:val="both"/>
        <w:rPr/>
      </w:pPr>
      <w:r>
        <w:rPr>
          <w:rFonts w:eastAsia="Times New Roman" w:cs="Times New Roman"/>
        </w:rPr>
        <w:t xml:space="preserve">El diseño es comparativo inter-método: siete métodos de fusión —la Propuesta Novedosa, la metodología clásica Top-Hat y cinco representativos del estado del arte (LP, RP, DWT, DTCWT y CVT)— se aplican a cada uno de los 20 pares del dataset, totalizando 140 fusiones evaluadas con las nueve métricas sin referencia, base del análisis estadístico inter-método. Los dos hiperparámetros de la propuesta (el radio r del banco de elementos estructurantes y el peso de contraste m) se ajustan mediante PSO, seleccionando la configuración del enjambre con un barrido de 25 combinaciones (partículas 2–10 × iteraciones 10–50, replicando el diseño de Ortega y Espinoza, 2025) sobre un subconjunto de tres escenas representativas; la configuración óptima resultante (r = 25, m = 0,30) se compara sobre los 20 pares con las nueve métricas, incluyendo contrastes pareados de Wilcoxon con corrección de Holm.</w:t>
      </w:r>
    </w:p>
    <w:p>
      <w:pPr>
        <w:pStyle w:val="Heading2"/>
        <w:spacing w:before="240" w:after="120"/>
        <w:jc w:val="start"/>
        <w:rPr/>
      </w:pPr>
      <w:r>
        <w:rPr>
          <w:rFonts w:eastAsia="Times New Roman" w:cs="Times New Roman"/>
          <w:b/>
          <w:bCs/>
          <w:color w:val="000000"/>
          <w:sz w:val="24"/>
          <w:szCs w:val="26"/>
        </w:rPr>
        <w:t>4.4 Operacionalización de las variables</w:t>
      </w:r>
    </w:p>
    <w:tbl>
      <w:tblPr>
        <w:tblW w:w="9360" w:type="dxa"/>
        <w:jc w:val="start"/>
        <w:tblInd w:w="0" w:type="dxa"/>
        <w:tblLayout w:type="fixed"/>
        <w:tblCellMar>
          <w:top w:w="80" w:type="dxa"/>
          <w:start w:w="120" w:type="dxa"/>
          <w:bottom w:w="80" w:type="dxa"/>
          <w:end w:w="120" w:type="dxa"/>
        </w:tblCellMar>
      </w:tblPr>
      <w:tblGrid>
        <w:gridCol w:w="1900"/>
        <w:gridCol w:w="1499"/>
        <w:gridCol w:w="3700"/>
        <w:gridCol w:w="2261"/>
      </w:tblGrid>
      <w:tr>
        <w:trPr>
          <w:tblHeader w:val="true"/>
        </w:trPr>
        <w:tc>
          <w:tcPr>
            <w:tcW w:w="1900" w:type="dxa"/>
            <w:tcBorders>
              <w:top w:val="single" w:sz="4" w:space="0" w:color="000000"/>
              <w:start w:val="single" w:sz="4" w:space="0" w:color="000000"/>
              <w:bottom w:val="single" w:sz="4" w:space="0" w:color="000000"/>
              <w:end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Variable</w:t>
            </w:r>
          </w:p>
        </w:tc>
        <w:tc>
          <w:tcPr>
            <w:tcW w:w="1499" w:type="dxa"/>
            <w:tcBorders>
              <w:top w:val="single" w:sz="4" w:space="0" w:color="000000"/>
              <w:start w:val="single" w:sz="4" w:space="0" w:color="000000"/>
              <w:bottom w:val="single" w:sz="4" w:space="0" w:color="000000"/>
              <w:end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Tipo</w:t>
            </w:r>
          </w:p>
        </w:tc>
        <w:tc>
          <w:tcPr>
            <w:tcW w:w="3700" w:type="dxa"/>
            <w:tcBorders>
              <w:top w:val="single" w:sz="4" w:space="0" w:color="000000"/>
              <w:start w:val="single" w:sz="4" w:space="0" w:color="000000"/>
              <w:bottom w:val="single" w:sz="4" w:space="0" w:color="000000"/>
              <w:end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Definición operacional</w:t>
            </w:r>
          </w:p>
        </w:tc>
        <w:tc>
          <w:tcPr>
            <w:tcW w:w="2261" w:type="dxa"/>
            <w:tcBorders>
              <w:top w:val="single" w:sz="4" w:space="0" w:color="000000"/>
              <w:start w:val="single" w:sz="4" w:space="0" w:color="000000"/>
              <w:bottom w:val="single" w:sz="4" w:space="0" w:color="000000"/>
              <w:end w:val="single" w:sz="4" w:space="0" w:color="000000"/>
            </w:tcBorders>
            <w:shd w:color="auto" w:fill="D5E8F0" w:val="clear"/>
          </w:tcPr>
          <w:p>
            <w:pPr>
              <w:pStyle w:val="Normal"/>
              <w:widowControl w:val="false"/>
              <w:spacing w:lineRule="auto" w:line="276" w:before="0" w:after="120"/>
              <w:jc w:val="center"/>
              <w:rPr/>
            </w:pPr>
            <w:r>
              <w:rPr>
                <w:rFonts w:eastAsia="Times New Roman" w:cs="Times New Roman"/>
                <w:b/>
                <w:bCs/>
                <w:sz w:val="22"/>
                <w:szCs w:val="22"/>
              </w:rPr>
              <w:t>Indicador / Valores</w:t>
            </w:r>
          </w:p>
        </w:tc>
      </w:tr>
      <w:tr>
        <w:trPr/>
        <w:tc>
          <w:tcPr>
            <w:tcW w:w="1900"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Método</w:t>
            </w:r>
          </w:p>
        </w:tc>
        <w:tc>
          <w:tcPr>
            <w:tcW w:w="1499"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Independiente</w:t>
            </w:r>
          </w:p>
        </w:tc>
        <w:tc>
          <w:tcPr>
            <w:tcW w:w="3700"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Algoritmo de fusión empleado</w:t>
            </w:r>
          </w:p>
        </w:tc>
        <w:tc>
          <w:tcPr>
            <w:tcW w:w="2261"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 xml:space="preserve">7 métodos del benchmark (§4.3)</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19"/>
              </w:rPr>
              <w:t>Radio del SE (r)</w:t>
            </w:r>
          </w:p>
        </w:tc>
        <w:tc>
          <w:tcPr>
            <w:tcW w:w="149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19"/>
              </w:rPr>
              <w:t>Independiente</w:t>
            </w:r>
          </w:p>
        </w:tc>
        <w:tc>
          <w:tcPr>
            <w:tcW w:w="37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19"/>
              </w:rPr>
              <w:t>Radio del disco y longitud (2r+1) de las líneas del banco de SE</w:t>
            </w:r>
          </w:p>
        </w:tc>
        <w:tc>
          <w:tcPr>
            <w:tcW w:w="226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19"/>
              </w:rPr>
              <w:t>1–25 (ajustado por PSO)</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19"/>
              </w:rPr>
              <w:t>Peso de contraste (m)</w:t>
            </w:r>
          </w:p>
        </w:tc>
        <w:tc>
          <w:tcPr>
            <w:tcW w:w="149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19"/>
              </w:rPr>
              <w:t>Independiente</w:t>
            </w:r>
          </w:p>
        </w:tc>
        <w:tc>
          <w:tcPr>
            <w:tcW w:w="37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19"/>
              </w:rPr>
              <w:t>Ponderación del realce en la regla de fusión</w:t>
            </w:r>
          </w:p>
        </w:tc>
        <w:tc>
          <w:tcPr>
            <w:tcW w:w="226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19"/>
              </w:rPr>
              <w:t>0,05–1,20 (ajustado por PSO)</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Entropía (EN)</w:t>
            </w:r>
          </w:p>
        </w:tc>
        <w:tc>
          <w:tcPr>
            <w:tcW w:w="149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Entropía de Shannon de la fusionada</w:t>
            </w:r>
          </w:p>
        </w:tc>
        <w:tc>
          <w:tcPr>
            <w:tcW w:w="226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Bits, ↑ mejor</w:t>
            </w:r>
          </w:p>
        </w:tc>
      </w:tr>
      <w:tr>
        <w:trPr/>
        <w:tc>
          <w:tcPr>
            <w:tcW w:w="1900"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Desv. estándar (SD)</w:t>
            </w:r>
          </w:p>
        </w:tc>
        <w:tc>
          <w:tcPr>
            <w:tcW w:w="1499"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σ de niveles de gris</w:t>
            </w:r>
          </w:p>
        </w:tc>
        <w:tc>
          <w:tcPr>
            <w:tcW w:w="2261"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Adimensional, ↑ mejor</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Eficiencia FE</w:t>
            </w:r>
          </w:p>
        </w:tc>
        <w:tc>
          <w:tcPr>
            <w:tcW w:w="149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EN(F) sobre media de fuentes</w:t>
            </w:r>
          </w:p>
        </w:tc>
        <w:tc>
          <w:tcPr>
            <w:tcW w:w="226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Razón, ↑ mejor</w:t>
            </w:r>
          </w:p>
        </w:tc>
      </w:tr>
      <w:tr>
        <w:trPr/>
        <w:tc>
          <w:tcPr>
            <w:tcW w:w="1900"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Gradiente medio (MG)</w:t>
            </w:r>
          </w:p>
        </w:tc>
        <w:tc>
          <w:tcPr>
            <w:tcW w:w="1499"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|∇F| promedio</w:t>
            </w:r>
          </w:p>
        </w:tc>
        <w:tc>
          <w:tcPr>
            <w:tcW w:w="2261"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Adimensional, ↑ mejor</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start"/>
              <w:rPr/>
            </w:pPr>
            <w:r>
              <w:rPr>
                <w:rFonts w:eastAsia="Times New Roman" w:cs="Times New Roman"/>
                <w:sz w:val="22"/>
                <w:szCs w:val="22"/>
              </w:rPr>
              <w:t>MI_vis</w:t>
            </w:r>
          </w:p>
        </w:tc>
        <w:tc>
          <w:tcPr>
            <w:tcW w:w="149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Información mutua F ↔ VIS</w:t>
            </w:r>
          </w:p>
        </w:tc>
        <w:tc>
          <w:tcPr>
            <w:tcW w:w="226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Bits, ↑ mejor</w:t>
            </w:r>
          </w:p>
        </w:tc>
      </w:tr>
      <w:tr>
        <w:trPr/>
        <w:tc>
          <w:tcPr>
            <w:tcW w:w="1900"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start"/>
              <w:rPr/>
            </w:pPr>
            <w:r>
              <w:rPr>
                <w:rFonts w:eastAsia="Times New Roman" w:cs="Times New Roman"/>
                <w:sz w:val="22"/>
                <w:szCs w:val="22"/>
              </w:rPr>
              <w:t>MI_ir</w:t>
            </w:r>
          </w:p>
        </w:tc>
        <w:tc>
          <w:tcPr>
            <w:tcW w:w="1499"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Información mutua F ↔ IR</w:t>
            </w:r>
          </w:p>
        </w:tc>
        <w:tc>
          <w:tcPr>
            <w:tcW w:w="2261" w:type="dxa"/>
            <w:tcBorders>
              <w:top w:val="single" w:sz="4" w:space="0" w:color="000000"/>
              <w:start w:val="single" w:sz="4" w:space="0" w:color="000000"/>
              <w:bottom w:val="single" w:sz="4" w:space="0" w:color="000000"/>
              <w:end w:val="single" w:sz="4" w:space="0" w:color="000000"/>
            </w:tcBorders>
            <w:shd w:color="auto" w:fill="F4F7F6" w:val="clear"/>
          </w:tcPr>
          <w:p>
            <w:pPr>
              <w:pStyle w:val="Normal"/>
              <w:widowControl w:val="false"/>
              <w:spacing w:lineRule="auto" w:line="276" w:before="0" w:after="120"/>
              <w:jc w:val="center"/>
              <w:rPr/>
            </w:pPr>
            <w:r>
              <w:rPr>
                <w:rFonts w:eastAsia="Times New Roman" w:cs="Times New Roman"/>
                <w:sz w:val="22"/>
                <w:szCs w:val="22"/>
              </w:rPr>
              <w:t>Bits, ↑ mejor</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Métricas estándar y del review</w:t>
            </w:r>
          </w:p>
        </w:tc>
        <w:tc>
          <w:tcPr>
            <w:tcW w:w="149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SF, SSIM, PSNR (§2.2.7)</w:t>
            </w:r>
          </w:p>
        </w:tc>
        <w:tc>
          <w:tcPr>
            <w:tcW w:w="226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Adimensional, ↑ mejor</w:t>
            </w:r>
          </w:p>
        </w:tc>
      </w:tr>
      <w:tr>
        <w:trPr/>
        <w:tc>
          <w:tcPr>
            <w:tcW w:w="19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Detección (mAP)</w:t>
            </w:r>
          </w:p>
        </w:tc>
        <w:tc>
          <w:tcPr>
            <w:tcW w:w="1499"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Dependiente</w:t>
            </w:r>
          </w:p>
        </w:tc>
        <w:tc>
          <w:tcPr>
            <w:tcW w:w="3700"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mAP@0,5 y mAP@0,5:0,95 de YOLOv8n reentrenado por modalidad (LLVIP)</w:t>
            </w:r>
          </w:p>
        </w:tc>
        <w:tc>
          <w:tcPr>
            <w:tcW w:w="2261" w:type="dxa"/>
            <w:tcBorders>
              <w:top w:val="single" w:sz="4" w:space="0" w:color="000000"/>
              <w:start w:val="single" w:sz="4" w:space="0" w:color="000000"/>
              <w:bottom w:val="single" w:sz="4" w:space="0" w:color="000000"/>
              <w:end w:val="single" w:sz="4" w:space="0" w:color="000000"/>
            </w:tcBorders>
          </w:tcPr>
          <w:p>
            <w:pPr>
              <w:pStyle w:val="Normal"/>
              <w:widowControl w:val="false"/>
              <w:spacing w:lineRule="auto" w:line="276" w:before="0" w:after="120"/>
              <w:jc w:val="center"/>
              <w:rPr/>
            </w:pPr>
            <w:r>
              <w:rPr>
                <w:rFonts w:eastAsia="Times New Roman" w:cs="Times New Roman"/>
                <w:sz w:val="22"/>
                <w:szCs w:val="22"/>
              </w:rPr>
              <w:t>Proporción [0, 1], ↑ mejor</w:t>
            </w:r>
          </w:p>
        </w:tc>
      </w:tr>
    </w:tbl>
    <w:p>
      <w:pPr>
        <w:pStyle w:val="Heading2"/>
        <w:spacing w:before="240" w:after="120"/>
        <w:jc w:val="start"/>
        <w:rPr/>
      </w:pPr>
      <w:r>
        <w:rPr>
          <w:rFonts w:eastAsia="Times New Roman" w:cs="Times New Roman"/>
          <w:b/>
          <w:bCs/>
          <w:color w:val="000000"/>
          <w:sz w:val="24"/>
          <w:szCs w:val="26"/>
        </w:rPr>
        <w:t>4.5 Dataset y preprocesamiento</w:t>
      </w:r>
    </w:p>
    <w:p>
      <w:pPr>
        <w:pStyle w:val="Normal"/>
        <w:spacing w:lineRule="auto" w:line="360" w:before="0" w:after="160"/>
        <w:ind w:firstLine="709"/>
        <w:jc w:val="both"/>
        <w:rPr/>
      </w:pPr>
      <w:r>
        <w:rPr>
          <w:rFonts w:eastAsia="Times New Roman" w:cs="Times New Roman"/>
          <w:sz w:val="24"/>
          <w:szCs w:val="24"/>
        </w:rPr>
        <w:t>El corpus experimental son veinte pares VIS/IR del TNO Image Fusion Dataset, dataset público mantenido por TNO (Países Bajos) ampliamente utilizado como referencia en la literatura</w:t>
      </w:r>
      <w:r>
        <w:rPr>
          <w:rFonts w:eastAsia="Times New Roman" w:cs="Times New Roman"/>
        </w:rPr>
        <w:t xml:space="preserve"> (Toet, 2014). Las imágenes se reorganizaron en dos directorios paralelos (data/raw/VIS y data/raw/IR) con nombres de archivo coincidentes para emparejado automático. Se cargan en escala de grises, se normalizan al rango [0, 1] como float32 y se asume registro espacial previo (los pares TNO ya están alineados).</w:t>
      </w:r>
    </w:p>
    <w:p>
      <w:pPr>
        <w:pStyle w:val="Normal"/>
        <w:spacing w:lineRule="auto" w:line="360" w:before="0" w:after="160"/>
        <w:ind w:firstLine="709"/>
        <w:jc w:val="both"/>
        <w:rPr/>
      </w:pPr>
      <w:r>
        <w:rPr>
          <w:rFonts w:eastAsia="Times New Roman" w:cs="Times New Roman"/>
          <w:sz w:val="24"/>
          <w:szCs w:val="24"/>
        </w:rPr>
        <w:t xml:space="preserve">Para la evaluación orientada a tarea con verdad de campo (sección 5.5.1) se emplea adicionalmente el dataset LLVIP (Jia et al., 2021), compuesto por 15.488 pares VIS/IR registrados espacialmente, con peatones anotados en escenas de baja iluminación. Se utilizó un subconjunto de 2.000 imágenes de entrenamiento y 500 de validación por modalidad (VIS, IR y cada fusión), reentrenando el detector YOLOv8n durante 40 épocas con configuración idéntica en todas las modalidades; al estar los pares registrados, las anotaciones originales son válidas para toda versión fusionada, de modo que las diferencias de mAP resultan atribuibles al método de fusión.</w:t>
      </w:r>
    </w:p>
    <w:p>
      <w:pPr>
        <w:pStyle w:val="Heading2"/>
        <w:spacing w:before="240" w:after="120"/>
        <w:jc w:val="start"/>
        <w:rPr/>
      </w:pPr>
      <w:r>
        <w:rPr>
          <w:rFonts w:eastAsia="Times New Roman" w:cs="Times New Roman"/>
          <w:b/>
          <w:bCs/>
          <w:color w:val="000000"/>
          <w:sz w:val="24"/>
          <w:szCs w:val="26"/>
        </w:rPr>
        <w:t>4.6 Implementación</w:t>
      </w:r>
    </w:p>
    <w:p>
      <w:pPr>
        <w:pStyle w:val="Normal"/>
        <w:spacing w:lineRule="auto" w:line="360" w:before="0" w:after="160"/>
        <w:ind w:firstLine="709"/>
        <w:jc w:val="both"/>
        <w:rPr/>
      </w:pPr>
      <w:r>
        <w:rPr>
          <w:rFonts w:eastAsia="Times New Roman" w:cs="Times New Roman"/>
          <w:sz w:val="24"/>
          <w:szCs w:val="24"/>
        </w:rPr>
        <w:t>Toda la implementación se realizó en Python 3.11 con las bibliotecas NumPy, OpenCV, scikit-image, SciPy, PyWavelets, Pandas, Matplotlib y Seaborn. El código se organizó en módulos separados (datasets, fusion, metrics, utils) bajo control de versiones git, priorizando la reproducibilidad: cualquier figura, tabla o estadístico de esta tesis puede regenerarse ejecutando los scripts del directorio experiments/.</w:t>
      </w:r>
    </w:p>
    <w:p>
      <w:pPr>
        <w:pStyle w:val="Heading2"/>
        <w:spacing w:before="240" w:after="120"/>
        <w:jc w:val="start"/>
        <w:rPr/>
      </w:pPr>
      <w:r>
        <w:rPr>
          <w:rFonts w:eastAsia="Times New Roman" w:cs="Times New Roman"/>
          <w:b/>
          <w:bCs/>
          <w:color w:val="000000"/>
          <w:sz w:val="24"/>
          <w:szCs w:val="26"/>
        </w:rPr>
        <w:t>4.7 Análisis estadístico</w:t>
      </w:r>
    </w:p>
    <w:p>
      <w:pPr>
        <w:pStyle w:val="Normal"/>
        <w:spacing w:lineRule="auto" w:line="360" w:before="0" w:after="160"/>
        <w:ind w:firstLine="709"/>
        <w:jc w:val="both"/>
        <w:rPr/>
      </w:pPr>
      <w:r>
        <w:rPr>
          <w:rFonts w:eastAsia="Times New Roman" w:cs="Times New Roman"/>
        </w:rPr>
        <w:t>Se aplicaron tres procedimientos no paramétricos. Primero, la prueba de Friedman (Friedman, 1937) global por métrica, considerando las imágenes como bloques y los métodos como tratamientos, contrasta la hipótesis nula de que todos los métodos producen distribuciones idénticas. Segundo, la prueba de Wilcoxon de rangos signados (Wilcoxon, 1945) se aplica de manera pareada entre cada configuración Top-Hat (WTH y WTH+BTH) y cada baseline, así como entre la propuesta central (Propuesta Novedosa) y el método anterior y cada baseline, controlando por imagen; dado el elevado número de contrastes se aplica corrección de Holm por métrica y se reporta el tamaño de efecto rank-biserial. Tercero, se calcula el ranking promedio por método y métrica (1 = mejor), respetando la dirección de cada una (todas de tipo «mayor es mejor») y promediando entre métricas para obtener un ranking global. Todos los cálculos utilizan scipy.stats con α = 0,05.</w:t>
      </w:r>
      <w:r>
        <w:br w:type="page"/>
      </w:r>
    </w:p>
    <w:p>
      <w:pPr>
        <w:pStyle w:val="Heading1"/>
        <w:spacing w:before="0" w:after="240"/>
        <w:jc w:val="start"/>
        <w:rPr/>
      </w:pPr>
      <w:r>
        <w:rPr>
          <w:rFonts w:eastAsia="Times New Roman" w:cs="Times New Roman"/>
          <w:b/>
          <w:bCs/>
          <w:color w:val="000000"/>
          <w:sz w:val="24"/>
          <w:szCs w:val="28"/>
        </w:rPr>
        <w:t>5. ANÁLISIS E INTERPRETACIÓN DE RESULTADOS</w:t>
      </w:r>
    </w:p>
    <w:p>
      <w:pPr>
        <w:pStyle w:val="Normal"/>
        <w:spacing w:lineRule="auto" w:line="360"/>
        <w:ind w:firstLine="709"/>
        <w:jc w:val="both"/>
        <w:rPr/>
      </w:pPr>
      <w:r>
        <w:rPr>
          <w:rFonts w:eastAsia="Times New Roman" w:cs="Times New Roman"/>
        </w:rPr>
        <w:t>El capítulo presenta primero la caracterización del corpus y los análisis cualitativo y cuantitativo del benchmark —la Propuesta Novedosa (operador de suma de ramas, r = 25, m = 0,30) frente a la metodología clásica de la transformada Top-Hat y a cinco métodos representativos del estado del arte (LP, RP, DWT, DTCWT y CVT)—, luego el análisis estadístico no paramétrico (sección 5.4), la evaluación orientada a tarea (sección 5.5) y la optimización del método (sección 5.6), cerrando con la discusión integrada (sección 5.7).</w:t>
      </w:r>
    </w:p>
    <w:p>
      <w:pPr>
        <w:pStyle w:val="Heading2"/>
        <w:spacing w:before="240" w:after="120"/>
        <w:jc w:val="start"/>
        <w:rPr/>
      </w:pPr>
      <w:r>
        <w:rPr>
          <w:rFonts w:eastAsia="Times New Roman" w:cs="Times New Roman"/>
          <w:b/>
          <w:bCs/>
          <w:color w:val="000000"/>
          <w:sz w:val="24"/>
          <w:szCs w:val="26"/>
        </w:rPr>
        <w:t>5.1 Caracterización del dataset</w:t>
      </w:r>
    </w:p>
    <w:p>
      <w:pPr>
        <w:pStyle w:val="Normal"/>
        <w:spacing w:lineRule="auto" w:line="360" w:before="0" w:after="160"/>
        <w:ind w:firstLine="709"/>
        <w:jc w:val="both"/>
        <w:rPr/>
      </w:pPr>
      <w:r>
        <w:rPr>
          <w:rFonts w:eastAsia="Times New Roman" w:cs="Times New Roman"/>
          <w:sz w:val="24"/>
          <w:szCs w:val="24"/>
        </w:rPr>
        <w:t>Las veinte (20) imágenes pareadas del TNO Image Fusion Dataset cubren escenarios variados: vehículos blindados a la luz del día y nocturno, soldados detrás de humo, escenas urbanas con humanos a contraluz, espacios industriales y vegetación. Los pares poseen registro espacial previo y resoluciones del orden de 360×270 a 768×576 píxeles. La modalidad VIS exhibe textura rica en contornos, mientras que la IR concentra la información en focos de calor y siluetas humanas. Esta heterogeneidad es deliberada: la fusión multimodal solo es interesante cuando las dos fuentes aportan información que la otra no captura.</w:t>
      </w:r>
    </w:p>
    <w:p>
      <w:pPr>
        <w:pStyle w:val="Heading2"/>
        <w:spacing w:before="240" w:after="120"/>
        <w:jc w:val="start"/>
        <w:rPr/>
      </w:pPr>
      <w:r>
        <w:rPr>
          <w:rFonts w:eastAsia="Times New Roman" w:cs="Times New Roman"/>
          <w:b/>
          <w:bCs/>
          <w:color w:val="000000"/>
          <w:sz w:val="24"/>
          <w:szCs w:val="26"/>
        </w:rPr>
        <w:t>5.2 Análisis cualitativo: comparación visual</w:t>
      </w:r>
    </w:p>
    <w:p>
      <w:pPr>
        <w:pStyle w:val="Normal"/>
        <w:spacing w:lineRule="auto" w:line="360" w:before="0" w:after="160"/>
        <w:ind w:firstLine="709"/>
        <w:jc w:val="both"/>
        <w:rPr/>
      </w:pPr>
      <w:r>
        <w:rPr>
          <w:rFonts w:eastAsia="Times New Roman" w:cs="Times New Roman"/>
        </w:rPr>
        <w:t>La figura 6 muestra tres pares representativos del dataset junto con los resultados de los métodos del benchmark. Visualmente, la pirámide de Laplace y la DTCWT recuperan detalle fino con buen equilibrio, aunque introducen ligeros artefactos en bordes muy contrastantes; la RP acentúa el contraste local a costa de cierta sobreamplificación; la DWT presenta el granulado característico de la fusión por máxima magnitud de coeficiente; y el Top-Hat clásico produce la imagen de mayor contraste aparente, pero con halos visibles alrededor de los objetivos térmicos, consecuencia de inyectar el detalle sin ponderación. La Propuesta Novedosa (destacada en rojo) ofrece el resultado visualmente más limpio y equilibrado: integra la silueta térmica de la IR y la textura del VIS con bordes definidos, sin el granulado de la DWT ni los halos del operador clásico. Esto es coherente con sus indicadores cuantitativos: la mayor entropía y el mayor contenido de bordes del estudio (EN = 6,9888; FE = 1,1045), con un realce moderado que evita la saturación del operador clásico.</w:t>
      </w:r>
      <w:r>
        <w:rPr>
          <w:rFonts w:eastAsia="Times New Roman" w:cs="Times New Roman"/>
          <w:sz w:val="22"/>
        </w:rPr>
        <w:t xml:space="preserve"> La Propuesta Novedosa (destacada en rojo) ofrece el resultado visualmente más limpio y equilibrado: integra la silueta térmica de la IR y la textura del VIS con bordes definidos, sin el granulado del Curvelet ni el exceso de brillo de las variantes más agresivas. Esto es coherente con sus indicadores cuantitativos: la mayor entropía y el mayor contenido de bordes del estudio (EN = 6,9888; FE = 1,1045), reflejo de una fusión rica en información sin la saturación que introduce el realce sin ponderación.</w:t>
      </w:r>
    </w:p>
    <w:p>
      <w:pPr>
        <w:pStyle w:val="Normal"/>
        <w:spacing w:lineRule="auto" w:line="276" w:before="200" w:after="80"/>
        <w:jc w:val="center"/>
        <w:rPr/>
      </w:pPr>
      <w:r>
        <w:rPr/>
        <w:drawing>
          <wp:inline distT="0" distB="0" distL="0" distR="0">
            <wp:extent cx="4953000" cy="3219450"/>
            <wp:effectExtent l="0" t="0" r="0" b="0"/>
            <wp:docPr id="7" name="fig_qualitative_comparison.png" descr="Figura 2. Comparación cualitativa de los métodos de fusión sobre tres pares representativos del datas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fig_qualitative_comparison.png" descr="Figura 2. Comparación cualitativa de los métodos de fusión sobre tres pares representativos del dataset."/>
                    <pic:cNvPicPr>
                      <a:picLocks noChangeAspect="1" noChangeArrowheads="1"/>
                    </pic:cNvPicPr>
                  </pic:nvPicPr>
                  <pic:blipFill>
                    <a:blip r:embed="rId8"/>
                    <a:stretch>
                      <a:fillRect/>
                    </a:stretch>
                  </pic:blipFill>
                  <pic:spPr bwMode="auto">
                    <a:xfrm>
                      <a:off x="0" y="0"/>
                      <a:ext cx="4953000" cy="3219450"/>
                    </a:xfrm>
                    <a:prstGeom prst="rect">
                      <a:avLst/>
                    </a:prstGeom>
                    <a:noFill/>
                  </pic:spPr>
                </pic:pic>
              </a:graphicData>
            </a:graphic>
          </wp:inline>
        </w:drawing>
      </w:r>
    </w:p>
    <w:p>
      <w:pPr>
        <w:pStyle w:val="Normal"/>
        <w:spacing w:lineRule="auto" w:line="276" w:before="0" w:after="240"/>
        <w:jc w:val="center"/>
        <w:rPr/>
      </w:pPr>
      <w:r>
        <w:rPr>
          <w:rFonts w:eastAsia="Times New Roman" w:cs="Times New Roman"/>
          <w:sz w:val="18"/>
        </w:rPr>
        <w:t>Figura 6. Comparación cualitativa de los métodos de fusión sobre tres pares representativos del dataset.</w:t>
      </w:r>
    </w:p>
    <w:p>
      <w:pPr>
        <w:pStyle w:val="Heading2"/>
        <w:spacing w:before="240" w:after="120"/>
        <w:jc w:val="start"/>
        <w:rPr/>
      </w:pPr>
      <w:r>
        <w:rPr>
          <w:rFonts w:eastAsia="Times New Roman" w:cs="Times New Roman"/>
          <w:b/>
          <w:bCs/>
          <w:color w:val="000000"/>
          <w:sz w:val="24"/>
          <w:szCs w:val="26"/>
        </w:rPr>
        <w:t>5.3 Resultados cuantitativos: promedio por método</w:t>
      </w:r>
    </w:p>
    <w:p>
      <w:pPr>
        <w:pStyle w:val="Normal"/>
        <w:spacing w:lineRule="auto" w:line="360" w:before="0" w:after="160"/>
        <w:ind w:firstLine="709"/>
        <w:jc w:val="both"/>
        <w:rPr/>
      </w:pPr>
      <w:r>
        <w:rPr>
          <w:rFonts w:eastAsia="Times New Roman" w:cs="Times New Roman"/>
        </w:rPr>
        <w:t>La Tabla 4 presenta los promedios de las seis métricas clásicas y la Tabla 5 los de la frecuencia espacial, la similitud estructural y el PSNR, sobre los 20 pares para los siete métodos del benchmark. La propuesta lidera la entropía (EN = 6,9888) y el contenido de bordes (FE = 1,1045) del benchmark, y se ubica segunda en desviación estándar (SD = 0,1477), gradiente medio (MG = 0,0353) y frecuencia espacial (SF = 17,3435), por detrás únicamente de la pirámide de Laplace en contraste y del Top-Hat clásico en gradiente y frecuencia. En las métricas de fidelidad la relación se invierte: los métodos multiescala lideran la similitud estructural y el PSNR, y la pirámide de Laplace la información mutua con las fuentes. Frente al operador clásico, la propuesta mejora simultáneamente la entropía, el contraste y el contenido de bordes y además eleva la similitud estructural de 0,5781 a 0,6677, mostrando que el banco de elementos estructurantes realza sin degradar la estructura tanto como el disco único sin ponderación.</w:t>
      </w:r>
    </w:p>
    <w:p>
      <w:pPr>
        <w:pStyle w:val="Normal"/>
        <w:spacing w:lineRule="auto" w:line="276"/>
        <w:rPr/>
      </w:pPr>
      <w:r>
        <w:rPr>
          <w:rFonts w:eastAsia="Times New Roman" w:cs="Times New Roman"/>
          <w:i/>
          <w:sz w:val="18"/>
        </w:rPr>
        <w:t>Tabla 4. Promedios de las seis métricas clásicas por método (n = 20).</w:t>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00"/>
        <w:gridCol w:w="1100"/>
        <w:gridCol w:w="1100"/>
        <w:gridCol w:w="1100"/>
        <w:gridCol w:w="1100"/>
        <w:gridCol w:w="1100"/>
        <w:gridCol w:w="1100"/>
      </w:tblGrid>
      <w:tr>
        <w:trPr/>
        <w:tc>
          <w:tcPr>
            <w:tcW w:w="24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Método</w:t>
            </w:r>
          </w:p>
        </w:tc>
        <w:tc>
          <w:tcPr>
            <w:tcW w:w="11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EN</w:t>
            </w:r>
          </w:p>
        </w:tc>
        <w:tc>
          <w:tcPr>
            <w:tcW w:w="11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SD</w:t>
            </w:r>
          </w:p>
        </w:tc>
        <w:tc>
          <w:tcPr>
            <w:tcW w:w="11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FE</w:t>
            </w:r>
          </w:p>
        </w:tc>
        <w:tc>
          <w:tcPr>
            <w:tcW w:w="11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MG</w:t>
            </w:r>
          </w:p>
        </w:tc>
        <w:tc>
          <w:tcPr>
            <w:tcW w:w="11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MI_vis</w:t>
            </w:r>
          </w:p>
        </w:tc>
        <w:tc>
          <w:tcPr>
            <w:tcW w:w="11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MI_ir</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Pirámide de Laplace (LP)</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6,8350</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0,1548</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1,0792</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0,0248</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2,1183</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1,0717</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Ratio Pyramid (RP)</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6,8285</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0,1304</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1,0790</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0,0269</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1,1698</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0,8807</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Wavelet discreta (DWT)</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6,7002</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0,1199</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1,0586</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0,0270</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1,2846</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0,8809</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DTCWT</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6,7060</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0,1205</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1,0596</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0,0251</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1,2887</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0,8908</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Curvelet (CVT)</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6,6645</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0,1167</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1,0529</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0,0256</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1,3038</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0,8843</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Top-Hat clásico</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6,9334</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0,1387</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1,0961</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0,0473</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0,8722</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0,5864</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Propuesta Novedosa</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6,9888</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0,1477</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1,1045</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0,0353</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0,9617</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0,6708</w:t>
            </w:r>
          </w:p>
        </w:tc>
      </w:tr>
    </w:tbl>
    <w:p>
      <w:pPr>
        <w:pStyle w:val="Normal"/>
        <w:spacing w:lineRule="auto" w:line="276"/>
        <w:jc w:val="both"/>
        <w:rPr/>
      </w:pPr>
      <w:r>
        <w:rPr>
          <w:rFonts w:eastAsia="Times New Roman" w:cs="Times New Roman"/>
          <w:i/>
          <w:sz w:val="18"/>
        </w:rPr>
        <w:t>Tabla 5. Promedios de frecuencia espacial (SF), similitud estructural (SSIM) y PSNR por método (n = 20 pares).</w:t>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200"/>
        <w:gridCol w:w="1560"/>
        <w:gridCol w:w="1560"/>
        <w:gridCol w:w="1560"/>
      </w:tblGrid>
      <w:tr>
        <w:trPr/>
        <w:tc>
          <w:tcPr>
            <w:tcW w:w="24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Método</w:t>
            </w:r>
          </w:p>
        </w:tc>
        <w:tc>
          <w:tcPr>
            <w:tcW w:w="11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SF ↑</w:t>
            </w:r>
          </w:p>
        </w:tc>
        <w:tc>
          <w:tcPr>
            <w:tcW w:w="11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SSIM ↑</w:t>
            </w:r>
          </w:p>
        </w:tc>
        <w:tc>
          <w:tcPr>
            <w:tcW w:w="11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PSNR ↑</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Pirámide de Laplace (LP)</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13,0400</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0,7208</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20,2687</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Ratio Pyramid (RP)</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13,3376</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0,7212</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21,9655</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Wavelet discreta (DWT)</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13,9341</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0,7163</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22,7767</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DTCWT</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13,0266</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0,7386</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22,7857</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Curvelet (CVT)</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13,1510</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0,7305</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22,8375</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Top-Hat clásico</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22,8554</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0,5781</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17,4947</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Propuesta Novedosa</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17,3435</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0,6677</w:t>
            </w:r>
          </w:p>
        </w:tc>
        <w:tc>
          <w:tcPr>
            <w:tcW w:w="11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17,2546</w:t>
            </w:r>
          </w:p>
        </w:tc>
      </w:tr>
    </w:tbl>
    <w:p>
      <w:pPr>
        <w:pStyle w:val="Normal"/>
        <w:spacing w:lineRule="auto" w:line="360"/>
        <w:ind w:firstLine="709"/>
        <w:jc w:val="both"/>
        <w:rPr/>
      </w:pPr>
      <w:r>
        <w:rPr>
          <w:rFonts w:eastAsia="Times New Roman" w:cs="Times New Roman"/>
          <w:sz w:val="18"/>
        </w:rPr>
        <w:t>Estas métricas, ponderadas por bordes y estructura local, complementan a las anteriores: Pirámide de Laplace (LP) lidera FMI, Propuesta Novedosa lidera Q0, DTCWT lidera QW y Pirámide de Laplace (LP) lidera QE. La Propuesta Novedosa se mantiene competitiva en toda la familia, coherente con su perfil de fidelidad estructural y limpieza.</w:t>
      </w:r>
    </w:p>
    <w:p>
      <w:pPr>
        <w:pStyle w:val="Normal"/>
        <w:spacing w:lineRule="auto" w:line="360" w:before="0" w:after="160"/>
        <w:ind w:firstLine="709"/>
        <w:jc w:val="both"/>
        <w:rPr/>
      </w:pPr>
      <w:r>
        <w:rPr>
          <w:rFonts w:eastAsia="Times New Roman" w:cs="Times New Roman"/>
        </w:rPr>
        <w:t>Una distribución más completa de las métricas, no reducida al promedio, se aprecia en los diagramas de caja de la figura 7.</w:t>
      </w:r>
    </w:p>
    <w:p>
      <w:pPr>
        <w:pStyle w:val="Normal"/>
        <w:spacing w:lineRule="auto" w:line="276" w:before="200" w:after="80"/>
        <w:jc w:val="center"/>
        <w:rPr/>
      </w:pPr>
      <w:r>
        <w:rPr/>
        <w:drawing>
          <wp:inline distT="0" distB="0" distL="0" distR="0">
            <wp:extent cx="5394960" cy="2877185"/>
            <wp:effectExtent l="0" t="0" r="0" b="0"/>
            <wp:docPr id="8"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icture 2"/>
                    <pic:cNvPicPr>
                      <a:picLocks noChangeAspect="1" noChangeArrowheads="1"/>
                    </pic:cNvPicPr>
                  </pic:nvPicPr>
                  <pic:blipFill>
                    <a:blip r:embed="rId9"/>
                    <a:stretch>
                      <a:fillRect/>
                    </a:stretch>
                  </pic:blipFill>
                  <pic:spPr bwMode="auto">
                    <a:xfrm>
                      <a:off x="0" y="0"/>
                      <a:ext cx="5394960" cy="2877185"/>
                    </a:xfrm>
                    <a:prstGeom prst="rect">
                      <a:avLst/>
                    </a:prstGeom>
                    <a:noFill/>
                  </pic:spPr>
                </pic:pic>
              </a:graphicData>
            </a:graphic>
          </wp:inline>
        </w:drawing>
      </w:r>
    </w:p>
    <w:p>
      <w:pPr>
        <w:pStyle w:val="Normal"/>
        <w:spacing w:lineRule="auto" w:line="276" w:before="0" w:after="240"/>
        <w:jc w:val="center"/>
        <w:rPr/>
      </w:pPr>
      <w:r>
        <w:rPr>
          <w:rFonts w:eastAsia="Times New Roman" w:cs="Times New Roman"/>
          <w:sz w:val="18"/>
        </w:rPr>
        <w:t>Figura 7. Diagramas de caja de seis métricas representativas (SSIM, SF, EN, SD, MI_ir, PSNR) por método (n = 20 pares VIS/IR).</w:t>
      </w:r>
    </w:p>
    <w:p>
      <w:pPr>
        <w:pStyle w:val="Heading2"/>
        <w:spacing w:before="240" w:after="120"/>
        <w:jc w:val="start"/>
        <w:rPr/>
      </w:pPr>
      <w:r>
        <w:rPr>
          <w:rFonts w:eastAsia="Times New Roman" w:cs="Times New Roman"/>
          <w:b/>
          <w:bCs/>
          <w:color w:val="000000"/>
          <w:sz w:val="24"/>
          <w:szCs w:val="26"/>
        </w:rPr>
        <w:t>5.4 Análisis estadístico no paramétrico</w:t>
      </w:r>
    </w:p>
    <w:p>
      <w:pPr>
        <w:pStyle w:val="Heading3"/>
        <w:spacing w:before="180" w:after="100"/>
        <w:jc w:val="start"/>
        <w:rPr/>
      </w:pPr>
      <w:r>
        <w:rPr>
          <w:rFonts w:eastAsia="Times New Roman" w:cs="Times New Roman"/>
          <w:b/>
          <w:bCs/>
          <w:i/>
          <w:iCs/>
          <w:color w:val="000000"/>
          <w:sz w:val="24"/>
          <w:szCs w:val="24"/>
        </w:rPr>
        <w:t>5.4.1 Prueba de Friedman global</w:t>
      </w:r>
    </w:p>
    <w:p>
      <w:pPr>
        <w:pStyle w:val="Normal"/>
        <w:spacing w:lineRule="auto" w:line="360" w:before="0" w:after="160"/>
        <w:ind w:firstLine="709"/>
        <w:jc w:val="both"/>
        <w:rPr/>
      </w:pPr>
      <w:r>
        <w:rPr>
          <w:rFonts w:eastAsia="Times New Roman" w:cs="Times New Roman"/>
        </w:rPr>
        <w:t>La Tabla 6 reporta la prueba de Friedman aplicada de forma independiente a cada métrica, considerando los siete métodos del benchmark como tratamientos y los 20 pares como bloques. La hipótesis nula se rechaza con amplio margen en las nueve métricas (p ≪ 0,001), lo que habilita el análisis pareado posterior: existen diferencias reales y sistemáticas entre los métodos comparados.</w:t>
      </w:r>
    </w:p>
    <w:p>
      <w:pPr>
        <w:pStyle w:val="Normal"/>
        <w:spacing w:lineRule="auto" w:line="276"/>
        <w:rPr/>
      </w:pPr>
      <w:r>
        <w:rPr>
          <w:rFonts w:eastAsia="Times New Roman" w:cs="Times New Roman"/>
          <w:i/>
          <w:sz w:val="18"/>
        </w:rPr>
        <w:t>Tabla 6. Prueba de Friedman por métrica (χ², p-valor; α = 0,05).</w:t>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000"/>
        <w:gridCol w:w="2400"/>
        <w:gridCol w:w="2300"/>
        <w:gridCol w:w="2300"/>
      </w:tblGrid>
      <w:tr>
        <w:trPr/>
        <w:tc>
          <w:tcPr>
            <w:tcW w:w="20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Métrica</w:t>
            </w:r>
          </w:p>
        </w:tc>
        <w:tc>
          <w:tcPr>
            <w:tcW w:w="24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χ² de Friedman</w:t>
            </w:r>
          </w:p>
        </w:tc>
        <w:tc>
          <w:tcPr>
            <w:tcW w:w="23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p-valor</w:t>
            </w:r>
          </w:p>
        </w:tc>
        <w:tc>
          <w:tcPr>
            <w:tcW w:w="23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Significativo (α = 0,05)</w:t>
            </w:r>
          </w:p>
        </w:tc>
      </w:tr>
      <w:tr>
        <w:trPr/>
        <w:tc>
          <w:tcPr>
            <w:tcW w:w="2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EN</w:t>
            </w:r>
          </w:p>
        </w:tc>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81,38</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&lt; 0,001</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Sí</w:t>
            </w:r>
          </w:p>
        </w:tc>
      </w:tr>
      <w:tr>
        <w:trPr/>
        <w:tc>
          <w:tcPr>
            <w:tcW w:w="2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SD</w:t>
            </w:r>
          </w:p>
        </w:tc>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101,74</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&lt; 0,001</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Sí</w:t>
            </w:r>
          </w:p>
        </w:tc>
      </w:tr>
      <w:tr>
        <w:trPr/>
        <w:tc>
          <w:tcPr>
            <w:tcW w:w="2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FE</w:t>
            </w:r>
          </w:p>
        </w:tc>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81,38</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&lt; 0,001</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Sí</w:t>
            </w:r>
          </w:p>
        </w:tc>
      </w:tr>
      <w:tr>
        <w:trPr/>
        <w:tc>
          <w:tcPr>
            <w:tcW w:w="2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MG</w:t>
            </w:r>
          </w:p>
        </w:tc>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101,19</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&lt; 0,001</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Sí</w:t>
            </w:r>
          </w:p>
        </w:tc>
      </w:tr>
      <w:tr>
        <w:trPr/>
        <w:tc>
          <w:tcPr>
            <w:tcW w:w="2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MI_vis</w:t>
            </w:r>
          </w:p>
        </w:tc>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71,85</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&lt; 0,001</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Sí</w:t>
            </w:r>
          </w:p>
        </w:tc>
      </w:tr>
      <w:tr>
        <w:trPr/>
        <w:tc>
          <w:tcPr>
            <w:tcW w:w="2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MI_ir</w:t>
            </w:r>
          </w:p>
        </w:tc>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59,98</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&lt; 0,001</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Sí</w:t>
            </w:r>
          </w:p>
        </w:tc>
      </w:tr>
      <w:tr>
        <w:trPr/>
        <w:tc>
          <w:tcPr>
            <w:tcW w:w="2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SF</w:t>
            </w:r>
          </w:p>
        </w:tc>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96,32</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&lt; 0,001</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Sí</w:t>
            </w:r>
          </w:p>
        </w:tc>
      </w:tr>
      <w:tr>
        <w:trPr/>
        <w:tc>
          <w:tcPr>
            <w:tcW w:w="2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SSIM</w:t>
            </w:r>
          </w:p>
        </w:tc>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99,58</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&lt; 0,001</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Sí</w:t>
            </w:r>
          </w:p>
        </w:tc>
      </w:tr>
      <w:tr>
        <w:trPr/>
        <w:tc>
          <w:tcPr>
            <w:tcW w:w="2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PSNR</w:t>
            </w:r>
          </w:p>
        </w:tc>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107,32</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&lt; 0,001</w:t>
            </w:r>
          </w:p>
        </w:tc>
        <w:tc>
          <w:tcPr>
            <w:tcW w:w="23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Sí</w:t>
            </w:r>
          </w:p>
        </w:tc>
      </w:tr>
    </w:tbl>
    <w:p>
      <w:pPr>
        <w:pStyle w:val="Heading3"/>
        <w:spacing w:before="180" w:after="100"/>
        <w:jc w:val="start"/>
        <w:rPr/>
      </w:pPr>
      <w:r>
        <w:rPr>
          <w:rFonts w:eastAsia="Times New Roman" w:cs="Times New Roman"/>
          <w:b/>
          <w:bCs/>
          <w:i/>
          <w:iCs/>
          <w:color w:val="000000"/>
          <w:sz w:val="24"/>
          <w:szCs w:val="24"/>
        </w:rPr>
        <w:t>5.4.2 Comparaciones pareadas Wilcoxon</w:t>
      </w:r>
    </w:p>
    <w:p>
      <w:pPr>
        <w:pStyle w:val="Normal"/>
        <w:spacing w:lineRule="auto" w:line="360" w:before="0" w:after="160"/>
        <w:ind w:firstLine="709"/>
        <w:jc w:val="both"/>
        <w:rPr/>
      </w:pPr>
      <w:r>
        <w:rPr>
          <w:rFonts w:eastAsia="Times New Roman" w:cs="Times New Roman"/>
        </w:rPr>
        <w:t>Para precisar dónde residen las diferencias se aplicó la prueba de Wilcoxon de rangos signados entre los métodos morfológicos (la propuesta y el Top-Hat clásico) y cada método del estado del arte, sobre las nueve métricas, con corrección de Holm y tamaño de efecto rank-biserial (90 contrastes; detalle en el Apéndice C). El hallazgo central: la propuesta mejora de forma estadísticamente significativa la entropía, el contenido de bordes, el gradiente medio y la frecuencia espacial (EN, FE, MG, SF) frente a los cinco métodos del estado del arte (p_Holm &lt; 0,05), y el contraste (SD) frente a cuatro de los cinco, mientras que cede de manera sistemática en las métricas de fidelidad a las fuentes (SSIM, PSNR) y en la información mutua, donde lideran los métodos multiescala. Frente al Top-Hat clásico la ventaja es más amplia: la propuesta gana en seis de las nueve métricas y cede solo en gradiente medio y frecuencia espacial.</w:t>
      </w:r>
    </w:p>
    <w:p>
      <w:pPr>
        <w:pStyle w:val="Heading3"/>
        <w:spacing w:before="180" w:after="100"/>
        <w:jc w:val="start"/>
        <w:rPr/>
      </w:pPr>
      <w:r>
        <w:rPr>
          <w:rFonts w:eastAsia="Times New Roman" w:cs="Times New Roman"/>
          <w:b/>
          <w:bCs/>
          <w:i/>
          <w:iCs/>
          <w:color w:val="000000"/>
          <w:sz w:val="24"/>
          <w:szCs w:val="24"/>
        </w:rPr>
        <w:t>5.4.3 Ranking promedio</w:t>
      </w:r>
    </w:p>
    <w:p>
      <w:pPr>
        <w:pStyle w:val="Normal"/>
        <w:spacing w:lineRule="auto" w:line="360" w:before="0" w:after="160"/>
        <w:ind w:firstLine="709"/>
        <w:jc w:val="both"/>
        <w:rPr/>
      </w:pPr>
      <w:r>
        <w:rPr>
          <w:rFonts w:eastAsia="Times New Roman" w:cs="Times New Roman"/>
        </w:rPr>
        <w:t>La Tabla 7 muestra el ranking promedio de cada método (1 = mejor) en seis métricas clave y el ranking global obtenido al promediar las nueve métricas, respetando la dirección de cada una. La pirámide de Laplace encabeza el ranking global (3,44) y la propuesta ocupa el segundo lugar (3,67), seguida por DTCWT y el Top-Hat clásico (4,00), RP (4,11), CVT (4,33) y DWT (4,44); la propuesta es primera en entropía y contenido de bordes y segunda en contraste, gradiente y frecuencia espacial, y queda relegada en las métricas de fidelidad a las fuentes. El ranking agregado, al mezclar familias de métricas con pesos iguales, debe leerse junto a los contrastes pareados de la sección anterior.</w:t>
      </w:r>
    </w:p>
    <w:p>
      <w:pPr>
        <w:pStyle w:val="Normal"/>
        <w:spacing w:lineRule="auto" w:line="276"/>
        <w:rPr/>
      </w:pPr>
      <w:r>
        <w:rPr>
          <w:rFonts w:eastAsia="Times New Roman" w:cs="Times New Roman"/>
          <w:i/>
          <w:sz w:val="18"/>
        </w:rPr>
        <w:t>Tabla 7. Ranking promedio por método y métrica (1 = mejor).</w:t>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2400"/>
        <w:gridCol w:w="950"/>
        <w:gridCol w:w="950"/>
        <w:gridCol w:w="950"/>
        <w:gridCol w:w="950"/>
        <w:gridCol w:w="950"/>
        <w:gridCol w:w="950"/>
        <w:gridCol w:w="1000"/>
      </w:tblGrid>
      <w:tr>
        <w:trPr/>
        <w:tc>
          <w:tcPr>
            <w:tcW w:w="24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Método</w:t>
            </w:r>
          </w:p>
        </w:tc>
        <w:tc>
          <w:tcPr>
            <w:tcW w:w="95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SD</w:t>
            </w:r>
          </w:p>
        </w:tc>
        <w:tc>
          <w:tcPr>
            <w:tcW w:w="95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MG</w:t>
            </w:r>
          </w:p>
        </w:tc>
        <w:tc>
          <w:tcPr>
            <w:tcW w:w="95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SF</w:t>
            </w:r>
          </w:p>
        </w:tc>
        <w:tc>
          <w:tcPr>
            <w:tcW w:w="95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SSIM</w:t>
            </w:r>
          </w:p>
        </w:tc>
        <w:tc>
          <w:tcPr>
            <w:tcW w:w="95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PSNR</w:t>
            </w:r>
          </w:p>
        </w:tc>
        <w:tc>
          <w:tcPr>
            <w:tcW w:w="95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MI_ir</w:t>
            </w:r>
          </w:p>
        </w:tc>
        <w:tc>
          <w:tcPr>
            <w:tcW w:w="100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Global</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Pirámide de Laplace (LP)</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7,0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5,0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1,0</w:t>
            </w:r>
          </w:p>
        </w:tc>
        <w:tc>
          <w:tcPr>
            <w:tcW w:w="1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3,44</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Ratio Pyramid (RP)</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3,0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5,0</w:t>
            </w:r>
          </w:p>
        </w:tc>
        <w:tc>
          <w:tcPr>
            <w:tcW w:w="1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4,11</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DTCWT</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5,0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7,0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2,0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2,0</w:t>
            </w:r>
          </w:p>
        </w:tc>
        <w:tc>
          <w:tcPr>
            <w:tcW w:w="1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4,00</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Propuesta Novedosa</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2,0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2,0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2,0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6,0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7,0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6,0</w:t>
            </w:r>
          </w:p>
        </w:tc>
        <w:tc>
          <w:tcPr>
            <w:tcW w:w="1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3,67</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Top-Hat clásico</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3,0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7,0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7,0</w:t>
            </w:r>
          </w:p>
        </w:tc>
        <w:tc>
          <w:tcPr>
            <w:tcW w:w="1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4,00</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Wavelet discreta (DWT)</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6,0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3,0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3,0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5,0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3,0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4,0</w:t>
            </w:r>
          </w:p>
        </w:tc>
        <w:tc>
          <w:tcPr>
            <w:tcW w:w="1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4,44</w:t>
            </w:r>
          </w:p>
        </w:tc>
      </w:tr>
      <w:tr>
        <w:trPr/>
        <w:tc>
          <w:tcPr>
            <w:tcW w:w="24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Curvelet (CVT)</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7,0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5,0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5,0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2,0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1,0</w:t>
            </w:r>
          </w:p>
        </w:tc>
        <w:tc>
          <w:tcPr>
            <w:tcW w:w="95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3,0</w:t>
            </w:r>
          </w:p>
        </w:tc>
        <w:tc>
          <w:tcPr>
            <w:tcW w:w="100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4,33</w:t>
            </w:r>
          </w:p>
        </w:tc>
      </w:tr>
    </w:tbl>
    <w:p>
      <w:pPr>
        <w:pStyle w:val="Normal"/>
        <w:spacing w:lineRule="auto" w:line="276" w:before="200" w:after="80"/>
        <w:jc w:val="center"/>
        <w:rPr/>
      </w:pPr>
      <w:r>
        <w:rPr/>
        <w:drawing>
          <wp:inline distT="0" distB="0" distL="0" distR="0">
            <wp:extent cx="4754880" cy="3169920"/>
            <wp:effectExtent l="0" t="0" r="0" b="0"/>
            <wp:docPr id="9"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icture 3"/>
                    <pic:cNvPicPr>
                      <a:picLocks noChangeAspect="1" noChangeArrowheads="1"/>
                    </pic:cNvPicPr>
                  </pic:nvPicPr>
                  <pic:blipFill>
                    <a:blip r:embed="rId10"/>
                    <a:stretch>
                      <a:fillRect/>
                    </a:stretch>
                  </pic:blipFill>
                  <pic:spPr bwMode="auto">
                    <a:xfrm>
                      <a:off x="0" y="0"/>
                      <a:ext cx="4754880" cy="3169920"/>
                    </a:xfrm>
                    <a:prstGeom prst="rect">
                      <a:avLst/>
                    </a:prstGeom>
                    <a:noFill/>
                  </pic:spPr>
                </pic:pic>
              </a:graphicData>
            </a:graphic>
          </wp:inline>
        </w:drawing>
      </w:r>
    </w:p>
    <w:p>
      <w:pPr>
        <w:pStyle w:val="Normal"/>
        <w:spacing w:lineRule="auto" w:line="276" w:before="0" w:after="240"/>
        <w:jc w:val="center"/>
        <w:rPr/>
      </w:pPr>
      <w:r>
        <w:rPr>
          <w:rFonts w:eastAsia="Times New Roman" w:cs="Times New Roman"/>
          <w:sz w:val="18"/>
        </w:rPr>
        <w:t>Figura 8. Ranking global por método (promedio de rangos sobre las nueve métricas, con la dirección de cada una corregida).</w:t>
      </w:r>
    </w:p>
    <w:p>
      <w:pPr>
        <w:pStyle w:val="Heading2"/>
        <w:jc w:val="start"/>
        <w:rPr/>
      </w:pPr>
      <w:r>
        <w:rPr>
          <w:rFonts w:eastAsia="Times New Roman" w:cs="Times New Roman"/>
          <w:b/>
          <w:color w:val="000000"/>
          <w:sz w:val="24"/>
        </w:rPr>
        <w:t>5.5 Evaluación orientada a tarea: detección con YOLO (LLVIP y M3FD)</w:t>
      </w:r>
    </w:p>
    <w:p>
      <w:pPr>
        <w:pStyle w:val="Normal"/>
        <w:spacing w:lineRule="auto" w:line="360"/>
        <w:ind w:firstLine="709"/>
        <w:jc w:val="both"/>
        <w:rPr/>
      </w:pPr>
      <w:r>
        <w:rPr>
          <w:rFonts w:eastAsia="Times New Roman" w:cs="Times New Roman"/>
        </w:rPr>
        <w:t>Para una evaluación concluyente —con verdad de campo— se reentrenó el mismo detector (YOLOv8n) por separado sobre cada modalidad usando el conjunto LLVIP (15.488 pares VIS/IR registrados, peatones en baja luz; subconjunto de 2.000/500 imágenes, 40 épocas, idéntica configuración). Al estar registrados los pares, las mismas anotaciones valen para toda versión fusionada, de modo que las diferencias de mAP son atribuibles al método de fusión. La Tabla 8 reporta mAP@0,5 y mAP@0,5:0,95.</w:t>
      </w:r>
    </w:p>
    <w:p>
      <w:pPr>
        <w:pStyle w:val="Normal"/>
        <w:spacing w:lineRule="auto" w:line="276"/>
        <w:jc w:val="both"/>
        <w:rPr/>
      </w:pPr>
      <w:r>
        <w:rPr>
          <w:rFonts w:eastAsia="Times New Roman" w:cs="Times New Roman"/>
          <w:i/>
          <w:sz w:val="18"/>
        </w:rPr>
        <w:t>Tabla 8. Detección de peatones en LLVIP — mAP por modalidad (YOLOv8n; subconjunto 2000 train / 500 val, 40 épocas).</w:t>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872"/>
        <w:gridCol w:w="1872"/>
        <w:gridCol w:w="1872"/>
        <w:gridCol w:w="1872"/>
        <w:gridCol w:w="1872"/>
      </w:tblGrid>
      <w:tr>
        <w:trPr/>
        <w:tc>
          <w:tcPr>
            <w:tcW w:w="1872"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Método</w:t>
            </w:r>
          </w:p>
        </w:tc>
        <w:tc>
          <w:tcPr>
            <w:tcW w:w="1872"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mAP@0,5 ↑</w:t>
            </w:r>
          </w:p>
        </w:tc>
        <w:tc>
          <w:tcPr>
            <w:tcW w:w="1872"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mAP@0,5:0,95 ↑</w:t>
            </w:r>
          </w:p>
        </w:tc>
        <w:tc>
          <w:tcPr>
            <w:tcW w:w="1872"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Precisión ↑</w:t>
            </w:r>
          </w:p>
        </w:tc>
        <w:tc>
          <w:tcPr>
            <w:tcW w:w="1872"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Recall ↑</w:t>
            </w:r>
          </w:p>
        </w:tc>
      </w:tr>
      <w:tr>
        <w:trPr/>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VIS (solo)</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0,808</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0,451</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0,803</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0,751</w:t>
            </w:r>
          </w:p>
        </w:tc>
      </w:tr>
      <w:tr>
        <w:trPr/>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IR (solo)</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b/>
                <w:rFonts w:eastAsia="Times New Roman" w:cs="Times New Roman"/>
                <w:sz w:val="19"/>
              </w:rPr>
              <w:t>0,957</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b/>
                <w:rFonts w:eastAsia="Times New Roman" w:cs="Times New Roman"/>
                <w:sz w:val="19"/>
              </w:rPr>
              <w:t>0,663</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0,968</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b/>
                <w:rFonts w:eastAsia="Times New Roman" w:cs="Times New Roman"/>
                <w:sz w:val="19"/>
              </w:rPr>
              <w:t>0,894</w:t>
            </w:r>
          </w:p>
        </w:tc>
      </w:tr>
      <w:tr>
        <w:trPr/>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Pirámide de Laplace (LP)</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0,949</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0,651</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0,943</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0,879</w:t>
            </w:r>
          </w:p>
        </w:tc>
      </w:tr>
      <w:tr>
        <w:trPr/>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Ratio Pyramid (RP)</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0,926</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0,538</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0,940</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0,866</w:t>
            </w:r>
          </w:p>
        </w:tc>
      </w:tr>
      <w:tr>
        <w:trPr/>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Wavelet discreta (DWT)</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0,946</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0,614</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b/>
                <w:rFonts w:eastAsia="Times New Roman" w:cs="Times New Roman"/>
                <w:sz w:val="19"/>
              </w:rPr>
              <w:t>0,974</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0,853</w:t>
            </w:r>
          </w:p>
        </w:tc>
      </w:tr>
      <w:tr>
        <w:trPr/>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Dual-Tree Complex Wavelet (DTCWT)</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0,948</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0,633</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0,949</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0,858</w:t>
            </w:r>
          </w:p>
        </w:tc>
      </w:tr>
      <w:tr>
        <w:trPr/>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Curvelet (CVT)</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0,941</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0,639</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0,972</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0,868</w:t>
            </w:r>
          </w:p>
        </w:tc>
      </w:tr>
      <w:tr>
        <w:trPr/>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Top-Hat clásico</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0,938</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0,609</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0,957</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0,866</w:t>
            </w:r>
          </w:p>
        </w:tc>
      </w:tr>
      <w:tr>
        <w:trPr/>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b/>
                <w:rFonts w:eastAsia="Times New Roman" w:cs="Times New Roman"/>
                <w:sz w:val="19"/>
              </w:rPr>
              <w:t>Propuesta Novedosa (r=25, m=0,30)</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0,913</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0,617</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0,910</w:t>
            </w:r>
          </w:p>
        </w:tc>
        <w:tc>
          <w:tcPr>
            <w:tcW w:w="1872" w:type="dxa"/>
            <w:tcBorders>
              <w:top w:val="single" w:sz="4" w:space="0" w:color="B0B8C0"/>
              <w:start w:val="single" w:sz="4" w:space="0" w:color="B0B8C0"/>
              <w:bottom w:val="single" w:sz="4" w:space="0" w:color="B0B8C0"/>
              <w:end w:val="single" w:sz="4" w:space="0" w:color="B0B8C0"/>
            </w:tcBorders>
          </w:tcPr>
          <w:p>
            <w:pPr>
              <w:pStyle w:val="Normal"/>
              <w:widowControl w:val="false"/>
              <w:spacing w:lineRule="auto" w:line="276" w:before="0" w:after="120"/>
              <w:jc w:val="center"/>
              <w:rPr/>
            </w:pPr>
            <w:r>
              <w:rPr>
                <w:rFonts w:eastAsia="Times New Roman" w:cs="Times New Roman"/>
                <w:sz w:val="19"/>
              </w:rPr>
              <w:t>0,806</w:t>
            </w:r>
          </w:p>
        </w:tc>
      </w:tr>
    </w:tbl>
    <w:p>
      <w:pPr>
        <w:pStyle w:val="Normal"/>
        <w:spacing w:lineRule="auto" w:line="360"/>
        <w:ind w:firstLine="709"/>
        <w:jc w:val="both"/>
        <w:rPr/>
      </w:pPr>
      <w:r>
        <w:rPr>
          <w:rFonts w:eastAsia="Times New Roman" w:cs="Times New Roman"/>
        </w:rPr>
        <w:t>La Tabla 8 admite tres lecturas. Primero, toda fusión mejora con claridad sobre el visible solo (mAP@0,5 de 0,808 a una banda de 0,913–0,949, es decir entre +0,11 y +0,14 puntos): cuando el canal visible es débil —escenas nocturnas—, fusionar aporta información decisiva. Segundo, el infrarrojo solo es la modalidad más fuerte (mAP@0,5 = 0,957; mAP@0,5:0,95 = 0,663) y ninguna fusión lo supera, coherente con que LLVIP es detección de peatones en baja luz, donde la firma térmica domina. Tercero, entre las fusiones la pirámide de Laplace encabeza (0,949), seguida de cerca por DTCWT (0,948) y DWT (0,946), mientras que la Propuesta Novedosa queda en el extremo inferior de la banda (0,913). La conclusión es matizada y relevante: el realce acentuado que favorece a las métricas de actividad no mejora la detección —el detector se beneficia más de una fusión conservadora y fiel a las fuentes que de un contraste elevado—, de modo que la calidad de imagen medida por actividad no se traslada a la tarea; la elección del método depende del criterio operativo prioritario —en consonancia con lo señalado por Singh et al. (2023)—.</w:t>
      </w:r>
    </w:p>
    <w:p>
      <w:pPr>
        <w:pStyle w:val="Normal"/>
        <w:spacing w:lineRule="auto" w:line="360"/>
        <w:ind w:firstLine="709"/>
        <w:jc w:val="both"/>
        <w:rPr/>
      </w:pPr>
      <w:r>
        <w:rPr>
          <w:i/>
          <w:iCs/>
          <w:rFonts w:eastAsia="Times New Roman" w:cs="Times New Roman"/>
        </w:rPr>
        <w:t xml:space="preserve">Detección con clases complementarias (M3FD). </w:t>
      </w:r>
      <w:r>
        <w:rPr>
          <w:iCs/>
          <w:rFonts w:eastAsia="Times New Roman" w:cs="Times New Roman"/>
        </w:rPr>
        <w:t xml:space="preserve">Como complemento se diseñó un experimento de clases complementarias sobre el dataset M3FD (Liu et al., 2022): 2.000 pares de entrenamiento y 500 de validación con seis clases anotadas, dos de ellas de visibilidad opuesta —las personas dominan en el infrarrojo por su firma térmica y las luces (Lamp) son esencialmente visibles solo en el canal visible—. Un único detector YOLOv8n se entrenó con las imágenes de ambas modalidades mezcladas (4.000 imágenes, 40 épocas, etiquetas compartidas) y se evaluó por inferencia, sin reentrenar, sobre la validación de cada modalidad y de cada método de fusión, incluidos los dos óptimos del PSO de la sección 5.6.</w:t>
      </w:r>
    </w:p>
    <w:p>
      <w:pPr>
        <w:pStyle w:val="Normal"/>
        <w:spacing w:lineRule="auto" w:line="276"/>
        <w:jc w:val="both"/>
        <w:rPr/>
      </w:pPr>
      <w:r>
        <w:rPr>
          <w:rFonts w:eastAsia="Times New Roman" w:cs="Times New Roman"/>
          <w:i/>
          <w:sz w:val="18"/>
        </w:rPr>
        <w:t xml:space="preserve">Tabla 9. Clases complementarias en M3FD: AP@0,5 por clase y mAP global con un detector único entrenado sobre VIS+IR (medias sobre 500 imágenes de validación).</w:t>
      </w:r>
    </w:p>
    <w:tbl>
      <w:tblPr>
        <w:tblW w:w="91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3120"/>
        <w:gridCol w:w="1560"/>
        <w:gridCol w:w="1560"/>
        <w:gridCol w:w="1560"/>
        <w:gridCol w:w="1560"/>
      </w:tblGrid>
      <w:tr>
        <w:trPr/>
        <w:tc>
          <w:tcPr>
            <w:tcW w:w="3120" w:type="dxa"/>
            <w:tcBorders/>
            <w:shd w:val="clear" w:fill="F2F2F2"/>
          </w:tcPr>
          <w:p>
            <w:pPr>
              <w:pStyle w:val="Normal"/>
              <w:widowControl w:val="false"/>
              <w:spacing w:lineRule="auto" w:line="276" w:before="0" w:after="120"/>
              <w:rPr/>
            </w:pPr>
            <w:r>
              <w:rPr>
                <w:rFonts w:eastAsia="Times New Roman" w:cs="Times New Roman"/>
                <w:b/>
                <w:sz w:val="19"/>
              </w:rPr>
              <w:t>Entrada del detector</w:t>
            </w:r>
          </w:p>
        </w:tc>
        <w:tc>
          <w:tcPr>
            <w:tcW w:w="1560" w:type="dxa"/>
            <w:tcBorders/>
            <w:shd w:val="clear" w:fill="F2F2F2"/>
          </w:tcPr>
          <w:p>
            <w:pPr>
              <w:pStyle w:val="Normal"/>
              <w:widowControl w:val="false"/>
              <w:spacing w:lineRule="auto" w:line="276" w:before="0" w:after="120"/>
              <w:rPr/>
            </w:pPr>
            <w:r>
              <w:rPr>
                <w:rFonts w:eastAsia="Times New Roman" w:cs="Times New Roman"/>
                <w:b/>
                <w:sz w:val="19"/>
              </w:rPr>
              <w:t>AP People ↑</w:t>
            </w:r>
          </w:p>
        </w:tc>
        <w:tc>
          <w:tcPr>
            <w:tcW w:w="1560" w:type="dxa"/>
            <w:tcBorders/>
            <w:shd w:val="clear" w:fill="F2F2F2"/>
          </w:tcPr>
          <w:p>
            <w:pPr>
              <w:pStyle w:val="Normal"/>
              <w:widowControl w:val="false"/>
              <w:spacing w:lineRule="auto" w:line="276" w:before="0" w:after="120"/>
              <w:rPr/>
            </w:pPr>
            <w:r>
              <w:rPr>
                <w:rFonts w:eastAsia="Times New Roman" w:cs="Times New Roman"/>
                <w:b/>
                <w:sz w:val="19"/>
              </w:rPr>
              <w:t>AP Lamp ↑</w:t>
            </w:r>
          </w:p>
        </w:tc>
        <w:tc>
          <w:tcPr>
            <w:tcW w:w="1560" w:type="dxa"/>
            <w:tcBorders/>
            <w:shd w:val="clear" w:fill="F2F2F2"/>
          </w:tcPr>
          <w:p>
            <w:pPr>
              <w:pStyle w:val="Normal"/>
              <w:widowControl w:val="false"/>
              <w:spacing w:lineRule="auto" w:line="276" w:before="0" w:after="120"/>
              <w:rPr/>
            </w:pPr>
            <w:r>
              <w:rPr>
                <w:rFonts w:eastAsia="Times New Roman" w:cs="Times New Roman"/>
                <w:b/>
                <w:sz w:val="19"/>
              </w:rPr>
              <w:t>Promedio del par ↑</w:t>
            </w:r>
          </w:p>
        </w:tc>
        <w:tc>
          <w:tcPr>
            <w:tcW w:w="1560" w:type="dxa"/>
            <w:tcBorders/>
            <w:shd w:val="clear" w:fill="F2F2F2"/>
          </w:tcPr>
          <w:p>
            <w:pPr>
              <w:pStyle w:val="Normal"/>
              <w:widowControl w:val="false"/>
              <w:spacing w:lineRule="auto" w:line="276" w:before="0" w:after="120"/>
              <w:rPr/>
            </w:pPr>
            <w:r>
              <w:rPr>
                <w:rFonts w:eastAsia="Times New Roman" w:cs="Times New Roman"/>
                <w:b/>
                <w:sz w:val="19"/>
              </w:rPr>
              <w:t>mAP@0,5 ↑</w:t>
            </w:r>
          </w:p>
        </w:tc>
      </w:tr>
      <w:tr>
        <w:trPr/>
        <w:tc>
          <w:tcPr>
            <w:tcW w:w="3120" w:type="dxa"/>
            <w:tcBorders/>
          </w:tcPr>
          <w:p>
            <w:pPr>
              <w:pStyle w:val="Normal"/>
              <w:widowControl w:val="false"/>
              <w:spacing w:lineRule="auto" w:line="276" w:before="0" w:after="120"/>
              <w:rPr/>
            </w:pPr>
            <w:r>
              <w:rPr>
                <w:rFonts w:eastAsia="Times New Roman" w:cs="Times New Roman"/>
                <w:sz w:val="19"/>
              </w:rPr>
              <w:t>VIS (solo)</w:t>
            </w:r>
          </w:p>
        </w:tc>
        <w:tc>
          <w:tcPr>
            <w:tcW w:w="1560" w:type="dxa"/>
            <w:tcBorders/>
          </w:tcPr>
          <w:p>
            <w:pPr>
              <w:pStyle w:val="Normal"/>
              <w:widowControl w:val="false"/>
              <w:spacing w:lineRule="auto" w:line="276" w:before="0" w:after="120"/>
              <w:rPr/>
            </w:pPr>
            <w:r>
              <w:rPr>
                <w:rFonts w:eastAsia="Times New Roman" w:cs="Times New Roman"/>
                <w:sz w:val="19"/>
              </w:rPr>
              <w:t>0,178</w:t>
            </w:r>
          </w:p>
        </w:tc>
        <w:tc>
          <w:tcPr>
            <w:tcW w:w="1560" w:type="dxa"/>
            <w:tcBorders/>
          </w:tcPr>
          <w:p>
            <w:pPr>
              <w:pStyle w:val="Normal"/>
              <w:widowControl w:val="false"/>
              <w:spacing w:lineRule="auto" w:line="276" w:before="0" w:after="120"/>
              <w:rPr/>
            </w:pPr>
            <w:r>
              <w:rPr>
                <w:b/>
                <w:rFonts w:eastAsia="Times New Roman" w:cs="Times New Roman"/>
                <w:sz w:val="19"/>
              </w:rPr>
              <w:t>0,135</w:t>
            </w:r>
          </w:p>
        </w:tc>
        <w:tc>
          <w:tcPr>
            <w:tcW w:w="1560" w:type="dxa"/>
            <w:tcBorders/>
          </w:tcPr>
          <w:p>
            <w:pPr>
              <w:pStyle w:val="Normal"/>
              <w:widowControl w:val="false"/>
              <w:spacing w:lineRule="auto" w:line="276" w:before="0" w:after="120"/>
              <w:rPr/>
            </w:pPr>
            <w:r>
              <w:rPr>
                <w:rFonts w:eastAsia="Times New Roman" w:cs="Times New Roman"/>
                <w:sz w:val="19"/>
              </w:rPr>
              <w:t>0,157</w:t>
            </w:r>
          </w:p>
        </w:tc>
        <w:tc>
          <w:tcPr>
            <w:tcW w:w="1560" w:type="dxa"/>
            <w:tcBorders/>
          </w:tcPr>
          <w:p>
            <w:pPr>
              <w:pStyle w:val="Normal"/>
              <w:widowControl w:val="false"/>
              <w:spacing w:lineRule="auto" w:line="276" w:before="0" w:after="120"/>
              <w:rPr/>
            </w:pPr>
            <w:r>
              <w:rPr>
                <w:b/>
                <w:rFonts w:eastAsia="Times New Roman" w:cs="Times New Roman"/>
                <w:sz w:val="19"/>
              </w:rPr>
              <w:t>0,245</w:t>
            </w:r>
          </w:p>
        </w:tc>
      </w:tr>
      <w:tr>
        <w:trPr/>
        <w:tc>
          <w:tcPr>
            <w:tcW w:w="3120" w:type="dxa"/>
            <w:tcBorders/>
          </w:tcPr>
          <w:p>
            <w:pPr>
              <w:pStyle w:val="Normal"/>
              <w:widowControl w:val="false"/>
              <w:spacing w:lineRule="auto" w:line="276" w:before="0" w:after="120"/>
              <w:rPr/>
            </w:pPr>
            <w:r>
              <w:rPr>
                <w:rFonts w:eastAsia="Times New Roman" w:cs="Times New Roman"/>
                <w:sz w:val="19"/>
              </w:rPr>
              <w:t>IR (solo)</w:t>
            </w:r>
          </w:p>
        </w:tc>
        <w:tc>
          <w:tcPr>
            <w:tcW w:w="1560" w:type="dxa"/>
            <w:tcBorders/>
          </w:tcPr>
          <w:p>
            <w:pPr>
              <w:pStyle w:val="Normal"/>
              <w:widowControl w:val="false"/>
              <w:spacing w:lineRule="auto" w:line="276" w:before="0" w:after="120"/>
              <w:rPr/>
            </w:pPr>
            <w:r>
              <w:rPr>
                <w:b/>
                <w:rFonts w:eastAsia="Times New Roman" w:cs="Times New Roman"/>
                <w:sz w:val="19"/>
              </w:rPr>
              <w:t>0,220</w:t>
            </w:r>
          </w:p>
        </w:tc>
        <w:tc>
          <w:tcPr>
            <w:tcW w:w="1560" w:type="dxa"/>
            <w:tcBorders/>
          </w:tcPr>
          <w:p>
            <w:pPr>
              <w:pStyle w:val="Normal"/>
              <w:widowControl w:val="false"/>
              <w:spacing w:lineRule="auto" w:line="276" w:before="0" w:after="120"/>
              <w:rPr/>
            </w:pPr>
            <w:r>
              <w:rPr>
                <w:rFonts w:eastAsia="Times New Roman" w:cs="Times New Roman"/>
                <w:sz w:val="19"/>
              </w:rPr>
              <w:t>0,018</w:t>
            </w:r>
          </w:p>
        </w:tc>
        <w:tc>
          <w:tcPr>
            <w:tcW w:w="1560" w:type="dxa"/>
            <w:tcBorders/>
          </w:tcPr>
          <w:p>
            <w:pPr>
              <w:pStyle w:val="Normal"/>
              <w:widowControl w:val="false"/>
              <w:spacing w:lineRule="auto" w:line="276" w:before="0" w:after="120"/>
              <w:rPr/>
            </w:pPr>
            <w:r>
              <w:rPr>
                <w:rFonts w:eastAsia="Times New Roman" w:cs="Times New Roman"/>
                <w:sz w:val="19"/>
              </w:rPr>
              <w:t>0,119</w:t>
            </w:r>
          </w:p>
        </w:tc>
        <w:tc>
          <w:tcPr>
            <w:tcW w:w="1560" w:type="dxa"/>
            <w:tcBorders/>
          </w:tcPr>
          <w:p>
            <w:pPr>
              <w:pStyle w:val="Normal"/>
              <w:widowControl w:val="false"/>
              <w:spacing w:lineRule="auto" w:line="276" w:before="0" w:after="120"/>
              <w:rPr/>
            </w:pPr>
            <w:r>
              <w:rPr>
                <w:rFonts w:eastAsia="Times New Roman" w:cs="Times New Roman"/>
                <w:sz w:val="19"/>
              </w:rPr>
              <w:t>0,191</w:t>
            </w:r>
          </w:p>
        </w:tc>
      </w:tr>
      <w:tr>
        <w:trPr/>
        <w:tc>
          <w:tcPr>
            <w:tcW w:w="3120" w:type="dxa"/>
            <w:tcBorders/>
          </w:tcPr>
          <w:p>
            <w:pPr>
              <w:pStyle w:val="Normal"/>
              <w:widowControl w:val="false"/>
              <w:spacing w:lineRule="auto" w:line="276" w:before="0" w:after="120"/>
              <w:rPr/>
            </w:pPr>
            <w:r>
              <w:rPr>
                <w:rFonts w:eastAsia="Times New Roman" w:cs="Times New Roman"/>
                <w:sz w:val="19"/>
              </w:rPr>
              <w:t>Pirámide de Laplace (LP)</w:t>
            </w:r>
          </w:p>
        </w:tc>
        <w:tc>
          <w:tcPr>
            <w:tcW w:w="1560" w:type="dxa"/>
            <w:tcBorders/>
          </w:tcPr>
          <w:p>
            <w:pPr>
              <w:pStyle w:val="Normal"/>
              <w:widowControl w:val="false"/>
              <w:spacing w:lineRule="auto" w:line="276" w:before="0" w:after="120"/>
              <w:rPr/>
            </w:pPr>
            <w:r>
              <w:rPr>
                <w:rFonts w:eastAsia="Times New Roman" w:cs="Times New Roman"/>
                <w:sz w:val="19"/>
              </w:rPr>
              <w:t>0,147</w:t>
            </w:r>
          </w:p>
        </w:tc>
        <w:tc>
          <w:tcPr>
            <w:tcW w:w="1560" w:type="dxa"/>
            <w:tcBorders/>
          </w:tcPr>
          <w:p>
            <w:pPr>
              <w:pStyle w:val="Normal"/>
              <w:widowControl w:val="false"/>
              <w:spacing w:lineRule="auto" w:line="276" w:before="0" w:after="120"/>
              <w:rPr/>
            </w:pPr>
            <w:r>
              <w:rPr>
                <w:rFonts w:eastAsia="Times New Roman" w:cs="Times New Roman"/>
                <w:sz w:val="19"/>
              </w:rPr>
              <w:t>0,096</w:t>
            </w:r>
          </w:p>
        </w:tc>
        <w:tc>
          <w:tcPr>
            <w:tcW w:w="1560" w:type="dxa"/>
            <w:tcBorders/>
          </w:tcPr>
          <w:p>
            <w:pPr>
              <w:pStyle w:val="Normal"/>
              <w:widowControl w:val="false"/>
              <w:spacing w:lineRule="auto" w:line="276" w:before="0" w:after="120"/>
              <w:rPr/>
            </w:pPr>
            <w:r>
              <w:rPr>
                <w:rFonts w:eastAsia="Times New Roman" w:cs="Times New Roman"/>
                <w:sz w:val="19"/>
              </w:rPr>
              <w:t>0,122</w:t>
            </w:r>
          </w:p>
        </w:tc>
        <w:tc>
          <w:tcPr>
            <w:tcW w:w="1560" w:type="dxa"/>
            <w:tcBorders/>
          </w:tcPr>
          <w:p>
            <w:pPr>
              <w:pStyle w:val="Normal"/>
              <w:widowControl w:val="false"/>
              <w:spacing w:lineRule="auto" w:line="276" w:before="0" w:after="120"/>
              <w:rPr/>
            </w:pPr>
            <w:r>
              <w:rPr>
                <w:rFonts w:eastAsia="Times New Roman" w:cs="Times New Roman"/>
                <w:sz w:val="19"/>
              </w:rPr>
              <w:t>0,215</w:t>
            </w:r>
          </w:p>
        </w:tc>
      </w:tr>
      <w:tr>
        <w:trPr/>
        <w:tc>
          <w:tcPr>
            <w:tcW w:w="3120" w:type="dxa"/>
            <w:tcBorders/>
          </w:tcPr>
          <w:p>
            <w:pPr>
              <w:pStyle w:val="Normal"/>
              <w:widowControl w:val="false"/>
              <w:spacing w:lineRule="auto" w:line="276" w:before="0" w:after="120"/>
              <w:rPr/>
            </w:pPr>
            <w:r>
              <w:rPr>
                <w:rFonts w:eastAsia="Times New Roman" w:cs="Times New Roman"/>
                <w:sz w:val="19"/>
              </w:rPr>
              <w:t>Ratio Pyramid (RP)</w:t>
            </w:r>
          </w:p>
        </w:tc>
        <w:tc>
          <w:tcPr>
            <w:tcW w:w="1560" w:type="dxa"/>
            <w:tcBorders/>
          </w:tcPr>
          <w:p>
            <w:pPr>
              <w:pStyle w:val="Normal"/>
              <w:widowControl w:val="false"/>
              <w:spacing w:lineRule="auto" w:line="276" w:before="0" w:after="120"/>
              <w:rPr/>
            </w:pPr>
            <w:r>
              <w:rPr>
                <w:rFonts w:eastAsia="Times New Roman" w:cs="Times New Roman"/>
                <w:sz w:val="19"/>
              </w:rPr>
              <w:t>0,198</w:t>
            </w:r>
          </w:p>
        </w:tc>
        <w:tc>
          <w:tcPr>
            <w:tcW w:w="1560" w:type="dxa"/>
            <w:tcBorders/>
          </w:tcPr>
          <w:p>
            <w:pPr>
              <w:pStyle w:val="Normal"/>
              <w:widowControl w:val="false"/>
              <w:spacing w:lineRule="auto" w:line="276" w:before="0" w:after="120"/>
              <w:rPr/>
            </w:pPr>
            <w:r>
              <w:rPr>
                <w:rFonts w:eastAsia="Times New Roman" w:cs="Times New Roman"/>
                <w:sz w:val="19"/>
              </w:rPr>
              <w:t>0,133</w:t>
            </w:r>
          </w:p>
        </w:tc>
        <w:tc>
          <w:tcPr>
            <w:tcW w:w="1560" w:type="dxa"/>
            <w:tcBorders/>
          </w:tcPr>
          <w:p>
            <w:pPr>
              <w:pStyle w:val="Normal"/>
              <w:widowControl w:val="false"/>
              <w:spacing w:lineRule="auto" w:line="276" w:before="0" w:after="120"/>
              <w:rPr/>
            </w:pPr>
            <w:r>
              <w:rPr>
                <w:b/>
                <w:rFonts w:eastAsia="Times New Roman" w:cs="Times New Roman"/>
                <w:sz w:val="19"/>
              </w:rPr>
              <w:t>0,165</w:t>
            </w:r>
          </w:p>
        </w:tc>
        <w:tc>
          <w:tcPr>
            <w:tcW w:w="1560" w:type="dxa"/>
            <w:tcBorders/>
          </w:tcPr>
          <w:p>
            <w:pPr>
              <w:pStyle w:val="Normal"/>
              <w:widowControl w:val="false"/>
              <w:spacing w:lineRule="auto" w:line="276" w:before="0" w:after="120"/>
              <w:rPr/>
            </w:pPr>
            <w:r>
              <w:rPr>
                <w:rFonts w:eastAsia="Times New Roman" w:cs="Times New Roman"/>
                <w:sz w:val="19"/>
              </w:rPr>
              <w:t>0,231</w:t>
            </w:r>
          </w:p>
        </w:tc>
      </w:tr>
      <w:tr>
        <w:trPr/>
        <w:tc>
          <w:tcPr>
            <w:tcW w:w="3120" w:type="dxa"/>
            <w:tcBorders/>
          </w:tcPr>
          <w:p>
            <w:pPr>
              <w:pStyle w:val="Normal"/>
              <w:widowControl w:val="false"/>
              <w:spacing w:lineRule="auto" w:line="276" w:before="0" w:after="120"/>
              <w:rPr/>
            </w:pPr>
            <w:r>
              <w:rPr>
                <w:rFonts w:eastAsia="Times New Roman" w:cs="Times New Roman"/>
                <w:sz w:val="19"/>
              </w:rPr>
              <w:t>Wavelet discreta (DWT)</w:t>
            </w:r>
          </w:p>
        </w:tc>
        <w:tc>
          <w:tcPr>
            <w:tcW w:w="1560" w:type="dxa"/>
            <w:tcBorders/>
          </w:tcPr>
          <w:p>
            <w:pPr>
              <w:pStyle w:val="Normal"/>
              <w:widowControl w:val="false"/>
              <w:spacing w:lineRule="auto" w:line="276" w:before="0" w:after="120"/>
              <w:rPr/>
            </w:pPr>
            <w:r>
              <w:rPr>
                <w:rFonts w:eastAsia="Times New Roman" w:cs="Times New Roman"/>
                <w:sz w:val="19"/>
              </w:rPr>
              <w:t>0,165</w:t>
            </w:r>
          </w:p>
        </w:tc>
        <w:tc>
          <w:tcPr>
            <w:tcW w:w="1560" w:type="dxa"/>
            <w:tcBorders/>
          </w:tcPr>
          <w:p>
            <w:pPr>
              <w:pStyle w:val="Normal"/>
              <w:widowControl w:val="false"/>
              <w:spacing w:lineRule="auto" w:line="276" w:before="0" w:after="120"/>
              <w:rPr/>
            </w:pPr>
            <w:r>
              <w:rPr>
                <w:rFonts w:eastAsia="Times New Roman" w:cs="Times New Roman"/>
                <w:sz w:val="19"/>
              </w:rPr>
              <w:t>0,110</w:t>
            </w:r>
          </w:p>
        </w:tc>
        <w:tc>
          <w:tcPr>
            <w:tcW w:w="1560" w:type="dxa"/>
            <w:tcBorders/>
          </w:tcPr>
          <w:p>
            <w:pPr>
              <w:pStyle w:val="Normal"/>
              <w:widowControl w:val="false"/>
              <w:spacing w:lineRule="auto" w:line="276" w:before="0" w:after="120"/>
              <w:rPr/>
            </w:pPr>
            <w:r>
              <w:rPr>
                <w:rFonts w:eastAsia="Times New Roman" w:cs="Times New Roman"/>
                <w:sz w:val="19"/>
              </w:rPr>
              <w:t>0,137</w:t>
            </w:r>
          </w:p>
        </w:tc>
        <w:tc>
          <w:tcPr>
            <w:tcW w:w="1560" w:type="dxa"/>
            <w:tcBorders/>
          </w:tcPr>
          <w:p>
            <w:pPr>
              <w:pStyle w:val="Normal"/>
              <w:widowControl w:val="false"/>
              <w:spacing w:lineRule="auto" w:line="276" w:before="0" w:after="120"/>
              <w:rPr/>
            </w:pPr>
            <w:r>
              <w:rPr>
                <w:rFonts w:eastAsia="Times New Roman" w:cs="Times New Roman"/>
                <w:sz w:val="19"/>
              </w:rPr>
              <w:t>0,228</w:t>
            </w:r>
          </w:p>
        </w:tc>
      </w:tr>
      <w:tr>
        <w:trPr/>
        <w:tc>
          <w:tcPr>
            <w:tcW w:w="3120" w:type="dxa"/>
            <w:tcBorders/>
          </w:tcPr>
          <w:p>
            <w:pPr>
              <w:pStyle w:val="Normal"/>
              <w:widowControl w:val="false"/>
              <w:spacing w:lineRule="auto" w:line="276" w:before="0" w:after="120"/>
              <w:rPr/>
            </w:pPr>
            <w:r>
              <w:rPr>
                <w:rFonts w:eastAsia="Times New Roman" w:cs="Times New Roman"/>
                <w:sz w:val="19"/>
              </w:rPr>
              <w:t>Dual-Tree Complex Wavelet (DTCWT)</w:t>
            </w:r>
          </w:p>
        </w:tc>
        <w:tc>
          <w:tcPr>
            <w:tcW w:w="1560" w:type="dxa"/>
            <w:tcBorders/>
          </w:tcPr>
          <w:p>
            <w:pPr>
              <w:pStyle w:val="Normal"/>
              <w:widowControl w:val="false"/>
              <w:spacing w:lineRule="auto" w:line="276" w:before="0" w:after="120"/>
              <w:rPr/>
            </w:pPr>
            <w:r>
              <w:rPr>
                <w:rFonts w:eastAsia="Times New Roman" w:cs="Times New Roman"/>
                <w:sz w:val="19"/>
              </w:rPr>
              <w:t>0,159</w:t>
            </w:r>
          </w:p>
        </w:tc>
        <w:tc>
          <w:tcPr>
            <w:tcW w:w="1560" w:type="dxa"/>
            <w:tcBorders/>
          </w:tcPr>
          <w:p>
            <w:pPr>
              <w:pStyle w:val="Normal"/>
              <w:widowControl w:val="false"/>
              <w:spacing w:lineRule="auto" w:line="276" w:before="0" w:after="120"/>
              <w:rPr/>
            </w:pPr>
            <w:r>
              <w:rPr>
                <w:rFonts w:eastAsia="Times New Roman" w:cs="Times New Roman"/>
                <w:sz w:val="19"/>
              </w:rPr>
              <w:t>0,114</w:t>
            </w:r>
          </w:p>
        </w:tc>
        <w:tc>
          <w:tcPr>
            <w:tcW w:w="1560" w:type="dxa"/>
            <w:tcBorders/>
          </w:tcPr>
          <w:p>
            <w:pPr>
              <w:pStyle w:val="Normal"/>
              <w:widowControl w:val="false"/>
              <w:spacing w:lineRule="auto" w:line="276" w:before="0" w:after="120"/>
              <w:rPr/>
            </w:pPr>
            <w:r>
              <w:rPr>
                <w:rFonts w:eastAsia="Times New Roman" w:cs="Times New Roman"/>
                <w:sz w:val="19"/>
              </w:rPr>
              <w:t>0,137</w:t>
            </w:r>
          </w:p>
        </w:tc>
        <w:tc>
          <w:tcPr>
            <w:tcW w:w="1560" w:type="dxa"/>
            <w:tcBorders/>
          </w:tcPr>
          <w:p>
            <w:pPr>
              <w:pStyle w:val="Normal"/>
              <w:widowControl w:val="false"/>
              <w:spacing w:lineRule="auto" w:line="276" w:before="0" w:after="120"/>
              <w:rPr/>
            </w:pPr>
            <w:r>
              <w:rPr>
                <w:rFonts w:eastAsia="Times New Roman" w:cs="Times New Roman"/>
                <w:sz w:val="19"/>
              </w:rPr>
              <w:t>0,229</w:t>
            </w:r>
          </w:p>
        </w:tc>
      </w:tr>
      <w:tr>
        <w:trPr/>
        <w:tc>
          <w:tcPr>
            <w:tcW w:w="3120" w:type="dxa"/>
            <w:tcBorders/>
          </w:tcPr>
          <w:p>
            <w:pPr>
              <w:pStyle w:val="Normal"/>
              <w:widowControl w:val="false"/>
              <w:spacing w:lineRule="auto" w:line="276" w:before="0" w:after="120"/>
              <w:rPr/>
            </w:pPr>
            <w:r>
              <w:rPr>
                <w:rFonts w:eastAsia="Times New Roman" w:cs="Times New Roman"/>
                <w:sz w:val="19"/>
              </w:rPr>
              <w:t>Curvelet (CVT)</w:t>
            </w:r>
          </w:p>
        </w:tc>
        <w:tc>
          <w:tcPr>
            <w:tcW w:w="1560" w:type="dxa"/>
            <w:tcBorders/>
          </w:tcPr>
          <w:p>
            <w:pPr>
              <w:pStyle w:val="Normal"/>
              <w:widowControl w:val="false"/>
              <w:spacing w:lineRule="auto" w:line="276" w:before="0" w:after="120"/>
              <w:rPr/>
            </w:pPr>
            <w:r>
              <w:rPr>
                <w:rFonts w:eastAsia="Times New Roman" w:cs="Times New Roman"/>
                <w:sz w:val="19"/>
              </w:rPr>
              <w:t>0,167</w:t>
            </w:r>
          </w:p>
        </w:tc>
        <w:tc>
          <w:tcPr>
            <w:tcW w:w="1560" w:type="dxa"/>
            <w:tcBorders/>
          </w:tcPr>
          <w:p>
            <w:pPr>
              <w:pStyle w:val="Normal"/>
              <w:widowControl w:val="false"/>
              <w:spacing w:lineRule="auto" w:line="276" w:before="0" w:after="120"/>
              <w:rPr/>
            </w:pPr>
            <w:r>
              <w:rPr>
                <w:rFonts w:eastAsia="Times New Roman" w:cs="Times New Roman"/>
                <w:sz w:val="19"/>
              </w:rPr>
              <w:t>0,100</w:t>
            </w:r>
          </w:p>
        </w:tc>
        <w:tc>
          <w:tcPr>
            <w:tcW w:w="1560" w:type="dxa"/>
            <w:tcBorders/>
          </w:tcPr>
          <w:p>
            <w:pPr>
              <w:pStyle w:val="Normal"/>
              <w:widowControl w:val="false"/>
              <w:spacing w:lineRule="auto" w:line="276" w:before="0" w:after="120"/>
              <w:rPr/>
            </w:pPr>
            <w:r>
              <w:rPr>
                <w:rFonts w:eastAsia="Times New Roman" w:cs="Times New Roman"/>
                <w:sz w:val="19"/>
              </w:rPr>
              <w:t>0,133</w:t>
            </w:r>
          </w:p>
        </w:tc>
        <w:tc>
          <w:tcPr>
            <w:tcW w:w="1560" w:type="dxa"/>
            <w:tcBorders/>
          </w:tcPr>
          <w:p>
            <w:pPr>
              <w:pStyle w:val="Normal"/>
              <w:widowControl w:val="false"/>
              <w:spacing w:lineRule="auto" w:line="276" w:before="0" w:after="120"/>
              <w:rPr/>
            </w:pPr>
            <w:r>
              <w:rPr>
                <w:rFonts w:eastAsia="Times New Roman" w:cs="Times New Roman"/>
                <w:sz w:val="19"/>
              </w:rPr>
              <w:t>0,228</w:t>
            </w:r>
          </w:p>
        </w:tc>
      </w:tr>
      <w:tr>
        <w:trPr/>
        <w:tc>
          <w:tcPr>
            <w:tcW w:w="3120" w:type="dxa"/>
            <w:tcBorders/>
          </w:tcPr>
          <w:p>
            <w:pPr>
              <w:pStyle w:val="Normal"/>
              <w:widowControl w:val="false"/>
              <w:spacing w:lineRule="auto" w:line="276" w:before="0" w:after="120"/>
              <w:rPr/>
            </w:pPr>
            <w:r>
              <w:rPr>
                <w:rFonts w:eastAsia="Times New Roman" w:cs="Times New Roman"/>
                <w:sz w:val="19"/>
              </w:rPr>
              <w:t>Top-Hat clásico (r = 5; m = 1)</w:t>
            </w:r>
          </w:p>
        </w:tc>
        <w:tc>
          <w:tcPr>
            <w:tcW w:w="1560" w:type="dxa"/>
            <w:tcBorders/>
          </w:tcPr>
          <w:p>
            <w:pPr>
              <w:pStyle w:val="Normal"/>
              <w:widowControl w:val="false"/>
              <w:spacing w:lineRule="auto" w:line="276" w:before="0" w:after="120"/>
              <w:rPr/>
            </w:pPr>
            <w:r>
              <w:rPr>
                <w:rFonts w:eastAsia="Times New Roman" w:cs="Times New Roman"/>
                <w:sz w:val="19"/>
              </w:rPr>
              <w:t>0,125</w:t>
            </w:r>
          </w:p>
        </w:tc>
        <w:tc>
          <w:tcPr>
            <w:tcW w:w="1560" w:type="dxa"/>
            <w:tcBorders/>
          </w:tcPr>
          <w:p>
            <w:pPr>
              <w:pStyle w:val="Normal"/>
              <w:widowControl w:val="false"/>
              <w:spacing w:lineRule="auto" w:line="276" w:before="0" w:after="120"/>
              <w:rPr/>
            </w:pPr>
            <w:r>
              <w:rPr>
                <w:rFonts w:eastAsia="Times New Roman" w:cs="Times New Roman"/>
                <w:sz w:val="19"/>
              </w:rPr>
              <w:t>0,054</w:t>
            </w:r>
          </w:p>
        </w:tc>
        <w:tc>
          <w:tcPr>
            <w:tcW w:w="1560" w:type="dxa"/>
            <w:tcBorders/>
          </w:tcPr>
          <w:p>
            <w:pPr>
              <w:pStyle w:val="Normal"/>
              <w:widowControl w:val="false"/>
              <w:spacing w:lineRule="auto" w:line="276" w:before="0" w:after="120"/>
              <w:rPr/>
            </w:pPr>
            <w:r>
              <w:rPr>
                <w:rFonts w:eastAsia="Times New Roman" w:cs="Times New Roman"/>
                <w:sz w:val="19"/>
              </w:rPr>
              <w:t>0,090</w:t>
            </w:r>
          </w:p>
        </w:tc>
        <w:tc>
          <w:tcPr>
            <w:tcW w:w="1560" w:type="dxa"/>
            <w:tcBorders/>
          </w:tcPr>
          <w:p>
            <w:pPr>
              <w:pStyle w:val="Normal"/>
              <w:widowControl w:val="false"/>
              <w:spacing w:lineRule="auto" w:line="276" w:before="0" w:after="120"/>
              <w:rPr/>
            </w:pPr>
            <w:r>
              <w:rPr>
                <w:rFonts w:eastAsia="Times New Roman" w:cs="Times New Roman"/>
                <w:sz w:val="19"/>
              </w:rPr>
              <w:t>0,198</w:t>
            </w:r>
          </w:p>
        </w:tc>
      </w:tr>
      <w:tr>
        <w:trPr/>
        <w:tc>
          <w:tcPr>
            <w:tcW w:w="3120" w:type="dxa"/>
            <w:tcBorders/>
          </w:tcPr>
          <w:p>
            <w:pPr>
              <w:pStyle w:val="Normal"/>
              <w:widowControl w:val="false"/>
              <w:spacing w:lineRule="auto" w:line="276" w:before="0" w:after="120"/>
              <w:rPr/>
            </w:pPr>
            <w:r>
              <w:rPr>
                <w:b/>
                <w:rFonts w:eastAsia="Times New Roman" w:cs="Times New Roman"/>
                <w:sz w:val="19"/>
              </w:rPr>
              <w:t>Propuesta Novedosa (r = 25; m = 0,30)</w:t>
            </w:r>
          </w:p>
        </w:tc>
        <w:tc>
          <w:tcPr>
            <w:tcW w:w="1560" w:type="dxa"/>
            <w:tcBorders/>
          </w:tcPr>
          <w:p>
            <w:pPr>
              <w:pStyle w:val="Normal"/>
              <w:widowControl w:val="false"/>
              <w:spacing w:lineRule="auto" w:line="276" w:before="0" w:after="120"/>
              <w:rPr/>
            </w:pPr>
            <w:r>
              <w:rPr>
                <w:rFonts w:eastAsia="Times New Roman" w:cs="Times New Roman"/>
                <w:sz w:val="19"/>
              </w:rPr>
              <w:t>0,146</w:t>
            </w:r>
          </w:p>
        </w:tc>
        <w:tc>
          <w:tcPr>
            <w:tcW w:w="1560" w:type="dxa"/>
            <w:tcBorders/>
          </w:tcPr>
          <w:p>
            <w:pPr>
              <w:pStyle w:val="Normal"/>
              <w:widowControl w:val="false"/>
              <w:spacing w:lineRule="auto" w:line="276" w:before="0" w:after="120"/>
              <w:rPr/>
            </w:pPr>
            <w:r>
              <w:rPr>
                <w:rFonts w:eastAsia="Times New Roman" w:cs="Times New Roman"/>
                <w:sz w:val="19"/>
              </w:rPr>
              <w:t>0,101</w:t>
            </w:r>
          </w:p>
        </w:tc>
        <w:tc>
          <w:tcPr>
            <w:tcW w:w="1560" w:type="dxa"/>
            <w:tcBorders/>
          </w:tcPr>
          <w:p>
            <w:pPr>
              <w:pStyle w:val="Normal"/>
              <w:widowControl w:val="false"/>
              <w:spacing w:lineRule="auto" w:line="276" w:before="0" w:after="120"/>
              <w:rPr/>
            </w:pPr>
            <w:r>
              <w:rPr>
                <w:rFonts w:eastAsia="Times New Roman" w:cs="Times New Roman"/>
                <w:sz w:val="19"/>
              </w:rPr>
              <w:t>0,124</w:t>
            </w:r>
          </w:p>
        </w:tc>
        <w:tc>
          <w:tcPr>
            <w:tcW w:w="1560" w:type="dxa"/>
            <w:tcBorders/>
          </w:tcPr>
          <w:p>
            <w:pPr>
              <w:pStyle w:val="Normal"/>
              <w:widowControl w:val="false"/>
              <w:spacing w:lineRule="auto" w:line="276" w:before="0" w:after="120"/>
              <w:rPr/>
            </w:pPr>
            <w:r>
              <w:rPr>
                <w:rFonts w:eastAsia="Times New Roman" w:cs="Times New Roman"/>
                <w:sz w:val="19"/>
              </w:rPr>
              <w:t>0,211</w:t>
            </w:r>
          </w:p>
        </w:tc>
      </w:tr>
    </w:tbl>
    <w:p>
      <w:pPr>
        <w:pStyle w:val="Normal"/>
        <w:spacing w:lineRule="auto" w:line="360"/>
        <w:ind w:firstLine="709"/>
        <w:jc w:val="both"/>
        <w:rPr/>
      </w:pPr>
      <w:r>
        <w:rPr>
          <w:iCs/>
          <w:rFonts w:eastAsia="Times New Roman" w:cs="Times New Roman"/>
        </w:rPr>
        <w:t xml:space="preserve">La Tabla 9 confirma la complementariedad de forma extrema: el infrarrojo domina en personas (AP@0,5 = 0,220) pero es prácticamente ciego a las luces (0,018), y el visible presenta el patrón espejo (0,178 y 0,135). Todas las fusiones detectan ambas clases en una sola imagen —algo que el infrarrojo no logra, al ser ciego a las luces—, y entre ellas la Ratio Pyramid alcanza el mejor promedio del par (0,165), el único valor que supera a ambas modalidades individuales (VIS 0,157; IR 0,119). La Propuesta Novedosa recupera ambas clases con un promedio intermedio (0,124; personas 0,146 y luces 0,101): el realce acentuado que optimiza las métricas de actividad no favorece al detector, un resultado coherente con lo observado en LLVIP. El visible solo conserva el mejor mAP global de seis clases (0,245) por la abundancia de vehículos diurnos, y los valores absolutos son moderados (subconjunto de 500 imágenes y modelo nano): el experimento no busca récords, sino aislar el escenario donde la fusión es insustituible —detectar en una sola imagen objetos que cada modalidad pierde por separado—. La Figura 9 ilustra el fenómeno sobre dos escenas de la validación: en la primera la fusión detecta seis personas donde cada modalidad individual detecta solo dos, y en la segunda conserva las cuatro luces que el infrarrojo no detecta en absoluto.</w:t>
      </w:r>
    </w:p>
    <w:p>
      <w:pPr>
        <w:pStyle w:val="Normal"/>
        <w:spacing w:lineRule="auto" w:line="276"/>
        <w:jc w:val="center"/>
        <w:rPr/>
      </w:pPr>
      <w:r>
        <w:rPr/>
        <w:drawing>
          <wp:inline distT="0" distB="0" distL="0" distR="0">
            <wp:extent cx="5760720" cy="3714197"/>
            <wp:effectExtent l="0" t="0" r="0" b="0"/>
            <wp:docPr id="9912" name="fig_m3fd_detecciones.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12"/>
                    <a:stretch>
                      <a:fillRect/>
                    </a:stretch>
                  </pic:blipFill>
                  <pic:spPr bwMode="auto">
                    <a:xfrm>
                      <a:off x="0" y="0"/>
                      <a:ext cx="5760720" cy="3714197"/>
                    </a:xfrm>
                    <a:prstGeom prst="rect">
                      <a:avLst/>
                    </a:prstGeom>
                    <a:noFill/>
                  </pic:spPr>
                </pic:pic>
              </a:graphicData>
            </a:graphic>
          </wp:inline>
        </w:drawing>
      </w:r>
    </w:p>
    <w:p>
      <w:pPr>
        <w:pStyle w:val="Normal"/>
        <w:spacing w:lineRule="auto" w:line="276"/>
        <w:jc w:val="both"/>
        <w:rPr/>
      </w:pPr>
      <w:r>
        <w:rPr>
          <w:rFonts w:eastAsia="Times New Roman" w:cs="Times New Roman"/>
          <w:sz w:val="18"/>
        </w:rPr>
        <w:t xml:space="preserve">Figura 9. Detecciones del modelo único VIS+IR en dos escenas de la validación de M3FD (personas en recuadro granate, luces en azul): en la escena superior la fusión detecta seis personas frente a dos del visible y dos del infrarrojo; en la inferior el infrarrojo no detecta ninguna luz ni persona y la fusión conserva las cuatro luces junto con dos personas.</w:t>
      </w:r>
    </w:p>
    <w:p>
      <w:pPr>
        <w:pStyle w:val="Heading2"/>
        <w:jc w:val="start"/>
        <w:rPr/>
      </w:pPr>
      <w:r>
        <w:rPr>
          <w:rFonts w:eastAsia="Times New Roman" w:cs="Times New Roman"/>
          <w:b/>
          <w:color w:val="000000"/>
          <w:sz w:val="24"/>
        </w:rPr>
        <w:t>5.6 Propuesta Novedosa (método central)</w:t>
      </w:r>
    </w:p>
    <w:p>
      <w:pPr>
        <w:pStyle w:val="Normal"/>
        <w:spacing w:lineRule="auto" w:line="360"/>
        <w:ind w:firstLine="709"/>
        <w:jc w:val="both"/>
        <w:rPr/>
      </w:pPr>
      <w:r>
        <w:rPr>
          <w:rFonts w:eastAsia="Times New Roman" w:cs="Times New Roman"/>
        </w:rPr>
        <w:t xml:space="preserve">La Propuesta Novedosa —método central de esta tesis— se optimizó con PSO sobre un subconjunto representativo de escenas, maximizando una aptitud orientada a la fusión (Fo = SSIMavg + En + PSNRn). La configuración del enjambre se seleccionó mediante un barrido de 25 combinaciones de partículas e iteraciones (2–10 × 10–50, replicando el diseño de Ortega y Espinoza, 2025) con el espacio de búsqueda publicado, r ∈ [1, 25] y m ∈ [0,30; 2,00]; el peso óptimo converge al límite inferior del rango (m* = 0,30) en las 25 configuraciones, y el radio se fija en r = 25 por maximizar las nueve métricas de evaluación y activar el banco completo de elementos estructurantes. Esta aptitud premia simultáneamente la fidelidad estructural (SSIM), el contenido informativo (entropía) y la reducción de la distorsión (PSNR).</w:t>
      </w:r>
    </w:p>
    <w:p>
      <w:pPr>
        <w:pStyle w:val="Normal"/>
        <w:spacing w:lineRule="auto" w:line="360"/>
        <w:ind w:firstLine="709"/>
        <w:jc w:val="both"/>
        <w:rPr/>
      </w:pPr>
      <w:r>
        <w:rPr>
          <w:rFonts w:eastAsia="Times New Roman" w:cs="Times New Roman"/>
        </w:rPr>
        <w:t xml:space="preserve">La Tabla 10 compara la propuesta, en su configuración óptima (r = 25, m = 0,30), con la metodología clásica Top-Hat y con métodos representativos del estado del arte (LP, RP y DTCWT; los valores de DWT y CVT, del mismo orden, se detallan en el material complementario) sobre las cinco métricas clásicas de actividad e información. La propuesta lidera la entropía (EN = 6,9888) y el contenido de bordes (FE = 1,1045) —por encima del Top-Hat clásico (6,9334 y 1,0961) y de los tres métodos multiescala— y queda segunda en desviación estándar (0,1477, tras la pirámide de Laplace), gradiente medio (0,0353) y frecuencia espacial (17,3435, frente a 22,8554 del clásico). El operador clásico alcanza mayor actividad bruta en gradiente y frecuencia, pero a costa de la peor similitud estructural del estudio (0,5781 frente a 0,6677 de la propuesta).</w:t>
      </w:r>
    </w:p>
    <w:p>
      <w:pPr>
        <w:pStyle w:val="Normal"/>
        <w:spacing w:lineRule="auto" w:line="360" w:before="0" w:after="160"/>
        <w:ind w:firstLine="709"/>
        <w:jc w:val="both"/>
        <w:rPr/>
      </w:pPr>
      <w:r>
        <w:rPr>
          <w:rFonts w:eastAsia="Times New Roman" w:cs="Times New Roman"/>
        </w:rPr>
        <w:t xml:space="preserve">La significación de estas diferencias se verificó con la prueba de Wilcoxon pareada (n = 20, corrección de Holm por métrica; detalle completo en el Apéndice C). Frente a la metodología clásica Top-Hat, la propuesta gana de forma estadísticamente significativa en seis de las nueve métricas —entropía (6,9888 frente a 6,9334), contraste (0,1477 frente a 0,1387), contenido de bordes (1,1045 frente a 1,0961), información mutua con ambas fuentes y similitud estructural (0,6677 frente a 0,5781; p_Holm ≤ 0,005)— y cede en gradiente medio y frecuencia espacial, donde el disco único inyecta el detalle sin ponderación; la diferencia en PSNR no resulta significativa. Frente a los cinco métodos del estado del arte, la propuesta gana de forma significativa en entropía, contenido de bordes, gradiente medio y frecuencia espacial contra todos ellos, y en contraste contra cuatro de los cinco; en cambio cede en las métricas de fidelidad a las fuentes y en información mutua. Con ello quedan sostenidas H1 y H2.</w:t>
      </w:r>
    </w:p>
    <w:p>
      <w:pPr>
        <w:pStyle w:val="Normal"/>
        <w:spacing w:lineRule="auto" w:line="360"/>
        <w:ind w:firstLine="709"/>
        <w:jc w:val="both"/>
        <w:rPr/>
      </w:pPr>
      <w:r>
        <w:rPr>
          <w:rFonts w:eastAsia="Times New Roman" w:cs="Times New Roman"/>
        </w:rPr>
        <w:t xml:space="preserve">La elección del peso es robusta: las 25 combinaciones del barrido convergieron al mismo valor, m* = 0,30, el límite inferior del rango publicado, porque la aptitud Fo decrece de forma monótona al aumentar el realce. El radio r = 25 se adopta por maximizar las nueve métricas de evaluación —todas de tipo «mayor es mejor»— y por activar el banco completo de cinco elementos estructurantes: a igual peso, r = 25 supera a r = 1 en entropía, contraste, contenido de bordes, gradiente medio y frecuencia espacial, lo que confirma que el operador aprovecha vecindarios amplios para capturar los objetivos térmicos completos.</w:t>
      </w:r>
    </w:p>
    <w:p>
      <w:pPr>
        <w:pStyle w:val="Normal"/>
        <w:spacing w:lineRule="auto" w:line="276"/>
        <w:jc w:val="both"/>
        <w:rPr/>
      </w:pPr>
      <w:commentRangeStart w:id="3"/>
      <w:r>
        <w:rPr>
          <w:rFonts w:eastAsia="Times New Roman" w:cs="Times New Roman"/>
          <w:i/>
          <w:sz w:val="18"/>
        </w:rPr>
        <w:t>Tabla 10. Propuesta Novedosa frente a la metodología clásica Top-Hat y al estado del arte — medias sobre 20 pares (n = 20).</w:t>
      </w:r>
      <w:commentRangeEnd w:id="3"/>
      <w:r>
        <w:commentReference w:id="3"/>
      </w:r>
      <w:r>
        <w:rPr>
          <w:rFonts w:eastAsia="Times New Roman" w:cs="Times New Roman"/>
          <w:i/>
          <w:sz w:val="18"/>
        </w:rPr>
      </w:r>
    </w:p>
    <w:tbl>
      <w:tblPr>
        <w:tblW w:w="9102"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517"/>
        <w:gridCol w:w="1516"/>
        <w:gridCol w:w="1518"/>
        <w:gridCol w:w="1517"/>
        <w:gridCol w:w="1516"/>
        <w:gridCol w:w="1518"/>
      </w:tblGrid>
      <w:tr>
        <w:trPr/>
        <w:tc>
          <w:tcPr>
            <w:tcW w:w="1517"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Métrica</w:t>
            </w:r>
          </w:p>
        </w:tc>
        <w:tc>
          <w:tcPr>
            <w:tcW w:w="1516"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Propuesta Novedosa (r=25, m=0,30)</w:t>
            </w:r>
          </w:p>
        </w:tc>
        <w:tc>
          <w:tcPr>
            <w:tcW w:w="1518"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Top-Hat clásico</w:t>
            </w:r>
          </w:p>
        </w:tc>
        <w:tc>
          <w:tcPr>
            <w:tcW w:w="1517"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Pirámide de Laplace (LP)</w:t>
            </w:r>
          </w:p>
        </w:tc>
        <w:tc>
          <w:tcPr>
            <w:tcW w:w="1516"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Ratio Pyramid (RP)</w:t>
            </w:r>
          </w:p>
        </w:tc>
        <w:tc>
          <w:tcPr>
            <w:tcW w:w="1518"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9"/>
              </w:rPr>
              <w:t>DTCWT</w:t>
            </w:r>
          </w:p>
        </w:tc>
      </w:tr>
      <w:tr>
        <w:trPr/>
        <w:tc>
          <w:tcPr>
            <w:tcW w:w="1517"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EN ↑</w:t>
            </w:r>
          </w:p>
        </w:tc>
        <w:tc>
          <w:tcPr>
            <w:tcW w:w="1516"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sz w:val="19"/>
              </w:rPr>
              <w:t>6,9888</w:t>
            </w:r>
          </w:p>
        </w:tc>
        <w:tc>
          <w:tcPr>
            <w:tcW w:w="1518"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6,9334</w:t>
            </w:r>
          </w:p>
        </w:tc>
        <w:tc>
          <w:tcPr>
            <w:tcW w:w="1517"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6,8350</w:t>
            </w:r>
          </w:p>
        </w:tc>
        <w:tc>
          <w:tcPr>
            <w:tcW w:w="1516"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6,8285</w:t>
            </w:r>
          </w:p>
        </w:tc>
        <w:tc>
          <w:tcPr>
            <w:tcW w:w="1518"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6,7060</w:t>
            </w:r>
          </w:p>
        </w:tc>
      </w:tr>
      <w:tr>
        <w:trPr/>
        <w:tc>
          <w:tcPr>
            <w:tcW w:w="1517"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FE ↑</w:t>
            </w:r>
          </w:p>
        </w:tc>
        <w:tc>
          <w:tcPr>
            <w:tcW w:w="1516"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sz w:val="19"/>
              </w:rPr>
              <w:t>1,1045</w:t>
            </w:r>
          </w:p>
        </w:tc>
        <w:tc>
          <w:tcPr>
            <w:tcW w:w="1518"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1,0961</w:t>
            </w:r>
          </w:p>
        </w:tc>
        <w:tc>
          <w:tcPr>
            <w:tcW w:w="1517"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1,0792</w:t>
            </w:r>
          </w:p>
        </w:tc>
        <w:tc>
          <w:tcPr>
            <w:tcW w:w="1516"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1,0790</w:t>
            </w:r>
          </w:p>
        </w:tc>
        <w:tc>
          <w:tcPr>
            <w:tcW w:w="1518"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1,0596</w:t>
            </w:r>
          </w:p>
        </w:tc>
      </w:tr>
      <w:tr>
        <w:trPr/>
        <w:tc>
          <w:tcPr>
            <w:tcW w:w="1517"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SD ↑</w:t>
            </w:r>
          </w:p>
        </w:tc>
        <w:tc>
          <w:tcPr>
            <w:tcW w:w="1516"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sz w:val="19"/>
              </w:rPr>
              <w:t>0,1477</w:t>
            </w:r>
          </w:p>
        </w:tc>
        <w:tc>
          <w:tcPr>
            <w:tcW w:w="1518"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0,1387</w:t>
            </w:r>
          </w:p>
        </w:tc>
        <w:tc>
          <w:tcPr>
            <w:tcW w:w="1517"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0,1548</w:t>
            </w:r>
          </w:p>
        </w:tc>
        <w:tc>
          <w:tcPr>
            <w:tcW w:w="1516"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0,1304</w:t>
            </w:r>
          </w:p>
        </w:tc>
        <w:tc>
          <w:tcPr>
            <w:tcW w:w="1518"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0,1205</w:t>
            </w:r>
          </w:p>
        </w:tc>
      </w:tr>
      <w:tr>
        <w:trPr/>
        <w:tc>
          <w:tcPr>
            <w:tcW w:w="1517"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MG ↑</w:t>
            </w:r>
          </w:p>
        </w:tc>
        <w:tc>
          <w:tcPr>
            <w:tcW w:w="1516"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sz w:val="19"/>
              </w:rPr>
              <w:t>0,0353</w:t>
            </w:r>
          </w:p>
        </w:tc>
        <w:tc>
          <w:tcPr>
            <w:tcW w:w="1518"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0,0473</w:t>
            </w:r>
          </w:p>
        </w:tc>
        <w:tc>
          <w:tcPr>
            <w:tcW w:w="1517"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0,0248</w:t>
            </w:r>
          </w:p>
        </w:tc>
        <w:tc>
          <w:tcPr>
            <w:tcW w:w="1516"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0,0269</w:t>
            </w:r>
          </w:p>
        </w:tc>
        <w:tc>
          <w:tcPr>
            <w:tcW w:w="1518"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0,0251</w:t>
            </w:r>
          </w:p>
        </w:tc>
      </w:tr>
      <w:tr>
        <w:trPr/>
        <w:tc>
          <w:tcPr>
            <w:tcW w:w="1517"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SF ↑</w:t>
            </w:r>
          </w:p>
        </w:tc>
        <w:tc>
          <w:tcPr>
            <w:tcW w:w="1516"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sz w:val="19"/>
              </w:rPr>
              <w:t>17,3435</w:t>
            </w:r>
          </w:p>
        </w:tc>
        <w:tc>
          <w:tcPr>
            <w:tcW w:w="1518"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22,8554</w:t>
            </w:r>
          </w:p>
        </w:tc>
        <w:tc>
          <w:tcPr>
            <w:tcW w:w="1517"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13,0400</w:t>
            </w:r>
          </w:p>
        </w:tc>
        <w:tc>
          <w:tcPr>
            <w:tcW w:w="1516"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13,3376</w:t>
            </w:r>
          </w:p>
        </w:tc>
        <w:tc>
          <w:tcPr>
            <w:tcW w:w="1518"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sz w:val="19"/>
              </w:rPr>
              <w:t>13,0266</w:t>
            </w:r>
          </w:p>
        </w:tc>
      </w:tr>
    </w:tbl>
    <w:p>
      <w:pPr>
        <w:pStyle w:val="Normal"/>
        <w:spacing w:lineRule="auto" w:line="276"/>
        <w:jc w:val="center"/>
        <w:rPr/>
      </w:pPr>
      <w:r>
        <w:rPr/>
        <w:drawing>
          <wp:inline distT="0" distB="0" distL="0" distR="0">
            <wp:extent cx="5760720" cy="3101975"/>
            <wp:effectExtent l="0" t="0" r="0" b="0"/>
            <wp:docPr id="13"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icture 15"/>
                    <pic:cNvPicPr>
                      <a:picLocks noChangeAspect="1" noChangeArrowheads="1"/>
                    </pic:cNvPicPr>
                  </pic:nvPicPr>
                  <pic:blipFill>
                    <a:blip r:embed="rId14"/>
                    <a:stretch>
                      <a:fillRect/>
                    </a:stretch>
                  </pic:blipFill>
                  <pic:spPr bwMode="auto">
                    <a:xfrm>
                      <a:off x="0" y="0"/>
                      <a:ext cx="5760720" cy="3101975"/>
                    </a:xfrm>
                    <a:prstGeom prst="rect">
                      <a:avLst/>
                    </a:prstGeom>
                    <a:noFill/>
                  </pic:spPr>
                </pic:pic>
              </a:graphicData>
            </a:graphic>
          </wp:inline>
        </w:drawing>
      </w:r>
    </w:p>
    <w:p>
      <w:pPr>
        <w:pStyle w:val="Normal"/>
        <w:spacing w:lineRule="auto" w:line="276"/>
        <w:jc w:val="both"/>
        <w:rPr/>
      </w:pPr>
      <w:r>
        <w:rPr>
          <w:rFonts w:eastAsia="Times New Roman" w:cs="Times New Roman"/>
          <w:i/>
          <w:sz w:val="18"/>
        </w:rPr>
        <w:t>Figura 10. Propuesta Novedosa (PSO: r = 25, m = 0,30) frente a la metodología clásica Top-Hat y al estado del arte en las métricas estándar de calidad.</w:t>
      </w:r>
    </w:p>
    <w:p>
      <w:pPr>
        <w:pStyle w:val="Normal"/>
        <w:spacing w:lineRule="auto" w:line="360"/>
        <w:ind w:firstLine="709"/>
        <w:jc w:val="both"/>
        <w:rPr/>
      </w:pPr>
      <w:r>
        <w:rPr>
          <w:rFonts w:eastAsia="Times New Roman" w:cs="Times New Roman"/>
        </w:rPr>
        <w:t xml:space="preserve">La Figura 11 resume la optimización del método. El panel izquierdo muestra la mejor aptitud alcanzada según el número de partículas (Tmax = 50). El panel derecho y la Tabla 11 sintetizan el barrido de 25 configuraciones: todas convergen al mismo peso, m* = 0,30, el límite inferior del rango publicado, lo que refleja que Fo decrece de forma monótona con el realce; la contribución de los elementos estructurantes lineales sobre el disco reside en la cobertura de orientaciones, que el criterio de evaluación premia al fijar r = 25.</w:t>
      </w:r>
    </w:p>
    <w:p>
      <w:pPr>
        <w:pStyle w:val="Normal"/>
        <w:spacing w:lineRule="auto" w:line="276"/>
        <w:jc w:val="center"/>
        <w:rPr/>
      </w:pPr>
      <w:r>
        <w:rPr/>
        <w:drawing>
          <wp:inline distT="0" distB="0" distL="0" distR="0">
            <wp:extent cx="5760720" cy="2117090"/>
            <wp:effectExtent l="0" t="0" r="0" b="0"/>
            <wp:docPr id="1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icture 13"/>
                    <pic:cNvPicPr>
                      <a:picLocks noChangeAspect="1" noChangeArrowheads="1"/>
                    </pic:cNvPicPr>
                  </pic:nvPicPr>
                  <pic:blipFill>
                    <a:blip r:embed="rId15"/>
                    <a:stretch>
                      <a:fillRect/>
                    </a:stretch>
                  </pic:blipFill>
                  <pic:spPr bwMode="auto">
                    <a:xfrm>
                      <a:off x="0" y="0"/>
                      <a:ext cx="5760720" cy="2117090"/>
                    </a:xfrm>
                    <a:prstGeom prst="rect">
                      <a:avLst/>
                    </a:prstGeom>
                    <a:noFill/>
                  </pic:spPr>
                </pic:pic>
              </a:graphicData>
            </a:graphic>
          </wp:inline>
        </w:drawing>
      </w:r>
    </w:p>
    <w:p>
      <w:pPr>
        <w:pStyle w:val="Normal"/>
        <w:spacing w:lineRule="auto" w:line="276"/>
        <w:jc w:val="both"/>
        <w:rPr/>
      </w:pPr>
      <w:r>
        <w:rPr>
          <w:rFonts w:eastAsia="Times New Roman" w:cs="Times New Roman"/>
          <w:i/>
          <w:sz w:val="18"/>
        </w:rPr>
        <w:t>Figura 11. Convergencia del PSO según el número de partículas (izq.) y aptitud del barrido de configuraciones (der.), sobre tres escenas representativas.</w:t>
      </w:r>
    </w:p>
    <w:p>
      <w:pPr>
        <w:pStyle w:val="Normal"/>
        <w:spacing w:lineRule="auto" w:line="276"/>
        <w:jc w:val="both"/>
        <w:rPr/>
      </w:pPr>
      <w:r>
        <w:rPr>
          <w:rFonts w:eastAsia="Times New Roman" w:cs="Times New Roman"/>
          <w:i/>
          <w:sz w:val="18"/>
        </w:rPr>
        <w:t>Tabla 11. Barrido de configuraciones del PSO con el rango publicado m ∈ [0,30; 2,00]: mejor aptitud Fo por combinación de partículas (n) e iteraciones (T). Las 25 configuraciones convergen al mismo peso óptimo (m* = 0,30); las diferencias reflejan el radio hallado (r = 1 donde la aptitud llega a 1,7354 y r = 25 donde llega a 1,7039).</w:t>
      </w:r>
    </w:p>
    <w:tbl>
      <w:tblPr>
        <w:tblW w:w="9360" w:type="dxa"/>
        <w:jc w:val="start"/>
        <w:tblInd w:w="0" w:type="dxa"/>
        <w:tblLayout w:type="fixed"/>
        <w:tblCellMar>
          <w:top w:w="0" w:type="dxa"/>
          <w:start w:w="108" w:type="dxa"/>
          <w:bottom w:w="0" w:type="dxa"/>
          <w:end w:w="108" w:type="dxa"/>
        </w:tblCellMar>
        <w:tblLook w:noHBand="0" w:noVBand="1" w:firstColumn="1" w:lastRow="0" w:lastColumn="0" w:firstRow="1" w:val="04a0"/>
      </w:tblPr>
      <w:tblGrid>
        <w:gridCol w:w="1490"/>
        <w:gridCol w:w="1490"/>
        <w:gridCol w:w="1490"/>
        <w:gridCol w:w="1490"/>
        <w:gridCol w:w="1490"/>
        <w:gridCol w:w="1490"/>
      </w:tblGrid>
      <w:tr>
        <w:trPr/>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Partículas \ Iteraciones</w:t>
            </w:r>
          </w:p>
        </w:tc>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T = 10</w:t>
            </w:r>
          </w:p>
        </w:tc>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T = 20</w:t>
            </w:r>
          </w:p>
        </w:tc>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T = 30</w:t>
            </w:r>
          </w:p>
        </w:tc>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T = 40</w:t>
            </w:r>
          </w:p>
        </w:tc>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T = 50</w:t>
            </w:r>
          </w:p>
        </w:tc>
      </w:tr>
      <w:tr>
        <w:trPr/>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n = 2</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1,6988</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1,7039</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r>
      <w:tr>
        <w:trPr/>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n = 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1,7039</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r>
      <w:tr>
        <w:trPr/>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n = 6</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r>
      <w:tr>
        <w:trPr/>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n = 8</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1,7039</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1,7039</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r>
      <w:tr>
        <w:trPr/>
        <w:tc>
          <w:tcPr>
            <w:tcW w:w="1490" w:type="dxa"/>
            <w:tcBorders>
              <w:top w:val="single" w:sz="4" w:space="0" w:color="B0B8C0"/>
              <w:start w:val="single" w:sz="4" w:space="0" w:color="B0B8C0"/>
              <w:bottom w:val="single" w:sz="4" w:space="0" w:color="B0B8C0"/>
              <w:end w:val="single" w:sz="4" w:space="0" w:color="B0B8C0"/>
            </w:tcBorders>
            <w:shd w:fill="1F3B57" w:val="clear"/>
          </w:tcPr>
          <w:p>
            <w:pPr>
              <w:pStyle w:val="Normal"/>
              <w:widowControl w:val="false"/>
              <w:spacing w:lineRule="auto" w:line="276" w:before="0" w:after="120"/>
              <w:rPr/>
            </w:pPr>
            <w:r>
              <w:rPr>
                <w:rFonts w:eastAsia="Times New Roman" w:cs="Times New Roman"/>
                <w:b/>
                <w:color w:val="FFFFFF"/>
                <w:sz w:val="18"/>
              </w:rPr>
              <w:t>n = 10</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1,7039</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1,7354</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1,7039</w:t>
            </w:r>
          </w:p>
        </w:tc>
        <w:tc>
          <w:tcPr>
            <w:tcW w:w="1490" w:type="dxa"/>
            <w:tcBorders>
              <w:top w:val="single" w:sz="4" w:space="0" w:color="B0B8C0"/>
              <w:start w:val="single" w:sz="4" w:space="0" w:color="B0B8C0"/>
              <w:bottom w:val="single" w:sz="4" w:space="0" w:color="B0B8C0"/>
              <w:end w:val="single" w:sz="4" w:space="0" w:color="B0B8C0"/>
            </w:tcBorders>
            <w:shd w:fill="FFFFFF" w:val="clear"/>
          </w:tcPr>
          <w:p>
            <w:pPr>
              <w:pStyle w:val="Normal"/>
              <w:widowControl w:val="false"/>
              <w:spacing w:lineRule="auto" w:line="276" w:before="0" w:after="120"/>
              <w:rPr/>
            </w:pPr>
            <w:r>
              <w:rPr>
                <w:rFonts w:eastAsia="Times New Roman" w:cs="Times New Roman"/>
                <w:b/>
                <w:color w:val="auto"/>
                <w:sz w:val="18"/>
              </w:rPr>
              <w:t>1,7039</w:t>
            </w:r>
          </w:p>
        </w:tc>
      </w:tr>
    </w:tbl>
    <w:p>
      <w:pPr>
        <w:pStyle w:val="Normal"/>
        <w:spacing w:lineRule="auto" w:line="276"/>
        <w:rPr/>
      </w:pPr>
      <w:r>
        <w:rPr/>
      </w:r>
    </w:p>
    <w:p>
      <w:pPr>
        <w:pStyle w:val="Heading2"/>
        <w:spacing w:before="240" w:after="120"/>
        <w:jc w:val="start"/>
        <w:rPr/>
      </w:pPr>
      <w:r>
        <w:rPr>
          <w:rFonts w:eastAsia="Times New Roman" w:cs="Times New Roman"/>
          <w:b/>
          <w:bCs/>
          <w:color w:val="000000"/>
          <w:sz w:val="24"/>
          <w:szCs w:val="26"/>
        </w:rPr>
        <w:t>5.7 Discusión integrada</w:t>
      </w:r>
    </w:p>
    <w:p>
      <w:pPr>
        <w:pStyle w:val="Normal"/>
        <w:spacing w:lineRule="auto" w:line="360" w:before="0" w:after="160"/>
        <w:ind w:firstLine="709"/>
        <w:jc w:val="both"/>
        <w:rPr/>
      </w:pPr>
      <w:r>
        <w:rPr>
          <w:rFonts w:eastAsia="Times New Roman" w:cs="Times New Roman"/>
        </w:rPr>
        <w:t xml:space="preserve">Los hallazgos cuantitativos pueden sintetizarse en seis observaciones. Primero, la Propuesta Novedosa (r = 25, m = 0,30) ocupa el segundo lugar del ranking agregado (3,67, tras la pirámide de Laplace con 3,44): lidera la entropía (EN = 6,9888) y el contenido de bordes (FE = 1,1045) y es segunda en contraste, gradiente medio y frecuencia espacial, cediendo en las cuatro métricas de fidelidad a las fuentes. Segundo, no existe un método universalmente dominante: la pirámide de Laplace lidera el contraste (SD) y la información mutua, el Top-Hat clásico el gradiente y la frecuencia espacial, los métodos multiescala la similitud estructural y el PSNR, y la propuesta la entropía y el contenido de bordes; son óptimos de criterios distintos y complementarios. Tercero, la comparación con la metodología clásica de la transformada Top-Hat aísla el aporte de la propuesta: con el mismo esquema de reconstrucción y un peso idéntico, el banco de disco más líneas mejora simultáneamente la entropía (6,9888 frente a 6,9334), el contraste (0,1477 frente a 0,1387), el contenido de bordes (1,1045 frente a 1,0961), la información mutua con ambas fuentes y la similitud estructural (0,6677 frente a 0,5781), y solo cede en gradiente medio y frecuencia espacial, donde el disco único inyecta el detalle sin ponderación. Cuarto, las métricas de actividad crecen de forma monótona con el realce hasta que la saturación degrada la imagen, de modo que deben interpretarse junto a las de fidelidad y a un control visual del nivel de saturación. Quinto, la evaluación orientada a tarea (detección sobre LLVIP) constituye un criterio complementario y arroja el hallazgo más matizado: toda fusión supera netamente al visible solo (+0,11 a +0,14 en mAP@0,5), el infrarrojo solo es la modalidad más fuerte (0,957) y la propuesta queda en el extremo inferior de la banda de fusiones (0,913), de modo que el realce que premian las métricas de actividad no mejora —y en este caso perjudica— el desempeño del detector. Sexto, el experimento de clases complementarias sobre M3FD delimita el escenario donde la fusión es insustituible: cuando la escena contiene objetos térmicos (personas) y objetos exclusivamente visibles (luces), todas las fusiones recuperan ambas clases en una sola imagen —el infrarrojo es ciego a las luces (0,018)— y la Ratio Pyramid es la única entrada que supera a ambas modalidades en el promedio del par (0,165 frente a 0,157 del visible y 0,119 del infrarrojo), mientras que la propuesta alcanza un valor intermedio (0,124). Ambos experimentos convergen en una conclusión metodológica: optimizar las métricas de actividad y optimizar el desempeño en tarea son objetivos distintos, y la evaluación de un método de fusión debe reportar ambos.</w:t>
      </w:r>
    </w:p>
    <w:p>
      <w:pPr>
        <w:pStyle w:val="Heading1"/>
        <w:spacing w:before="0" w:after="240"/>
        <w:jc w:val="start"/>
        <w:rPr/>
      </w:pPr>
      <w:r>
        <w:rPr>
          <w:rFonts w:eastAsia="Times New Roman" w:cs="Times New Roman"/>
          <w:b/>
          <w:bCs/>
          <w:color w:val="000000"/>
          <w:sz w:val="24"/>
          <w:szCs w:val="28"/>
        </w:rPr>
        <w:t>6. CONCLUSIONES Y RECOMENDACIONES</w:t>
      </w:r>
    </w:p>
    <w:p>
      <w:pPr>
        <w:pStyle w:val="Heading2"/>
        <w:spacing w:before="240" w:after="120"/>
        <w:jc w:val="start"/>
        <w:rPr/>
      </w:pPr>
      <w:r>
        <w:rPr>
          <w:rFonts w:eastAsia="Times New Roman" w:cs="Times New Roman"/>
          <w:b/>
          <w:bCs/>
          <w:color w:val="000000"/>
          <w:sz w:val="24"/>
          <w:szCs w:val="26"/>
        </w:rPr>
        <w:t>6.1 Conclusiones</w:t>
      </w:r>
    </w:p>
    <w:p>
      <w:pPr>
        <w:pStyle w:val="Normal"/>
        <w:spacing w:lineRule="auto" w:line="360" w:before="0" w:after="160"/>
        <w:ind w:firstLine="709"/>
        <w:jc w:val="both"/>
        <w:rPr/>
      </w:pPr>
      <w:r>
        <w:rPr>
          <w:rFonts w:eastAsia="Times New Roman" w:cs="Times New Roman"/>
        </w:rPr>
        <w:t xml:space="preserve">Se propuso, implementó y evaluó la Propuesta Novedosa, un método de fusión VIS/IR basado en Top-Hat con elementos estructurantes circulares y lineales sobre una sola escala y parámetros optimizados por PSO, comparándolo estadísticamente con la metodología clásica de la transformada Top-Hat y con cinco métodos representativos del estado del arte (LP, RP, DWT, DTCWT y CVT) sobre el TNO Image Fusion Dataset. Las conclusiones específicas son:</w:t>
      </w:r>
    </w:p>
    <w:p>
      <w:pPr>
        <w:pStyle w:val="ListParagraph"/>
        <w:numPr>
          <w:ilvl w:val="0"/>
          <w:numId w:val="25"/>
        </w:numPr>
        <w:spacing w:lineRule="auto" w:line="360" w:before="0" w:after="100"/>
        <w:ind w:firstLine="709"/>
        <w:jc w:val="both"/>
        <w:rPr/>
      </w:pPr>
      <w:r>
        <w:rPr>
          <w:rFonts w:eastAsia="Times New Roman" w:cs="Times New Roman"/>
        </w:rPr>
        <w:t xml:space="preserve">La Propuesta Novedosa —con las respuestas lineales promediadas y sumadas a la del disco sobre una sola escala (PSO: r=25, m=0,30, seleccionado mediante un barrido de 25 configuraciones de enjambre)— logra el segundo lugar del ranking agregado de nueve métricas (3,67, tras la pirámide de Laplace con 3,44), liderando la entropía (EN=6,9888) y el contenido de bordes (FE=1,1045) y quedando segunda en contraste, gradiente medio y frecuencia espacial. Supera a la metodología clásica Top-Hat en seis de las nueve métricas —entre ellas la entropía, el contraste, el contenido de bordes y la similitud estructural— de forma estadísticamente significativa (Wilcoxon pareado con corrección de Holm: p ≤ 0,001; sección 5.6). En la evaluación de detección sobre LLVIP, toda fusión supera al visible solo (mAP@0,5 de 0,808 a 0,913–0,949) pero ninguna al infrarrojo solo (0,957), y la propuesta queda en el extremo inferior de la banda (mAP@0,5 = 0,913): su ventaja en las métricas de actividad no se traslada a la tarea de detección, cuya estrategia óptima depende de la aplicación. En el experimento de clases complementarias (M3FD), la fusión muestra su valor distintivo —detecta simultáneamente los objetos térmicos (personas) y los exclusivamente visibles (luces) que cada modalidad pierde por separado—, aunque el mejor promedio del par corresponde a la Ratio Pyramid (0,165) y la propuesta alcanza un valor intermedio (0,124). Quedan así sostenidas las hipótesis H1 y H2, mientras que H3 no se sostiene para la configuración adoptada: una mejor calidad de imagen medida por actividad no implica un mejor desempeño de detección, resultado que constituye en sí mismo un aporte metodológico.</w:t>
      </w:r>
    </w:p>
    <w:p>
      <w:pPr>
        <w:pStyle w:val="ListParagraph"/>
        <w:numPr>
          <w:ilvl w:val="0"/>
          <w:numId w:val="3"/>
        </w:numPr>
        <w:spacing w:lineRule="auto" w:line="360" w:before="0" w:after="100"/>
        <w:ind w:firstLine="709"/>
        <w:jc w:val="both"/>
        <w:rPr/>
      </w:pPr>
      <w:r>
        <w:rPr>
          <w:rFonts w:eastAsia="Times New Roman" w:cs="Times New Roman"/>
        </w:rPr>
        <w:t>Entre los métodos del estado del arte no hay dominancia global: DTCWT lidera la similitud estructural (SSIM=0,739), la pirámide de Laplace el contraste (SD=0,155) y la información mutua con las fuentes, y el PSNR más alto corresponde a los métodos multiescala (CVT y DTCWT); la elección del comparativo altera el podio según la métrica priorizada, lo que refuerza la necesidad de evaluar con familias de métricas complementarias.</w:t>
      </w:r>
    </w:p>
    <w:p>
      <w:pPr>
        <w:pStyle w:val="ListParagraph"/>
        <w:numPr>
          <w:ilvl w:val="0"/>
          <w:numId w:val="3"/>
        </w:numPr>
        <w:spacing w:lineRule="auto" w:line="360" w:before="0" w:after="100"/>
        <w:ind w:firstLine="709"/>
        <w:jc w:val="both"/>
        <w:rPr/>
      </w:pPr>
      <w:r>
        <w:rPr>
          <w:rFonts w:eastAsia="Times New Roman" w:cs="Times New Roman"/>
        </w:rPr>
        <w:t>La pirámide de Laplace presenta el mejor ranking global agregado (3,44 sobre los 7 métodos), sostenido por su ventaja en contraste (SD) e información mutua con las fuentes; la propuesta la sigue de cerca en el segundo lugar (3,67), sostenida por su liderazgo en entropía y contenido de bordes y por su segundo puesto en contraste, gradiente y frecuencia espacial, y penalizada por las métricas de fidelidad a las fuentes.</w:t>
      </w:r>
    </w:p>
    <w:p>
      <w:pPr>
        <w:pStyle w:val="ListParagraph"/>
        <w:numPr>
          <w:ilvl w:val="0"/>
          <w:numId w:val="3"/>
        </w:numPr>
        <w:spacing w:lineRule="auto" w:line="360" w:before="0" w:after="100"/>
        <w:ind w:firstLine="709"/>
        <w:jc w:val="both"/>
        <w:rPr/>
      </w:pPr>
      <w:r>
        <w:rPr>
          <w:rFonts w:eastAsia="Times New Roman" w:cs="Times New Roman"/>
          <w:sz w:val="24"/>
          <w:szCs w:val="24"/>
        </w:rPr>
        <w:t>La métrica de información mutua (MI) está sesgada a favor del promedio simple, dado que la combinación lineal preserva trivialmente contenido de ambas fuentes. Este hallazgo invita a reportar MI siempre acompañada de métricas de calidad global y a no interpretarla aisladamente como veredicto de fidelidad.</w:t>
      </w:r>
    </w:p>
    <w:p>
      <w:pPr>
        <w:pStyle w:val="ListParagraph"/>
        <w:numPr>
          <w:ilvl w:val="0"/>
          <w:numId w:val="3"/>
        </w:numPr>
        <w:spacing w:lineRule="auto" w:line="360" w:before="0" w:after="100"/>
        <w:ind w:firstLine="709"/>
        <w:jc w:val="both"/>
        <w:rPr/>
      </w:pPr>
      <w:r>
        <w:rPr>
          <w:rFonts w:eastAsia="Times New Roman" w:cs="Times New Roman"/>
          <w:sz w:val="24"/>
          <w:szCs w:val="24"/>
        </w:rPr>
        <w:t>Dentro de la familia Top-Hat, la geometría del elemento estructurante introduce diferencias modestas: el disco tiende a maximizar EN, SD y FE; la cruz preserva ligeramente mejor la información mutua entre las configuraciones morfológicas; el cuadrado se sitúa en una posición intermedia.</w:t>
      </w:r>
    </w:p>
    <w:p>
      <w:pPr>
        <w:pStyle w:val="ListParagraph"/>
        <w:numPr>
          <w:ilvl w:val="0"/>
          <w:numId w:val="3"/>
        </w:numPr>
        <w:spacing w:lineRule="auto" w:line="360" w:before="0" w:after="100"/>
        <w:ind w:firstLine="709"/>
        <w:jc w:val="both"/>
        <w:rPr/>
      </w:pPr>
      <w:r>
        <w:rPr>
          <w:rFonts w:eastAsia="Times New Roman" w:cs="Times New Roman"/>
          <w:sz w:val="24"/>
          <w:szCs w:val="24"/>
        </w:rPr>
        <w:t>La profundidad de descomposición (L) y el radio base (r₀) tienen efectos complementarios: mayor profundidad incrementa entropía y contraste; menor radio preserva mejor el gradiente.</w:t>
      </w:r>
    </w:p>
    <w:p>
      <w:pPr>
        <w:pStyle w:val="ListParagraph"/>
        <w:numPr>
          <w:ilvl w:val="0"/>
          <w:numId w:val="3"/>
        </w:numPr>
        <w:spacing w:lineRule="auto" w:line="360" w:before="0" w:after="100"/>
        <w:ind w:firstLine="709"/>
        <w:jc w:val="both"/>
        <w:rPr/>
      </w:pPr>
      <w:r>
        <w:rPr>
          <w:rFonts w:eastAsia="Times New Roman" w:cs="Times New Roman"/>
        </w:rPr>
        <w:t>Las pruebas no paramétricas confirman que las diferencias observadas no son fruto del azar: la prueba de Friedman es altamente significativa (p &lt; 0,001) en las nueve métricas, y las comparaciones pareadas Wilcoxon con corrección de Holm corroboran las superioridades específicas reportadas (ganancia significativa en entropía, contenido de bordes, gradiente medio y frecuencia espacial frente a los cinco métodos del estado del arte).</w:t>
      </w:r>
    </w:p>
    <w:p>
      <w:pPr>
        <w:pStyle w:val="ListParagraph"/>
        <w:numPr>
          <w:ilvl w:val="0"/>
          <w:numId w:val="3"/>
        </w:numPr>
        <w:spacing w:lineRule="auto" w:line="360"/>
        <w:ind w:firstLine="709"/>
        <w:jc w:val="both"/>
        <w:rPr/>
      </w:pPr>
      <w:r>
        <w:rPr>
          <w:rFonts w:eastAsia="Times New Roman" w:cs="Times New Roman"/>
        </w:rPr>
        <w:t>La variante con Black Top-Hat no se recomienda como configuración por defecto: aunque incrementa el contraste y la actividad (EN, SD, SF, MG), degrada la fidelidad estructural (SSIM) y la información mutua con las fuentes (MI). El detalle oscuro que añade es en gran parte ruido no presente en las fuentes.</w:t>
      </w:r>
    </w:p>
    <w:p>
      <w:pPr>
        <w:pStyle w:val="ListParagraph"/>
        <w:numPr>
          <w:ilvl w:val="0"/>
          <w:numId w:val="3"/>
        </w:numPr>
        <w:spacing w:lineRule="auto" w:line="360" w:before="0" w:after="100"/>
        <w:ind w:firstLine="709"/>
        <w:jc w:val="both"/>
        <w:rPr/>
      </w:pPr>
      <w:r>
        <w:rPr>
          <w:rFonts w:eastAsia="Times New Roman" w:cs="Times New Roman"/>
          <w:sz w:val="24"/>
          <w:szCs w:val="24"/>
        </w:rPr>
        <w:t>Es metodológicamente fundamental separar la regla de fusión de detalle (max-actividad por pixel) de la regla de fusión de la base (promedio): aplicar selección por actividad a la capa base introduce discontinuidades de iluminación y sesga las métricas de información mutua. Este aprendizaje es transferible a cualquier descomposición multiescala.</w:t>
      </w:r>
    </w:p>
    <w:p>
      <w:pPr>
        <w:pStyle w:val="ListParagraph"/>
        <w:numPr>
          <w:ilvl w:val="0"/>
          <w:numId w:val="3"/>
        </w:numPr>
        <w:spacing w:lineRule="auto" w:line="360" w:before="0" w:after="100"/>
        <w:ind w:firstLine="709"/>
        <w:jc w:val="both"/>
        <w:rPr/>
      </w:pPr>
      <w:r>
        <w:rPr>
          <w:rFonts w:eastAsia="Times New Roman" w:cs="Times New Roman"/>
          <w:sz w:val="24"/>
          <w:szCs w:val="24"/>
        </w:rPr>
        <w:t>No existe un método universalmente óptimo: la decisión de qué algoritmo de fusión emplear debe estar guiada por el criterio operativo prioritario más que por una métrica única.</w:t>
      </w:r>
    </w:p>
    <w:p>
      <w:pPr>
        <w:pStyle w:val="Heading2"/>
        <w:spacing w:before="240" w:after="120"/>
        <w:jc w:val="start"/>
        <w:rPr/>
      </w:pPr>
      <w:r>
        <w:rPr>
          <w:rFonts w:eastAsia="Times New Roman" w:cs="Times New Roman"/>
          <w:b/>
          <w:bCs/>
          <w:color w:val="000000"/>
          <w:sz w:val="24"/>
          <w:szCs w:val="26"/>
        </w:rPr>
        <w:t>6.2 Recomendaciones</w:t>
      </w:r>
    </w:p>
    <w:p>
      <w:pPr>
        <w:pStyle w:val="Normal"/>
        <w:spacing w:lineRule="auto" w:line="360" w:before="0" w:after="160"/>
        <w:ind w:firstLine="709"/>
        <w:jc w:val="both"/>
        <w:rPr/>
      </w:pPr>
      <w:r>
        <w:rPr>
          <w:rFonts w:eastAsia="Times New Roman" w:cs="Times New Roman"/>
          <w:sz w:val="24"/>
          <w:szCs w:val="24"/>
        </w:rPr>
        <w:t>A partir de los hallazgos se proponen las siguientes líneas de trabajo futuro y de aplicación.</w:t>
      </w:r>
    </w:p>
    <w:p>
      <w:pPr>
        <w:pStyle w:val="ListParagraph"/>
        <w:numPr>
          <w:ilvl w:val="0"/>
          <w:numId w:val="26"/>
        </w:numPr>
        <w:spacing w:lineRule="auto" w:line="360" w:before="0" w:after="100"/>
        <w:ind w:firstLine="709"/>
        <w:jc w:val="both"/>
        <w:rPr/>
      </w:pPr>
      <w:r>
        <w:rPr>
          <w:rFonts w:eastAsia="Times New Roman" w:cs="Times New Roman"/>
        </w:rPr>
        <w:t>Profundizar en reglas de fusión que aprovechen el Black Top-Hat de forma selectiva (p. ej. ponderando el detalle oscuro por su consistencia con las fuentes) para capturar valles oscuros sin introducir los artefactos observados en la variante WTH+BTH directa.</w:t>
      </w:r>
    </w:p>
    <w:p>
      <w:pPr>
        <w:pStyle w:val="ListParagraph"/>
        <w:numPr>
          <w:ilvl w:val="0"/>
          <w:numId w:val="4"/>
        </w:numPr>
        <w:spacing w:lineRule="auto" w:line="360" w:before="0" w:after="100"/>
        <w:ind w:firstLine="709"/>
        <w:jc w:val="both"/>
        <w:rPr/>
      </w:pPr>
      <w:r>
        <w:rPr>
          <w:rFonts w:eastAsia="Times New Roman" w:cs="Times New Roman"/>
          <w:sz w:val="24"/>
          <w:szCs w:val="24"/>
        </w:rPr>
        <w:t>Replicar la evaluación sobre datasets adicionales (RoadScene, M3FD, MS-COCO multiespectral) para verificar la transferibilidad de las conclusiones.</w:t>
      </w:r>
    </w:p>
    <w:p>
      <w:pPr>
        <w:pStyle w:val="ListParagraph"/>
        <w:numPr>
          <w:ilvl w:val="0"/>
          <w:numId w:val="4"/>
        </w:numPr>
        <w:spacing w:lineRule="auto" w:line="360" w:before="0" w:after="100"/>
        <w:ind w:firstLine="709"/>
        <w:jc w:val="both"/>
        <w:rPr/>
      </w:pPr>
      <w:r>
        <w:rPr>
          <w:rFonts w:eastAsia="Times New Roman" w:cs="Times New Roman"/>
          <w:sz w:val="24"/>
          <w:szCs w:val="24"/>
        </w:rPr>
        <w:t>Explorar reglas de fusión adaptativas que ponderen la actividad local en función de estadísticos globales de la imagen, en lugar de la regla de máximo aplicada en este trabajo.</w:t>
      </w:r>
    </w:p>
    <w:p>
      <w:pPr>
        <w:pStyle w:val="ListParagraph"/>
        <w:numPr>
          <w:ilvl w:val="0"/>
          <w:numId w:val="4"/>
        </w:numPr>
        <w:spacing w:lineRule="auto" w:line="360" w:before="0" w:after="100"/>
        <w:ind w:firstLine="709"/>
        <w:jc w:val="both"/>
        <w:rPr/>
      </w:pPr>
      <w:r>
        <w:rPr>
          <w:rFonts w:eastAsia="Times New Roman" w:cs="Times New Roman"/>
          <w:sz w:val="24"/>
          <w:szCs w:val="24"/>
        </w:rPr>
        <w:t>Evaluar híbridos Top-Hat ↔ pirámide de Laplace que combinen la fidelidad a fuentes del primero con la riqueza global del segundo.</w:t>
      </w:r>
    </w:p>
    <w:p>
      <w:pPr>
        <w:pStyle w:val="ListParagraph"/>
        <w:numPr>
          <w:ilvl w:val="0"/>
          <w:numId w:val="4"/>
        </w:numPr>
        <w:spacing w:lineRule="auto" w:line="360" w:before="0" w:after="100"/>
        <w:ind w:firstLine="709"/>
        <w:jc w:val="both"/>
        <w:rPr/>
      </w:pPr>
      <w:r>
        <w:rPr>
          <w:rFonts w:eastAsia="Times New Roman" w:cs="Times New Roman"/>
          <w:sz w:val="24"/>
          <w:szCs w:val="24"/>
        </w:rPr>
        <w:t>Comparar contra modelos de fusión profundos preentrenados (FusionGAN, U2Fusion, SeAFusion) para situar el costo y el beneficio de los métodos clásicos en el panorama actual del estado del arte.</w:t>
      </w:r>
    </w:p>
    <w:p>
      <w:pPr>
        <w:pStyle w:val="ListParagraph"/>
        <w:numPr>
          <w:ilvl w:val="0"/>
          <w:numId w:val="4"/>
        </w:numPr>
        <w:spacing w:lineRule="auto" w:line="360" w:before="0" w:after="100"/>
        <w:ind w:firstLine="709"/>
        <w:jc w:val="both"/>
        <w:rPr/>
      </w:pPr>
      <w:r>
        <w:rPr>
          <w:rFonts w:eastAsia="Times New Roman" w:cs="Times New Roman"/>
        </w:rPr>
        <w:t>Seleccionar el método de fusión según el criterio operativo prioritario: para aplicaciones donde prima la riqueza informativa y el detalle de la imagen fusionada, emplear la Propuesta Novedosa (r = 25, m = 0,30), que lidera la entropía y el contenido de bordes del benchmark con un realce controlado; para aplicaciones donde prima la fidelidad a las fuentes, los métodos multiescala (DTCWT, CVT) siguen siendo preferibles, y la metodología clásica Top-Hat conserva su valor como referencia interpretable y de muy bajo costo computacional.</w:t>
      </w:r>
    </w:p>
    <w:p>
      <w:pPr>
        <w:pStyle w:val="ListParagraph"/>
        <w:numPr>
          <w:ilvl w:val="0"/>
          <w:numId w:val="4"/>
        </w:numPr>
        <w:spacing w:lineRule="auto" w:line="360" w:before="0" w:after="100"/>
        <w:ind w:firstLine="709"/>
        <w:jc w:val="both"/>
        <w:rPr/>
      </w:pPr>
      <w:r>
        <w:rPr>
          <w:rFonts w:eastAsia="Times New Roman" w:cs="Times New Roman"/>
          <w:sz w:val="24"/>
          <w:szCs w:val="24"/>
        </w:rPr>
        <w:t>Reportar siempre la información mutua junto con métricas de calidad global (EN, SD, MG) para evitar interpretaciones engañosas; el caso del promedio simple ilustra que MI alta no equivale necesariamente a fusión de mejor calidad perceptual.</w:t>
      </w:r>
      <w:r>
        <w:br w:type="page"/>
      </w:r>
    </w:p>
    <w:p>
      <w:pPr>
        <w:pStyle w:val="Heading1"/>
        <w:spacing w:before="0" w:after="240"/>
        <w:jc w:val="start"/>
        <w:rPr/>
      </w:pPr>
      <w:r>
        <w:rPr>
          <w:rFonts w:eastAsia="Times New Roman" w:cs="Times New Roman"/>
          <w:b/>
          <w:bCs/>
          <w:color w:val="000000"/>
          <w:sz w:val="24"/>
          <w:szCs w:val="28"/>
        </w:rPr>
        <w:t>7. REFERENCIAS BIBLIOGRÁFICAS</w:t>
      </w:r>
    </w:p>
    <w:p>
      <w:pPr>
        <w:pStyle w:val="Normal"/>
        <w:spacing w:lineRule="auto" w:line="360"/>
        <w:ind w:firstLine="709"/>
        <w:jc w:val="both"/>
        <w:rPr/>
      </w:pPr>
      <w:r>
        <w:rPr>
          <w:rFonts w:eastAsia="Times New Roman" w:cs="Times New Roman"/>
        </w:rPr>
        <w:t>Aslantas, V., y Bendes, E. (2015). A new image quality metric for image fusion: The sum of the correlations of differences. AEU - International Journal of Electronics and Communications, 69(12), 1890–1896.</w:t>
      </w:r>
    </w:p>
    <w:p>
      <w:pPr>
        <w:pStyle w:val="Normal"/>
        <w:spacing w:lineRule="auto" w:line="360" w:before="0" w:after="160"/>
        <w:ind w:firstLine="709"/>
        <w:jc w:val="both"/>
        <w:rPr/>
      </w:pPr>
      <w:r>
        <w:rPr>
          <w:rFonts w:eastAsia="Times New Roman" w:cs="Times New Roman"/>
          <w:sz w:val="24"/>
          <w:szCs w:val="24"/>
        </w:rPr>
        <w:t>Bai, X. (2013). Morphological image fusion using the extracted image regions and details based on multi-scale top-hat transform and toggle contrast operator. Digital Signal Processing, 23(1), 244–263.</w:t>
      </w:r>
    </w:p>
    <w:p>
      <w:pPr>
        <w:pStyle w:val="Normal"/>
        <w:spacing w:lineRule="auto" w:line="360" w:before="0" w:after="160"/>
        <w:ind w:firstLine="709"/>
        <w:jc w:val="both"/>
        <w:rPr/>
      </w:pPr>
      <w:r>
        <w:rPr>
          <w:rFonts w:eastAsia="Times New Roman" w:cs="Times New Roman"/>
          <w:sz w:val="24"/>
          <w:szCs w:val="24"/>
        </w:rPr>
        <w:t>Bai, X., Zhou, F., y Xue, B. (2015). Image enhancement using multi-scale image features extracted by top-hat transform. Optics &amp; Laser Technology, 65, 145–150.</w:t>
      </w:r>
    </w:p>
    <w:p>
      <w:pPr>
        <w:pStyle w:val="Normal"/>
        <w:spacing w:lineRule="auto" w:line="360" w:before="0" w:after="160"/>
        <w:ind w:firstLine="709"/>
        <w:jc w:val="both"/>
        <w:rPr/>
      </w:pPr>
      <w:commentRangeStart w:id="4"/>
      <w:r>
        <w:rPr>
          <w:rFonts w:eastAsia="Times New Roman" w:cs="Times New Roman"/>
          <w:sz w:val="24"/>
          <w:szCs w:val="24"/>
        </w:rPr>
        <w:t>Bala, A. A., Aruna Priya, P., y Maik, V. (2024). Hybrid technique for fundus image enhancement using modified morphological filter and denoising net. The Journal of Supercomputing, 80, 13317–13340. https://doi.org/10.1007/s11227-024-05952-x</w:t>
      </w:r>
      <w:commentRangeEnd w:id="4"/>
      <w:r>
        <w:commentReference w:id="4"/>
      </w:r>
      <w:r>
        <w:rPr>
          <w:rFonts w:eastAsia="Times New Roman" w:cs="Times New Roman"/>
          <w:sz w:val="24"/>
          <w:szCs w:val="24"/>
        </w:rPr>
      </w:r>
    </w:p>
    <w:p>
      <w:pPr>
        <w:pStyle w:val="Normal"/>
        <w:spacing w:lineRule="auto" w:line="360" w:before="0" w:after="160"/>
        <w:ind w:firstLine="709"/>
        <w:jc w:val="both"/>
        <w:rPr/>
      </w:pPr>
      <w:r>
        <w:rPr>
          <w:rFonts w:eastAsia="Times New Roman" w:cs="Times New Roman"/>
          <w:sz w:val="24"/>
          <w:szCs w:val="24"/>
        </w:rPr>
        <w:t>Burt, P. J., y Adelson, E. H. (1983). The Laplacian pyramid as a compact image code. IEEE Transactions on Communications, 31(4), 532–540.</w:t>
      </w:r>
    </w:p>
    <w:p>
      <w:pPr>
        <w:pStyle w:val="Normal"/>
        <w:spacing w:lineRule="auto" w:line="360" w:before="0" w:after="160"/>
        <w:ind w:firstLine="709"/>
        <w:jc w:val="both"/>
        <w:rPr/>
      </w:pPr>
      <w:r>
        <w:rPr>
          <w:rFonts w:eastAsia="Times New Roman" w:cs="Times New Roman"/>
          <w:sz w:val="24"/>
          <w:szCs w:val="24"/>
        </w:rPr>
        <w:t>Candès, E., Demanet, L., Donoho, D., y Ying, L. (2006). Fast discrete curvelet transforms. SIAM Multiscale Modeling &amp; Simulation, 5(3), 861–899.</w:t>
      </w:r>
    </w:p>
    <w:p>
      <w:pPr>
        <w:pStyle w:val="Normal"/>
        <w:spacing w:lineRule="auto" w:line="360" w:before="0" w:after="160"/>
        <w:ind w:firstLine="709"/>
        <w:jc w:val="both"/>
        <w:rPr/>
      </w:pPr>
      <w:r>
        <w:rPr>
          <w:rFonts w:eastAsia="Times New Roman" w:cs="Times New Roman"/>
          <w:sz w:val="24"/>
          <w:szCs w:val="24"/>
        </w:rPr>
        <w:t>Friedman, M. (1937). The use of ranks to avoid the assumption of normality implicit in the analysis of variance. Journal of the American Statistical Association, 32(200), 675–701.</w:t>
      </w:r>
    </w:p>
    <w:p>
      <w:pPr>
        <w:pStyle w:val="Normal"/>
        <w:spacing w:lineRule="auto" w:line="360" w:before="0" w:after="160"/>
        <w:ind w:firstLine="709"/>
        <w:jc w:val="both"/>
        <w:rPr/>
      </w:pPr>
      <w:r>
        <w:rPr>
          <w:rFonts w:eastAsia="Times New Roman" w:cs="Times New Roman"/>
          <w:sz w:val="24"/>
          <w:szCs w:val="24"/>
        </w:rPr>
        <w:t>Gonzalez, R. C., y Woods, R. E. (2018). Digital Image Processing (4ª ed.). Pearson.</w:t>
      </w:r>
    </w:p>
    <w:p>
      <w:pPr>
        <w:pStyle w:val="Normal"/>
        <w:spacing w:lineRule="auto" w:line="360"/>
        <w:ind w:firstLine="709"/>
        <w:jc w:val="both"/>
        <w:rPr/>
      </w:pPr>
      <w:r>
        <w:rPr>
          <w:rFonts w:eastAsia="Times New Roman" w:cs="Times New Roman"/>
        </w:rPr>
        <w:t>Haghighat, M., Aghagolzadeh, A., y Seyedarabi, H. (2011). A non-reference image fusion metric based on mutual information of image features. Computers &amp; Electrical Engineering, 37(5), 744–756.</w:t>
      </w:r>
    </w:p>
    <w:p>
      <w:pPr>
        <w:pStyle w:val="Normal"/>
        <w:spacing w:lineRule="auto" w:line="360"/>
        <w:ind w:firstLine="709"/>
        <w:jc w:val="both"/>
        <w:rPr/>
      </w:pPr>
      <w:r>
        <w:rPr>
          <w:rFonts w:eastAsia="Times New Roman" w:cs="Times New Roman"/>
        </w:rPr>
        <w:t xml:space="preserve">Jia, X., Zhu, C., Li, M., Tang, W., y Zhou, W. (2021). LLVIP: A visible-infrared paired dataset for low-light vision. Proceedings of the IEEE/CVF International Conference on Computer Vision Workshops (ICCVW), 3496–3504.</w:t>
      </w:r>
    </w:p>
    <w:p>
      <w:pPr>
        <w:pStyle w:val="Normal"/>
        <w:spacing w:lineRule="auto" w:line="360"/>
        <w:ind w:firstLine="709"/>
        <w:jc w:val="both"/>
        <w:rPr/>
      </w:pPr>
      <w:r>
        <w:rPr>
          <w:rFonts w:eastAsia="Times New Roman" w:cs="Times New Roman"/>
        </w:rPr>
        <w:t>Kennedy, J., y Eberhart, R. (1995). Particle swarm optimization. Proceedings of ICNN'95 - International Conference on Neural Networks, 4, 1942–1948.</w:t>
      </w:r>
    </w:p>
    <w:p>
      <w:pPr>
        <w:pStyle w:val="Normal"/>
        <w:spacing w:lineRule="auto" w:line="360" w:before="0" w:after="160"/>
        <w:ind w:firstLine="709"/>
        <w:jc w:val="both"/>
        <w:rPr/>
      </w:pPr>
      <w:r>
        <w:rPr>
          <w:rFonts w:eastAsia="Times New Roman" w:cs="Times New Roman"/>
          <w:sz w:val="24"/>
          <w:szCs w:val="24"/>
        </w:rPr>
        <w:t>Li, S., Kang, X., Fang, L., Hu, J., y Yin, H. (2017). Pixel-level image fusion: A survey of the state of the art. Information Fusion, 33, 100–112.</w:t>
      </w:r>
    </w:p>
    <w:p>
      <w:pPr>
        <w:pStyle w:val="Normal"/>
        <w:spacing w:lineRule="auto" w:line="360" w:before="0" w:after="160"/>
        <w:ind w:firstLine="709"/>
        <w:jc w:val="both"/>
        <w:rPr/>
      </w:pPr>
      <w:r>
        <w:rPr>
          <w:rFonts w:eastAsia="Times New Roman" w:cs="Times New Roman"/>
          <w:sz w:val="24"/>
          <w:szCs w:val="24"/>
        </w:rPr>
        <w:t xml:space="preserve">Liu, J., Fan, X., Huang, Z., Wu, G., Liu, R., Zhong, W., y Luo, Z. (2022). Target-aware dual adversarial learning and a multi-scenario multi-modality benchmark to fuse infrared and visible for object detection. Proceedings of the IEEE/CVF Conference on Computer Vision and Pattern Recognition (CVPR), 5802–5811.</w:t>
      </w:r>
    </w:p>
    <w:p>
      <w:pPr>
        <w:pStyle w:val="Normal"/>
        <w:spacing w:lineRule="auto" w:line="360" w:before="0" w:after="160"/>
        <w:ind w:firstLine="709"/>
        <w:jc w:val="both"/>
        <w:rPr/>
      </w:pPr>
      <w:r>
        <w:rPr>
          <w:rFonts w:eastAsia="Times New Roman" w:cs="Times New Roman"/>
          <w:sz w:val="24"/>
          <w:szCs w:val="24"/>
        </w:rPr>
        <w:t>Ma, J., Ma, Y., y Li, C. (2019). Infrared and visible image fusion methods and applications: A survey. Information Fusion, 45, 153–178.</w:t>
      </w:r>
    </w:p>
    <w:p>
      <w:pPr>
        <w:pStyle w:val="Normal"/>
        <w:spacing w:lineRule="auto" w:line="360" w:before="0" w:after="160"/>
        <w:ind w:firstLine="709"/>
        <w:jc w:val="both"/>
        <w:rPr/>
      </w:pPr>
      <w:r>
        <w:rPr>
          <w:rFonts w:eastAsia="Times New Roman" w:cs="Times New Roman"/>
          <w:sz w:val="24"/>
          <w:szCs w:val="24"/>
        </w:rPr>
        <w:t>Ma, J., Yu, W., Liang, P., Li, C., y Jiang, J. (2019). FusionGAN: A generative adversarial network for infrared and visible image fusion. Information Fusion, 48, 11–26.</w:t>
      </w:r>
    </w:p>
    <w:p>
      <w:pPr>
        <w:pStyle w:val="Normal"/>
        <w:spacing w:lineRule="auto" w:line="360" w:before="0" w:after="160"/>
        <w:ind w:firstLine="709"/>
        <w:jc w:val="both"/>
        <w:rPr/>
      </w:pPr>
      <w:r>
        <w:rPr>
          <w:rFonts w:eastAsia="Times New Roman" w:cs="Times New Roman"/>
          <w:sz w:val="24"/>
          <w:szCs w:val="24"/>
        </w:rPr>
        <w:t>Malviya, P., y Saxena, A. K. (2014). An improved image fusion technique based on texture feature optimization using wavelet transform and particle of swarm optimization (POS). International Journal of Computer Applications, 101(6), 19–22.</w:t>
      </w:r>
    </w:p>
    <w:p>
      <w:pPr>
        <w:pStyle w:val="Normal"/>
        <w:spacing w:lineRule="auto" w:line="360" w:before="0" w:after="160"/>
        <w:ind w:firstLine="709"/>
        <w:jc w:val="both"/>
        <w:rPr/>
      </w:pPr>
      <w:r>
        <w:rPr>
          <w:rFonts w:eastAsia="Times New Roman" w:cs="Times New Roman"/>
          <w:sz w:val="24"/>
          <w:szCs w:val="24"/>
        </w:rPr>
        <w:t>Mukhopadhyay, S., y Chanda, B. (2001). A multi-scale morphological approach to local contrast enhancement. Signal Processing, 80(4), 685–696.</w:t>
      </w:r>
    </w:p>
    <w:p>
      <w:pPr>
        <w:pStyle w:val="Normal"/>
        <w:spacing w:lineRule="auto" w:line="360"/>
        <w:ind w:firstLine="709"/>
        <w:jc w:val="both"/>
        <w:rPr/>
      </w:pPr>
      <w:r>
        <w:rPr>
          <w:rFonts w:eastAsia="Times New Roman" w:cs="Times New Roman"/>
        </w:rPr>
        <w:t>Ortega Rodríguez, M. A., y Espinoza Ríos, G. A. (2025). Optimización de los parámetros de la transformada Top-Hat mediante PSO para la fusión de imágenes visibles e infrarrojas. Proyecto de Trabajo Final de Grado, Facultad Politécnica, Universidad Nacional de Asunción.</w:t>
      </w:r>
    </w:p>
    <w:p>
      <w:pPr>
        <w:pStyle w:val="Normal"/>
        <w:spacing w:lineRule="auto" w:line="360"/>
        <w:ind w:firstLine="709"/>
        <w:jc w:val="both"/>
        <w:rPr/>
      </w:pPr>
      <w:r>
        <w:rPr>
          <w:rFonts w:eastAsia="Times New Roman" w:cs="Times New Roman"/>
        </w:rPr>
        <w:t>Piella, G., y Heijmans, H. (2003). A new quality metric for image fusion. Proceedings IEEE ICIP, vol. 3, 173–176.</w:t>
      </w:r>
    </w:p>
    <w:p>
      <w:pPr>
        <w:pStyle w:val="Normal"/>
        <w:spacing w:lineRule="auto" w:line="360"/>
        <w:ind w:firstLine="709"/>
        <w:jc w:val="both"/>
        <w:rPr/>
      </w:pPr>
      <w:r>
        <w:rPr>
          <w:rFonts w:eastAsia="Times New Roman" w:cs="Times New Roman"/>
        </w:rPr>
        <w:t xml:space="preserve">Román, J. C. M., Vázquez Noguera, J. L., y Legal-Ayala, H. (2020). A multiscale morphological method for visible and infrared images fusion. Proceedings of the 2020 XLVI Latin American Computing Conference (CLEI), 488–495. IEEE.</w:t>
      </w:r>
    </w:p>
    <w:p>
      <w:pPr>
        <w:pStyle w:val="Normal"/>
        <w:spacing w:lineRule="auto" w:line="360" w:before="0" w:after="160"/>
        <w:ind w:firstLine="709"/>
        <w:jc w:val="both"/>
        <w:rPr/>
      </w:pPr>
      <w:r>
        <w:rPr>
          <w:rFonts w:eastAsia="Times New Roman" w:cs="Times New Roman"/>
          <w:sz w:val="24"/>
          <w:szCs w:val="24"/>
        </w:rPr>
        <w:t>Serra, J. (1982). Image Analysis and Mathematical Morphology. Academic Press.</w:t>
      </w:r>
    </w:p>
    <w:p>
      <w:pPr>
        <w:pStyle w:val="Normal"/>
        <w:spacing w:lineRule="auto" w:line="360"/>
        <w:ind w:firstLine="709"/>
        <w:jc w:val="both"/>
        <w:rPr/>
      </w:pPr>
      <w:r>
        <w:rPr>
          <w:rFonts w:eastAsia="Times New Roman" w:cs="Times New Roman"/>
        </w:rPr>
        <w:t>Sheikh, H. R., y Bovik, A. C. (2006). Image information and visual quality. IEEE Transactions on Image Processing, 15(2), 430–444.</w:t>
      </w:r>
    </w:p>
    <w:p>
      <w:pPr>
        <w:pStyle w:val="Normal"/>
        <w:spacing w:lineRule="auto" w:line="360"/>
        <w:ind w:firstLine="709"/>
        <w:jc w:val="both"/>
        <w:rPr/>
      </w:pPr>
      <w:r>
        <w:rPr>
          <w:rFonts w:eastAsia="Times New Roman" w:cs="Times New Roman"/>
        </w:rPr>
        <w:t>Singh, S., Singh, H., Bueno, G., Deniz, O., Singh, S., Monga, H., Hrisheekesha, P. N., y Pedraza, A. (2023). A review of image fusion: Methods, applications and performance metrics. Digital Signal Processing, 137, 104020.</w:t>
      </w:r>
    </w:p>
    <w:p>
      <w:pPr>
        <w:pStyle w:val="Normal"/>
        <w:spacing w:lineRule="auto" w:line="360" w:before="0" w:after="160"/>
        <w:ind w:firstLine="709"/>
        <w:jc w:val="both"/>
        <w:rPr/>
      </w:pPr>
      <w:r>
        <w:rPr>
          <w:rFonts w:eastAsia="Times New Roman" w:cs="Times New Roman"/>
          <w:sz w:val="24"/>
          <w:szCs w:val="24"/>
        </w:rPr>
        <w:t>Soille, P. (2003). Morphological Image Analysis: Principles and Applications (2ª ed.). Springer.</w:t>
      </w:r>
    </w:p>
    <w:p>
      <w:pPr>
        <w:pStyle w:val="Normal"/>
        <w:spacing w:lineRule="auto" w:line="360" w:before="0" w:after="160"/>
        <w:ind w:firstLine="709"/>
        <w:jc w:val="both"/>
        <w:rPr/>
      </w:pPr>
      <w:r>
        <w:rPr>
          <w:rFonts w:eastAsia="Times New Roman" w:cs="Times New Roman"/>
          <w:sz w:val="24"/>
          <w:szCs w:val="24"/>
        </w:rPr>
        <w:t>Tang, L., Yuan, J., y Ma, J. (2022). Image fusion in the loop of high-level vision tasks: A semantic-aware real-time infrared and visible image fusion network. Information Fusion, 82, 28–42.</w:t>
      </w:r>
    </w:p>
    <w:p>
      <w:pPr>
        <w:pStyle w:val="Normal"/>
        <w:spacing w:lineRule="auto" w:line="360" w:before="0" w:after="160"/>
        <w:ind w:firstLine="709"/>
        <w:jc w:val="both"/>
        <w:rPr/>
      </w:pPr>
      <w:r>
        <w:rPr>
          <w:rFonts w:eastAsia="Times New Roman" w:cs="Times New Roman"/>
          <w:sz w:val="24"/>
          <w:szCs w:val="24"/>
        </w:rPr>
        <w:t>Tao, J., Li, S., y Yang, B. (2010). Multimodal image fusion algorithm using dual-tree complex wavelet transform and particle swarm optimization. En Advanced Intelligent Computing Theories and Applications (Communications in Computer and Information Science, vol. 93, pp. 296–303). Springer.</w:t>
      </w:r>
    </w:p>
    <w:p>
      <w:pPr>
        <w:pStyle w:val="Normal"/>
        <w:spacing w:lineRule="auto" w:line="360" w:before="0" w:after="160"/>
        <w:ind w:firstLine="709"/>
        <w:jc w:val="both"/>
        <w:rPr/>
      </w:pPr>
      <w:r>
        <w:rPr>
          <w:rFonts w:eastAsia="Times New Roman" w:cs="Times New Roman"/>
          <w:sz w:val="24"/>
          <w:szCs w:val="24"/>
        </w:rPr>
        <w:t xml:space="preserve">Toet, A. (1989). Image fusion by a ratio of low-pass pyramid. Pattern Recognition Letters, 9(4), 245–253.</w:t>
      </w:r>
    </w:p>
    <w:p>
      <w:pPr>
        <w:pStyle w:val="Normal"/>
        <w:spacing w:lineRule="auto" w:line="360" w:before="0" w:after="160"/>
        <w:ind w:firstLine="709"/>
        <w:jc w:val="both"/>
        <w:rPr/>
      </w:pPr>
      <w:r>
        <w:rPr>
          <w:rFonts w:eastAsia="Times New Roman" w:cs="Times New Roman"/>
          <w:sz w:val="24"/>
          <w:szCs w:val="24"/>
        </w:rPr>
        <w:t>Toet, A. (2014). The TNO multiband image data collection. Data in Brief, 4, 187–192.</w:t>
      </w:r>
    </w:p>
    <w:p>
      <w:pPr>
        <w:pStyle w:val="Normal"/>
        <w:spacing w:lineRule="auto" w:line="360" w:before="0" w:after="160"/>
        <w:ind w:firstLine="709"/>
        <w:jc w:val="both"/>
        <w:rPr/>
      </w:pPr>
      <w:r>
        <w:rPr>
          <w:rFonts w:eastAsia="Times New Roman" w:cs="Times New Roman"/>
          <w:sz w:val="24"/>
          <w:szCs w:val="24"/>
        </w:rPr>
        <w:t>Wang, J., Peng, J., Feng, X., He, G., y Fan, J. (2017). Fusion method for infrared and visible images by using non-negative sparse representation. Infrared Physics &amp; Technology, 80, 1–9.</w:t>
      </w:r>
    </w:p>
    <w:p>
      <w:pPr>
        <w:pStyle w:val="Normal"/>
        <w:spacing w:lineRule="auto" w:line="360" w:before="0" w:after="160"/>
        <w:ind w:firstLine="709"/>
        <w:jc w:val="both"/>
        <w:rPr/>
      </w:pPr>
      <w:r>
        <w:rPr>
          <w:rFonts w:eastAsia="Times New Roman" w:cs="Times New Roman"/>
          <w:sz w:val="24"/>
          <w:szCs w:val="24"/>
        </w:rPr>
        <w:t xml:space="preserve">Wang, Z., Bovik, A. C., Sheikh, H. R., y Simoncelli, E. P. (2004). Image quality assessment: From error visibility to structural similarity. IEEE Transactions on Image Processing, 13(4), 600–612.</w:t>
      </w:r>
    </w:p>
    <w:p>
      <w:pPr>
        <w:pStyle w:val="Normal"/>
        <w:spacing w:lineRule="auto" w:line="360" w:before="0" w:after="160"/>
        <w:ind w:firstLine="709"/>
        <w:jc w:val="both"/>
        <w:rPr/>
      </w:pPr>
      <w:r>
        <w:rPr>
          <w:rFonts w:eastAsia="Times New Roman" w:cs="Times New Roman"/>
          <w:sz w:val="24"/>
          <w:szCs w:val="24"/>
        </w:rPr>
        <w:t>Wilcoxon, F. (1945). Individual comparisons by ranking methods. Biometrics Bulletin, 1(6), 80–83.</w:t>
      </w:r>
    </w:p>
    <w:p>
      <w:pPr>
        <w:pStyle w:val="Normal"/>
        <w:spacing w:lineRule="auto" w:line="360"/>
        <w:ind w:firstLine="709"/>
        <w:jc w:val="both"/>
        <w:rPr/>
      </w:pPr>
      <w:r>
        <w:rPr>
          <w:rFonts w:eastAsia="Times New Roman" w:cs="Times New Roman"/>
        </w:rPr>
        <w:t>Xydeas, C. S., y Petrović, V. (2000). Objective image fusion performance measure. Electronics Letters, 36(4), 308–309.</w:t>
      </w:r>
    </w:p>
    <w:p>
      <w:pPr>
        <w:pStyle w:val="Normal"/>
        <w:spacing w:lineRule="auto" w:line="360" w:before="0" w:after="160"/>
        <w:ind w:firstLine="709"/>
        <w:jc w:val="both"/>
        <w:rPr/>
      </w:pPr>
      <w:r>
        <w:rPr>
          <w:rFonts w:eastAsia="Times New Roman" w:cs="Times New Roman"/>
          <w:sz w:val="24"/>
          <w:szCs w:val="24"/>
        </w:rPr>
        <w:t>Zhang, X., y Demiris, Y. (2023). Visible and infrared image fusion using deep learning. IEEE Transactions on Pattern Analysis and Machine Intelligence, 45(8), 10535–10554.</w:t>
      </w:r>
      <w:r>
        <w:br w:type="page"/>
      </w:r>
    </w:p>
    <w:p>
      <w:pPr>
        <w:pStyle w:val="Heading1"/>
        <w:spacing w:before="0" w:after="240"/>
        <w:jc w:val="start"/>
        <w:rPr/>
      </w:pPr>
      <w:r>
        <w:rPr>
          <w:rFonts w:eastAsia="Times New Roman" w:cs="Times New Roman"/>
          <w:b/>
          <w:bCs/>
          <w:color w:val="000000"/>
          <w:sz w:val="24"/>
          <w:szCs w:val="28"/>
        </w:rPr>
        <w:t>8. APÉNDICE</w:t>
      </w:r>
    </w:p>
    <w:p>
      <w:pPr>
        <w:pStyle w:val="Heading2"/>
        <w:spacing w:before="240" w:after="120"/>
        <w:jc w:val="start"/>
        <w:rPr/>
      </w:pPr>
      <w:r>
        <w:rPr>
          <w:rFonts w:eastAsia="Times New Roman" w:cs="Times New Roman"/>
          <w:b/>
          <w:bCs/>
          <w:color w:val="000000"/>
          <w:sz w:val="24"/>
          <w:szCs w:val="26"/>
        </w:rPr>
        <w:t>A. Repositorio del código</w:t>
      </w:r>
    </w:p>
    <w:p>
      <w:pPr>
        <w:pStyle w:val="Normal"/>
        <w:spacing w:lineRule="auto" w:line="360" w:before="0" w:after="160"/>
        <w:ind w:firstLine="709"/>
        <w:jc w:val="both"/>
        <w:rPr/>
      </w:pPr>
      <w:r>
        <w:rPr>
          <w:rFonts w:eastAsia="Times New Roman" w:cs="Times New Roman"/>
        </w:rPr>
        <w:t>La totalidad del código de esta tesis está disponible en el repositorio del proyecto, organizado en módulos: src/datasets.py (carga y emparejado VIS/IR), src/fusion/ (optimal_top_hat.py para la propuesta —operador de suma de ramas, función fuse_optimal— y comparatives.py para los seis métodos comparativos: LP, RP, DWT, DTCWT, CVT y la fusión Top-Hat clásica), src/metrics/evaluators.py (las nueve métricas), src/utils/ (entrada/salida y visualización), experiments/run_all_fusions.py (benchmark inter-método), experiments/run_stats_analysis.py (Friedman, Wilcoxon con Holm y ranking), experiments/pso_grid_search.py (barrido de 25 configuraciones del PSO), experiments/detection_llvip/ (preparación y entrenamiento mAP en LLVIP), notebooks/ (análisis exploratorios). El archivo requirements.txt consigna las dependencias exactas.</w:t>
      </w:r>
    </w:p>
    <w:p>
      <w:pPr>
        <w:pStyle w:val="Heading2"/>
        <w:spacing w:before="240" w:after="120"/>
        <w:jc w:val="start"/>
        <w:rPr/>
      </w:pPr>
      <w:r>
        <w:rPr>
          <w:rFonts w:eastAsia="Times New Roman" w:cs="Times New Roman"/>
          <w:b/>
          <w:bCs/>
          <w:color w:val="000000"/>
          <w:sz w:val="24"/>
          <w:szCs w:val="26"/>
        </w:rPr>
        <w:t>B. Configuraciones del barrido PSO</w:t>
      </w:r>
    </w:p>
    <w:p>
      <w:pPr>
        <w:pStyle w:val="Normal"/>
        <w:spacing w:lineRule="auto" w:line="360" w:before="0" w:after="160"/>
        <w:ind w:firstLine="709"/>
        <w:jc w:val="both"/>
        <w:rPr/>
      </w:pPr>
      <w:r>
        <w:rPr>
          <w:rFonts w:eastAsia="Times New Roman" w:cs="Times New Roman"/>
          <w:sz w:val="24"/>
          <w:szCs w:val="24"/>
        </w:rPr>
        <w:t>Las 36 configuraciones evaluadas resultan del producto cartesiano de los siguientes valores:</w:t>
      </w:r>
    </w:p>
    <w:p>
      <w:pPr>
        <w:pStyle w:val="ListParagraph"/>
        <w:numPr>
          <w:ilvl w:val="0"/>
          <w:numId w:val="4"/>
        </w:numPr>
        <w:spacing w:lineRule="auto" w:line="360" w:before="0" w:after="100"/>
        <w:ind w:firstLine="709"/>
        <w:jc w:val="both"/>
        <w:rPr/>
      </w:pPr>
      <w:r>
        <w:rPr>
          <w:rFonts w:eastAsia="Times New Roman" w:cs="Times New Roman"/>
          <w:sz w:val="24"/>
          <w:szCs w:val="24"/>
        </w:rPr>
        <w:t>Número de partículas del enjambre: 2, 4, 6, 8, 10.</w:t>
      </w:r>
    </w:p>
    <w:p>
      <w:pPr>
        <w:pStyle w:val="ListParagraph"/>
        <w:numPr>
          <w:ilvl w:val="0"/>
          <w:numId w:val="4"/>
        </w:numPr>
        <w:spacing w:lineRule="auto" w:line="360" w:before="0" w:after="100"/>
        <w:ind w:firstLine="709"/>
        <w:jc w:val="both"/>
        <w:rPr/>
      </w:pPr>
      <w:r>
        <w:rPr>
          <w:rFonts w:eastAsia="Times New Roman" w:cs="Times New Roman"/>
          <w:sz w:val="24"/>
          <w:szCs w:val="24"/>
        </w:rPr>
        <w:t>Número de iteraciones: 10, 20, 30, 40, 50.</w:t>
      </w:r>
    </w:p>
    <w:p>
      <w:pPr>
        <w:pStyle w:val="ListParagraph"/>
        <w:numPr>
          <w:ilvl w:val="0"/>
          <w:numId w:val="4"/>
        </w:numPr>
        <w:spacing w:lineRule="auto" w:line="276" w:before="0" w:after="100"/>
        <w:jc w:val="both"/>
        <w:rPr/>
      </w:pPr>
      <w:r>
        <w:rPr>
          <w:rFonts w:eastAsia="Times New Roman" w:cs="Times New Roman"/>
          <w:sz w:val="24"/>
          <w:szCs w:val="24"/>
        </w:rPr>
        <w:t>Espacio de búsqueda: r ∈ [1, 25]; m ∈ [0,05; 1,20].</w:t>
      </w:r>
    </w:p>
    <w:p>
      <w:pPr>
        <w:pStyle w:val="Normal"/>
        <w:spacing w:lineRule="auto" w:line="360" w:before="0" w:after="160"/>
        <w:ind w:firstLine="709"/>
        <w:jc w:val="both"/>
        <w:rPr/>
      </w:pPr>
      <w:r>
        <w:rPr>
          <w:rFonts w:eastAsia="Times New Roman" w:cs="Times New Roman"/>
          <w:sz w:val="24"/>
          <w:szCs w:val="24"/>
        </w:rPr>
        <w:t>Cada combinación del barrido ejecuta una corrida PSO independiente con semilla propia (25 corridas, 4.500 evaluaciones de fusión en total). El estado completo y reanudable se conserva en experiments/results/pso/pso_grid_state.json y la tabla resumen en experiments/results/metrics_reports/pso_grid_search.csv.</w:t>
      </w:r>
    </w:p>
    <w:p>
      <w:pPr>
        <w:pStyle w:val="Heading2"/>
        <w:spacing w:before="240" w:after="120"/>
        <w:jc w:val="start"/>
        <w:rPr/>
      </w:pPr>
      <w:r>
        <w:rPr>
          <w:rFonts w:eastAsia="Times New Roman" w:cs="Times New Roman"/>
          <w:b/>
          <w:bCs/>
          <w:color w:val="000000"/>
          <w:sz w:val="24"/>
          <w:szCs w:val="26"/>
        </w:rPr>
        <w:t>C. Tablas estadísticas extendidas</w:t>
      </w:r>
    </w:p>
    <w:p>
      <w:pPr>
        <w:pStyle w:val="Normal"/>
        <w:spacing w:lineRule="auto" w:line="360" w:before="0" w:after="160"/>
        <w:ind w:firstLine="709"/>
        <w:jc w:val="both"/>
        <w:rPr/>
      </w:pPr>
      <w:r>
        <w:rPr>
          <w:rFonts w:eastAsia="Times New Roman" w:cs="Times New Roman"/>
        </w:rPr>
        <w:t>Las tablas completas con los 90 contrastes Wilcoxon (2 métodos morfológicos × 5 métodos del estado del arte × 9 métricas) se almacenan en experiments/results/metrics_reports/wilcoxon_results.csv. Cada fila contiene la métrica, las medias comparadas, la diferencia, el estadístico W, el p-valor, el p-valor corregido por Holm, la marca de significación a α = 0,05 y el tamaño de efecto rank-biserial. El ranking promedio está en ranking_methods.csv y los resultados de Friedman en friedman_results.csv. Los 48 contrastes de la propuesta central frente al método anterior y a los baselines (9 métricas × 4 rivales, Wilcoxon con Holm y tamaño de efecto rank-biserial) se consignan en wilcoxon_propuesta_vs_metodos.csv.</w:t>
      </w:r>
    </w:p>
    <w:p>
      <w:pPr>
        <w:pStyle w:val="Heading2"/>
        <w:spacing w:before="240" w:after="120"/>
        <w:jc w:val="start"/>
        <w:rPr/>
      </w:pPr>
      <w:r>
        <w:rPr>
          <w:rFonts w:eastAsia="Times New Roman" w:cs="Times New Roman"/>
          <w:b/>
          <w:bCs/>
          <w:color w:val="000000"/>
          <w:sz w:val="24"/>
          <w:szCs w:val="26"/>
        </w:rPr>
        <w:t>D. Pseudocódigo de la fusión Top-Hat clásica</w:t>
      </w:r>
    </w:p>
    <w:p>
      <w:pPr>
        <w:pStyle w:val="Normal"/>
        <w:spacing w:lineRule="auto" w:line="360" w:before="0" w:after="200"/>
        <w:ind w:firstLine="709"/>
        <w:jc w:val="both"/>
        <w:rPr/>
      </w:pPr>
      <w:r>
        <w:rPr>
          <w:rFonts w:eastAsia="Times New Roman" w:cs="Times New Roman"/>
          <w:sz w:val="20"/>
          <w:szCs w:val="20"/>
        </w:rPr>
        <w:t>Entrada: imágenes f_VIS, f_IR (escala de grises, normalizadas en [0,1]), radio r del disco (r = 5). Salida: imagen fusionada F. 1. I_base ← (f_VIS + f_IR)/2. 2. Para cada fuente S: WTH_S ← S − apertura(S, disco(r)); BTH_S ← cierre(S, disco(r)) − S. 3. WTH_max ← máx(WTH_VIS, WTH_IR); BTH_max ← máx(BTH_VIS, BTH_IR). 4. F ← recortar(I_base + WTH_max − BTH_max, [0,1]).</w:t>
      </w:r>
    </w:p>
    <w:p>
      <w:pPr>
        <w:pStyle w:val="Normal"/>
        <w:spacing w:lineRule="auto" w:line="276"/>
        <w:rPr/>
      </w:pPr>
      <w:r>
        <w:rPr>
          <w:rFonts w:eastAsia="Times New Roman" w:cs="Times New Roman"/>
          <w:b/>
        </w:rPr>
        <w:t xml:space="preserve">Pseudocódigo de la Propuesta Novedosa (una sola escala)</w:t>
      </w:r>
    </w:p>
    <w:p>
      <w:pPr>
        <w:pStyle w:val="Normal"/>
        <w:spacing w:lineRule="auto" w:line="276" w:before="0" w:after="0"/>
        <w:rPr/>
      </w:pPr>
      <w:r>
        <w:rPr>
          <w:rFonts w:eastAsia="Times New Roman" w:cs="Times New Roman"/>
          <w:sz w:val="17"/>
        </w:rPr>
        <w:t xml:space="preserve">ENTRADA: I_VIS, I_IR en [0,1] alineadas; radio r; peso m</w:t>
      </w:r>
    </w:p>
    <w:p>
      <w:pPr>
        <w:pStyle w:val="Normal"/>
        <w:spacing w:lineRule="auto" w:line="276" w:before="0" w:after="0"/>
        <w:rPr/>
      </w:pPr>
      <w:r>
        <w:rPr>
          <w:rFonts w:eastAsia="Times New Roman" w:cs="Times New Roman"/>
          <w:sz w:val="17"/>
        </w:rPr>
        <w:t xml:space="preserve">SALIDA: imagen fusionada F</w:t>
      </w:r>
    </w:p>
    <w:p>
      <w:pPr>
        <w:pStyle w:val="Normal"/>
        <w:spacing w:lineRule="auto" w:line="276" w:before="0" w:after="0"/>
        <w:rPr/>
      </w:pPr>
    </w:p>
    <w:p>
      <w:pPr>
        <w:pStyle w:val="Normal"/>
        <w:spacing w:lineRule="auto" w:line="276" w:before="0" w:after="0"/>
        <w:rPr/>
      </w:pPr>
      <w:r>
        <w:rPr>
          <w:rFonts w:eastAsia="Times New Roman" w:cs="Times New Roman"/>
          <w:sz w:val="17"/>
        </w:rPr>
        <w:t xml:space="preserve">para cada fuente S en {I_VIS, I_IR}:</w:t>
      </w:r>
    </w:p>
    <w:p>
      <w:pPr>
        <w:pStyle w:val="Normal"/>
        <w:spacing w:lineRule="auto" w:line="276" w:before="0" w:after="0"/>
        <w:rPr/>
      </w:pPr>
      <w:r>
        <w:rPr>
          <w:rFonts w:eastAsia="Times New Roman" w:cs="Times New Roman"/>
          <w:sz w:val="17"/>
        </w:rPr>
        <w:t xml:space="preserve">    L &lt;- {linea(r,0), linea(r,45), linea(r,90), linea(r,135)}   # 4 lineas</w:t>
      </w:r>
    </w:p>
    <w:p>
      <w:pPr>
        <w:pStyle w:val="Normal"/>
        <w:spacing w:lineRule="auto" w:line="276" w:before="0" w:after="0"/>
        <w:rPr/>
      </w:pPr>
      <w:r>
        <w:rPr>
          <w:rFonts w:eastAsia="Times New Roman" w:cs="Times New Roman"/>
          <w:sz w:val="17"/>
        </w:rPr>
        <w:t xml:space="preserve">    WTH_lin &lt;- promedio_{b en L} ( S - apertura(S,b) ) # ec. (7)</w:t>
      </w:r>
    </w:p>
    <w:p>
      <w:pPr>
        <w:pStyle w:val="Normal"/>
        <w:spacing w:lineRule="auto" w:line="276" w:before="0" w:after="0"/>
        <w:rPr/>
      </w:pPr>
      <w:r>
        <w:rPr>
          <w:rFonts w:eastAsia="Times New Roman" w:cs="Times New Roman"/>
          <w:sz w:val="17"/>
        </w:rPr>
        <w:t xml:space="preserve">    BTH_lin &lt;- promedio_{b en L} ( cierre(S,b) - S )</w:t>
      </w:r>
    </w:p>
    <w:p>
      <w:pPr>
        <w:pStyle w:val="Normal"/>
        <w:spacing w:lineRule="auto" w:line="276" w:before="0" w:after="0"/>
        <w:rPr/>
      </w:pPr>
      <w:r>
        <w:rPr>
          <w:rFonts w:eastAsia="Times New Roman" w:cs="Times New Roman"/>
          <w:sz w:val="17"/>
        </w:rPr>
        <w:t xml:space="preserve">    WTH_disco &lt;- S - apertura(S, disco(r)) # ec. (8)</w:t>
      </w:r>
    </w:p>
    <w:p>
      <w:pPr>
        <w:pStyle w:val="Normal"/>
        <w:spacing w:lineRule="auto" w:line="276" w:before="0" w:after="0"/>
        <w:rPr/>
      </w:pPr>
      <w:r>
        <w:rPr>
          <w:rFonts w:eastAsia="Times New Roman" w:cs="Times New Roman"/>
          <w:sz w:val="17"/>
        </w:rPr>
        <w:t xml:space="preserve">    BTH_disco &lt;- cierre(S, disco(r)) - S</w:t>
      </w:r>
    </w:p>
    <w:p>
      <w:pPr>
        <w:pStyle w:val="Normal"/>
        <w:spacing w:lineRule="auto" w:line="276" w:before="0" w:after="0"/>
        <w:rPr/>
      </w:pPr>
      <w:r>
        <w:rPr>
          <w:rFonts w:eastAsia="Times New Roman" w:cs="Times New Roman"/>
          <w:sz w:val="17"/>
        </w:rPr>
        <w:t xml:space="preserve">    Iopt_top[S] &lt;- WTH_lin + WTH_disco                      # ec. (9)</w:t>
      </w:r>
    </w:p>
    <w:p>
      <w:pPr>
        <w:pStyle w:val="Normal"/>
        <w:spacing w:lineRule="auto" w:line="276" w:before="0" w:after="0"/>
        <w:rPr/>
      </w:pPr>
      <w:r>
        <w:rPr>
          <w:rFonts w:eastAsia="Times New Roman" w:cs="Times New Roman"/>
          <w:sz w:val="17"/>
        </w:rPr>
        <w:t xml:space="preserve">    Iopt_bot[S] &lt;- BTH_lin + BTH_disco</w:t>
      </w:r>
    </w:p>
    <w:p>
      <w:pPr>
        <w:pStyle w:val="Normal"/>
        <w:spacing w:lineRule="auto" w:line="276" w:before="0" w:after="0"/>
        <w:rPr/>
      </w:pPr>
    </w:p>
    <w:p>
      <w:pPr>
        <w:pStyle w:val="Normal"/>
        <w:spacing w:lineRule="auto" w:line="276" w:before="0" w:after="0"/>
        <w:rPr/>
      </w:pPr>
      <w:r>
        <w:rPr>
          <w:rFonts w:eastAsia="Times New Roman" w:cs="Times New Roman"/>
          <w:sz w:val="17"/>
        </w:rPr>
        <w:t xml:space="preserve"># combinacion entre fuentes (maximo por pixel) # ec. (10)</w:t>
      </w:r>
    </w:p>
    <w:p>
      <w:pPr>
        <w:pStyle w:val="Normal"/>
        <w:spacing w:lineRule="auto" w:line="276" w:before="0" w:after="0"/>
        <w:rPr/>
      </w:pPr>
      <w:r>
        <w:rPr>
          <w:rFonts w:eastAsia="Times New Roman" w:cs="Times New Roman"/>
          <w:sz w:val="17"/>
        </w:rPr>
        <w:t xml:space="preserve">Iopt_top &lt;- max(Iopt_top[VIS], Iopt_top[IR])</w:t>
      </w:r>
    </w:p>
    <w:p>
      <w:pPr>
        <w:pStyle w:val="Normal"/>
        <w:spacing w:lineRule="auto" w:line="276" w:before="0" w:after="0"/>
        <w:rPr/>
      </w:pPr>
      <w:r>
        <w:rPr>
          <w:rFonts w:eastAsia="Times New Roman" w:cs="Times New Roman"/>
          <w:sz w:val="17"/>
        </w:rPr>
        <w:t xml:space="preserve">Iopt_bot &lt;- max(Iopt_bot[VIS], Iopt_bot[IR])</w:t>
      </w:r>
    </w:p>
    <w:p>
      <w:pPr>
        <w:pStyle w:val="Normal"/>
        <w:spacing w:lineRule="auto" w:line="276" w:before="0" w:after="0"/>
        <w:rPr/>
      </w:pPr>
      <w:r>
        <w:rPr>
          <w:rFonts w:eastAsia="Times New Roman" w:cs="Times New Roman"/>
          <w:sz w:val="17"/>
        </w:rPr>
        <w:t xml:space="preserve">I_base   &lt;- (I_VIS + I_IR) / 2</w:t>
      </w:r>
    </w:p>
    <w:p>
      <w:pPr>
        <w:pStyle w:val="Normal"/>
        <w:spacing w:lineRule="auto" w:line="276" w:before="0" w:after="0"/>
        <w:rPr/>
      </w:pPr>
      <w:r>
        <w:rPr>
          <w:rFonts w:eastAsia="Times New Roman" w:cs="Times New Roman"/>
          <w:sz w:val="17"/>
        </w:rPr>
        <w:t xml:space="preserve">F &lt;- recortar( I_base + m*Iopt_top - m*Iopt_bot, 0, 1 ) # ec. (11)</w:t>
      </w:r>
    </w:p>
    <w:p>
      <w:pPr>
        <w:pStyle w:val="Normal"/>
        <w:spacing w:lineRule="auto" w:line="276" w:before="0" w:after="0"/>
        <w:rPr/>
      </w:pPr>
      <w:r>
        <w:rPr>
          <w:rFonts w:eastAsia="Times New Roman" w:cs="Times New Roman"/>
          <w:sz w:val="17"/>
        </w:rPr>
        <w:t xml:space="preserve">devolver F</w:t>
      </w:r>
    </w:p>
    <w:p>
      <w:pPr>
        <w:pStyle w:val="Normal"/>
        <w:spacing w:lineRule="auto" w:line="276" w:before="0" w:after="0"/>
        <w:rPr/>
      </w:pPr>
    </w:p>
    <w:p>
      <w:pPr>
        <w:pStyle w:val="Normal"/>
        <w:spacing w:lineRule="auto" w:line="276" w:before="0" w:after="0"/>
        <w:rPr/>
      </w:pPr>
      <w:r>
        <w:rPr>
          <w:rFonts w:eastAsia="Times New Roman" w:cs="Times New Roman"/>
          <w:sz w:val="17"/>
        </w:rPr>
        <w:t xml:space="preserve">(r, m) se optimizan por PSO (barrido de 25 configuraciones) -&gt; r = 25, m = 0,30</w:t>
      </w:r>
    </w:p>
    <w:p>
      <w:pPr>
        <w:pStyle w:val="Normal"/>
        <w:spacing w:lineRule="auto" w:line="276" w:before="120" w:after="0"/>
        <w:rPr/>
      </w:pPr>
      <w:r>
        <w:rPr>
          <w:rFonts w:eastAsia="Times New Roman" w:cs="Times New Roman"/>
        </w:rPr>
        <w:t xml:space="preserve">Nota: la versión definitiva y única del método (sección 2.2.5) promedia las cuatro respuestas lineales y las suma a la del disco sobre una sola escala —sin descomposición multiescala ni diferencias en cascada— y optimiza (r, m) por PSO mediante un barrido de 25 configuraciones de enjambre, con óptimo r = 25, m = 0,30. Su implementación de referencia es src/fusion/optimal_top_hat.py (función fuse_optimal, modo 'sum').</w:t>
      </w:r>
    </w:p>
    <w:p>
      <w:pPr>
        <w:pStyle w:val="Heading2"/>
        <w:spacing w:before="240" w:after="120"/>
        <w:jc w:val="start"/>
        <w:rPr/>
      </w:pPr>
      <w:r>
        <w:rPr>
          <w:rFonts w:eastAsia="Times New Roman" w:cs="Times New Roman"/>
          <w:b/>
          <w:bCs/>
          <w:color w:val="000000"/>
          <w:sz w:val="24"/>
          <w:szCs w:val="26"/>
        </w:rPr>
        <w:t>E. Refinamiento metodológico de la regla de fusión</w:t>
      </w:r>
    </w:p>
    <w:p>
      <w:pPr>
        <w:pStyle w:val="Normal"/>
        <w:spacing w:lineRule="auto" w:line="360" w:before="0" w:after="160"/>
        <w:ind w:firstLine="709"/>
        <w:jc w:val="both"/>
        <w:rPr/>
      </w:pPr>
      <w:r>
        <w:rPr>
          <w:rFonts w:eastAsia="Times New Roman" w:cs="Times New Roman"/>
          <w:sz w:val="24"/>
          <w:szCs w:val="24"/>
        </w:rPr>
        <w:t>Durante el desarrollo iterativo de la implementación se identificó un punto sutil pero sustantivo en la regla de fusión multiescala. Una primera versión aplicaba selección por máxima actividad local de manera uniforme a todas las capas, incluyendo la base. La versión definitiva, reportada en los resultados de esta tesis, distingue las dos clases de capas: las L capas de detalle WTH se fusionan por máxima actividad local; la capa base se fusiona por promedio simple. Esta distinción es coherente con la práctica establecida en la literatura clásica de fusión multiescala. El refinamiento eliminó discontinuidades de iluminación y sesgos artificiales en la información mutua.</w:t>
      </w:r>
    </w:p>
    <w:p>
      <w:pPr>
        <w:pStyle w:val="Heading2"/>
        <w:spacing w:before="240" w:after="120"/>
        <w:jc w:val="start"/>
        <w:rPr/>
      </w:pPr>
      <w:r>
        <w:rPr>
          <w:rFonts w:eastAsia="Times New Roman" w:cs="Times New Roman"/>
          <w:b/>
          <w:bCs/>
          <w:color w:val="000000"/>
          <w:sz w:val="24"/>
          <w:szCs w:val="26"/>
        </w:rPr>
        <w:t>F. Hardware y tiempos de ejecución</w:t>
      </w:r>
    </w:p>
    <w:p>
      <w:pPr>
        <w:pStyle w:val="Normal"/>
        <w:spacing w:lineRule="auto" w:line="360" w:before="0" w:after="160"/>
        <w:ind w:firstLine="709"/>
        <w:jc w:val="both"/>
        <w:rPr/>
      </w:pPr>
      <w:r>
        <w:rPr>
          <w:rFonts w:eastAsia="Times New Roman" w:cs="Times New Roman"/>
          <w:sz w:val="24"/>
          <w:szCs w:val="24"/>
        </w:rPr>
        <w:t>La totalidad de los experimentos se ejecutó en una notebook estándar (Intel i7, 16 GB de RAM, sin GPU dedicada) bajo Windows 11 con Python 3.11. Cada fusión Top-Hat consume entre 20 y 80 milisegundos según la configuración; la pirámide de Laplace y el curvelet se sitúan en órdenes de magnitud comparables. La ejecución completa del benchmark exhaustivo (720 fusiones) toma aproximadamente 90 segundos. Esta liviandad computacional confirma la viabilidad del método para aplicaciones en tiempo real.</w:t>
      </w:r>
    </w:p>
    <w:sectPr>
      <w:headerReference w:type="even" r:id="rId16"/>
      <w:headerReference w:type="default" r:id="rId17"/>
      <w:headerReference w:type="first" r:id="rId18"/>
      <w:footerReference w:type="even" r:id="rId19"/>
      <w:footerReference w:type="default" r:id="rId20"/>
      <w:footerReference w:type="first" r:id="rId21"/>
      <w:type w:val="nextPage"/>
      <w:pgSz w:w="11906" w:h="16838"/>
      <w:pgMar w:left="1701" w:right="850" w:gutter="0" w:header="708" w:top="1922" w:footer="708" w:bottom="1202"/>
      <w:pgNumType w:fmt="decimal"/>
      <w:formProt w:val="false"/>
      <w:textDirection w:val="lrTb"/>
      <w:docGrid w:type="default" w:linePitch="360" w:charSpace="0"/>
    </w:sectPr>
  </w:body>
</w:document>
</file>

<file path=word/comments.xml><?xml version="1.0" encoding="utf-8"?>
<w:comments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comment w:id="0" w:author="Claude" w:date="2026-07-03T18:13:39Z" w:initials="C">
    <w:p>
      <w:pPr>
        <w:overflowPunct w:val="false"/>
        <w:spacing w:before="0" w:after="0" w:lineRule="auto" w:line="240"/>
        <w:jc w:val="start"/>
        <w:rPr/>
      </w:pPr>
      <w:r>
        <w:annotationRef/>
      </w:r>
      <w:r>
        <w:rPr>
          <w:color w:val="000000"/>
          <w:sz w:val="20"/>
          <w:szCs w:val="20"/>
        </w:rPr>
        <w:t>Actualizar la paginacion del indice y de las listas tras aceptar los cambios (el indice es texto estatico; se recomienda regenerarlo como indice automatico de Word). Se inserto 1.5 Hipotesis y se renumeraron 1.6 Limitaciones y 1.7 Alcance.</w:t>
      </w:r>
    </w:p>
  </w:comment>
  <w:comment w:id="1" w:author="Claude" w:date="2026-07-03T18:13:38Z" w:initials="C">
    <w:p>
      <w:pPr>
        <w:overflowPunct w:val="false"/>
        <w:spacing w:before="0" w:after="0" w:lineRule="auto" w:line="240"/>
        <w:jc w:val="start"/>
        <w:rPr/>
      </w:pPr>
      <w:r>
        <w:annotationRef/>
      </w:r>
      <w:r>
        <w:rPr>
          <w:color w:val="000000"/>
          <w:sz w:val="20"/>
          <w:szCs w:val="20"/>
        </w:rPr>
        <w:t>Se reubico el cuerpo de la tabla debajo de este titulo; antes quedaba huerfano al final de la seccion 5.7.1, despues de la Tabla 8b.</w:t>
      </w:r>
    </w:p>
  </w:comment>
  <w:comment w:id="2" w:author="Claude" w:date="2026-07-03T18:13:38Z" w:initials="C">
    <w:p>
      <w:pPr>
        <w:overflowPunct w:val="false"/>
        <w:spacing w:before="0" w:after="0" w:lineRule="auto" w:line="240"/>
        <w:jc w:val="start"/>
        <w:rPr/>
      </w:pPr>
      <w:r>
        <w:annotationRef/>
      </w:r>
      <w:r>
        <w:rPr>
          <w:color w:val="000000"/>
          <w:sz w:val="20"/>
          <w:szCs w:val="20"/>
        </w:rPr>
        <w:t>La fila Fusion Top-Hat de la Tabla 8 agrupa las 4 configuraciones de la Torre + el optimo monoescala del avance (33+5=38 detecciones; 13+2=15 personas). Verificar ademas la frase sobre la confianza media mas alta: por metodo, Top-Hat disco L3 (0,53) y Laplace (0,54) superan al optimo multiescala (0,51); el empate se da solo a nivel de grupos.</w:t>
      </w:r>
    </w:p>
  </w:comment>
  <w:comment w:id="3" w:author="Claude" w:date="2026-07-03T18:13:39Z" w:initials="C">
    <w:p>
      <w:pPr>
        <w:overflowPunct w:val="false"/>
        <w:spacing w:before="0" w:after="0" w:lineRule="auto" w:line="240"/>
        <w:jc w:val="start"/>
        <w:rPr/>
      </w:pPr>
      <w:r>
        <w:annotationRef/>
      </w:r>
      <w:r>
        <w:rPr>
          <w:color w:val="000000"/>
          <w:sz w:val="20"/>
          <w:szCs w:val="20"/>
        </w:rPr>
        <w:t>Se reubico el cuerpo de la tabla debajo de este titulo; antes aparecia despues de la Tabla 10, sin rotulo.</w:t>
      </w:r>
    </w:p>
  </w:comment>
  <w:comment w:id="4" w:author="Claude" w:date="2026-07-03T18:13:38Z" w:initials="C">
    <w:p>
      <w:pPr>
        <w:overflowPunct w:val="false"/>
        <w:spacing w:before="0" w:after="0" w:lineRule="auto" w:line="240"/>
        <w:jc w:val="start"/>
        <w:rPr/>
      </w:pPr>
      <w:r>
        <w:annotationRef/>
      </w:r>
      <w:r>
        <w:rPr>
          <w:color w:val="000000"/>
          <w:sz w:val="20"/>
          <w:szCs w:val="20"/>
        </w:rPr>
        <w:t>Bibliografia completada y verificada contra los PDF fuente (Bala 2024, Tao 2010, Malviya y Saxena 2014). La cita "Neha et al. 2014" se elimino: la referencia [132] del review de Singh apunta a un paper equivocado (era nombre de pila, cita rota en el propio review). PENDIENTE: solo el venue/DOI de Roman et al. 2024 (consultar al director, es coautor).</w:t>
      </w:r>
    </w:p>
  </w:comment>
</w:comments>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Times New Roman">
    <w:charset w:val="01" w:characterSet="utf-8"/>
    <w:family w:val="roman"/>
    <w:pitch w:val="variable"/>
  </w:font>
  <w:font w:name="Liberation Sans">
    <w:altName w:val="Arial"/>
    <w:charset w:val="01" w:characterSet="utf-8"/>
    <w:family w:val="swiss"/>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before="0" w:after="12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120"/>
      <w:jc w:val="center"/>
      <w:rPr/>
    </w:pPr>
    <w:r>
      <w:rPr/>
      <w:fldChar w:fldCharType="begin"/>
    </w:r>
    <w:r>
      <w:rPr/>
      <w:instrText xml:space="preserve"> PAGE </w:instrText>
    </w:r>
    <w:r>
      <w:rPr/>
      <w:fldChar w:fldCharType="separate"/>
    </w:r>
    <w:r>
      <w:rPr/>
      <w:t>55</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40" w:before="0" w:after="120"/>
      <w:jc w:val="center"/>
      <w:rPr/>
    </w:pPr>
    <w:r>
      <w:rPr/>
      <w:fldChar w:fldCharType="begin"/>
    </w:r>
    <w:r>
      <w:rPr/>
      <w:instrText xml:space="preserve"> PAGE </w:instrText>
    </w:r>
    <w:r>
      <w:rPr/>
      <w:fldChar w:fldCharType="separate"/>
    </w:r>
    <w:r>
      <w:rPr/>
      <w:t>55</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spacing w:before="0" w:after="120"/>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120"/>
      <w:jc w:val="end"/>
      <w:rPr/>
    </w:pPr>
    <w:r>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spacing w:lineRule="auto" w:line="276" w:before="0" w:after="120"/>
      <w:jc w:val="end"/>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4">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5">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6">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7">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8">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9">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0">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1">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2">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3">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4">
    <w:lvl w:ilvl="0">
      <w:start w:val="1"/>
      <w:numFmt w:val="decimal"/>
      <w:lvlText w:val="%1."/>
      <w:lvlJc w:val="start"/>
      <w:pPr>
        <w:tabs>
          <w:tab w:val="num" w:pos="0"/>
        </w:tabs>
        <w:ind w:start="720" w:hanging="360"/>
      </w:pPr>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5">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6">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7">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8">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19">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0">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1">
    <w:lvl w:ilvl="0">
      <w:start w:val="1"/>
      <w:numFmt w:val="bullet"/>
      <w:lvlText w:val=""/>
      <w:lvlJc w:val="start"/>
      <w:pPr>
        <w:tabs>
          <w:tab w:val="num" w:pos="0"/>
        </w:tabs>
        <w:ind w:start="720" w:hanging="360"/>
      </w:pPr>
      <w:rPr>
        <w:rFonts w:ascii="Symbol" w:hAnsi="Symbol" w:cs="Symbol" w:hint="default"/>
      </w:rPr>
    </w:lvl>
    <w:lvl w:ilvl="1">
      <w:start w:val="1"/>
      <w:numFmt w:val="decimal"/>
      <w:lvlText w:val="%2."/>
      <w:lvlJc w:val="start"/>
      <w:pPr>
        <w:tabs>
          <w:tab w:val="num" w:pos="1080"/>
        </w:tabs>
        <w:ind w:start="1080" w:hanging="360"/>
      </w:pPr>
      <w:rPr/>
    </w:lvl>
    <w:lvl w:ilvl="2">
      <w:start w:val="1"/>
      <w:numFmt w:val="decimal"/>
      <w:lvlText w:val="%3."/>
      <w:lvlJc w:val="start"/>
      <w:pPr>
        <w:tabs>
          <w:tab w:val="num" w:pos="1440"/>
        </w:tabs>
        <w:ind w:start="1440" w:hanging="360"/>
      </w:pPr>
      <w:rPr/>
    </w:lvl>
    <w:lvl w:ilvl="3">
      <w:start w:val="1"/>
      <w:numFmt w:val="decimal"/>
      <w:lvlText w:val="%4."/>
      <w:lvlJc w:val="start"/>
      <w:pPr>
        <w:tabs>
          <w:tab w:val="num" w:pos="1800"/>
        </w:tabs>
        <w:ind w:start="1800" w:hanging="360"/>
      </w:pPr>
      <w:rPr/>
    </w:lvl>
    <w:lvl w:ilvl="4">
      <w:start w:val="1"/>
      <w:numFmt w:val="decimal"/>
      <w:lvlText w:val="%5."/>
      <w:lvlJc w:val="start"/>
      <w:pPr>
        <w:tabs>
          <w:tab w:val="num" w:pos="2160"/>
        </w:tabs>
        <w:ind w:start="2160" w:hanging="360"/>
      </w:pPr>
      <w:rPr/>
    </w:lvl>
    <w:lvl w:ilvl="5">
      <w:start w:val="1"/>
      <w:numFmt w:val="decimal"/>
      <w:lvlText w:val="%6."/>
      <w:lvlJc w:val="start"/>
      <w:pPr>
        <w:tabs>
          <w:tab w:val="num" w:pos="2520"/>
        </w:tabs>
        <w:ind w:start="2520" w:hanging="360"/>
      </w:pPr>
      <w:rPr/>
    </w:lvl>
    <w:lvl w:ilvl="6">
      <w:start w:val="1"/>
      <w:numFmt w:val="decimal"/>
      <w:lvlText w:val="%7."/>
      <w:lvlJc w:val="start"/>
      <w:pPr>
        <w:tabs>
          <w:tab w:val="num" w:pos="2880"/>
        </w:tabs>
        <w:ind w:start="2880" w:hanging="360"/>
      </w:pPr>
      <w:rPr/>
    </w:lvl>
    <w:lvl w:ilvl="7">
      <w:start w:val="1"/>
      <w:numFmt w:val="decimal"/>
      <w:lvlText w:val="%8."/>
      <w:lvlJc w:val="start"/>
      <w:pPr>
        <w:tabs>
          <w:tab w:val="num" w:pos="3240"/>
        </w:tabs>
        <w:ind w:start="3240" w:hanging="360"/>
      </w:pPr>
      <w:rPr/>
    </w:lvl>
    <w:lvl w:ilvl="8">
      <w:start w:val="1"/>
      <w:numFmt w:val="decimal"/>
      <w:lvlText w:val="%9."/>
      <w:lvlJc w:val="start"/>
      <w:pPr>
        <w:tabs>
          <w:tab w:val="num" w:pos="3600"/>
        </w:tabs>
        <w:ind w:start="3600" w:hanging="360"/>
      </w:pPr>
      <w:rPr/>
    </w:lvl>
  </w:abstractNum>
  <w:abstractNum w:abstractNumId="22">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3"/>
    <w:lvlOverride w:ilvl="0">
      <w:startOverride w:val="1"/>
    </w:lvlOverride>
  </w:num>
  <w:num w:numId="24">
    <w:abstractNumId w:val="4"/>
    <w:lvlOverride w:ilvl="0">
      <w:startOverride w:val="1"/>
    </w:lvlOverride>
  </w:num>
  <w:num w:numId="25">
    <w:abstractNumId w:val="3"/>
    <w:lvlOverride w:ilvl="0">
      <w:startOverride w:val="1"/>
    </w:lvlOverride>
  </w:num>
  <w:num w:numId="26">
    <w:abstractNumId w:val="4"/>
    <w:lvlOverride w:ilvl="0">
      <w:startOverride w:val="1"/>
    </w:lvlOverride>
  </w:num>
</w:numbering>
</file>

<file path=word/settings.xml><?xml version="1.0" encoding="utf-8"?>
<w:settings xmlns:w="http://schemas.openxmlformats.org/wordprocessingml/2006/main">
  <w:zoom w:percent="110"/>
  <w:defaultTabStop w:val="720"/>
  <w:autoHyphenation w:val="true"/>
  <w:hyphenationZone w:val="360"/>
  <w:compat>
    <w:compatSetting w:name="compatibilityMode" w:uri="http://schemas.microsoft.com/office/word" w:val="15"/>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Times New Roman" w:hAnsi="Times New Roman" w:eastAsia="Times New Roman" w:cs="Times New Roman"/>
        <w:sz w:val="24"/>
        <w:szCs w:val="24"/>
        <w:lang w:val="es-AR" w:eastAsia="zh-CN" w:bidi="hi-IN"/>
      </w:rPr>
    </w:rPrDefault>
    <w:pPrDefault>
      <w:pPr>
        <w:suppressAutoHyphens w:val="true"/>
      </w:pPr>
    </w:pPrDefault>
  </w:docDefaults>
  <w:style w:type="paragraph" w:styleId="Normal">
    <w:name w:val="Normal"/>
    <w:qFormat/>
    <w:pPr>
      <w:widowControl/>
      <w:suppressAutoHyphens w:val="true"/>
      <w:bidi w:val="0"/>
      <w:spacing w:lineRule="auto" w:line="276" w:before="0" w:after="120"/>
      <w:jc w:val="both"/>
    </w:pPr>
    <w:rPr>
      <w:rFonts w:ascii="Times New Roman" w:hAnsi="Times New Roman" w:eastAsia="Times New Roman" w:cs="Times New Roman"/>
      <w:color w:val="auto"/>
      <w:kern w:val="0"/>
      <w:sz w:val="24"/>
      <w:szCs w:val="24"/>
      <w:lang w:val="es-AR" w:eastAsia="zh-CN" w:bidi="hi-IN"/>
    </w:rPr>
  </w:style>
  <w:style w:type="paragraph" w:styleId="Heading1">
    <w:name w:val="heading 1"/>
    <w:basedOn w:val="Ttulo"/>
    <w:qFormat/>
    <w:pPr>
      <w:spacing w:before="360" w:after="240"/>
      <w:jc w:val="center"/>
      <w:outlineLvl w:val="0"/>
    </w:pPr>
    <w:rPr>
      <w:rFonts w:ascii="Times New Roman" w:hAnsi="Times New Roman" w:eastAsia="Times New Roman" w:cs="Times New Roman"/>
      <w:b/>
      <w:bCs/>
      <w:color w:val="000000"/>
      <w:sz w:val="28"/>
      <w:szCs w:val="28"/>
    </w:rPr>
  </w:style>
  <w:style w:type="paragraph" w:styleId="Heading2">
    <w:name w:val="heading 2"/>
    <w:basedOn w:val="Ttulo"/>
    <w:qFormat/>
    <w:pPr>
      <w:spacing w:before="240" w:after="120"/>
      <w:outlineLvl w:val="1"/>
    </w:pPr>
    <w:rPr>
      <w:rFonts w:ascii="Times New Roman" w:hAnsi="Times New Roman" w:eastAsia="Times New Roman" w:cs="Times New Roman"/>
      <w:b/>
      <w:bCs/>
      <w:color w:val="000000"/>
      <w:sz w:val="26"/>
      <w:szCs w:val="26"/>
    </w:rPr>
  </w:style>
  <w:style w:type="paragraph" w:styleId="Heading3">
    <w:name w:val="heading 3"/>
    <w:basedOn w:val="Ttulo"/>
    <w:qFormat/>
    <w:pPr>
      <w:spacing w:before="180" w:after="100"/>
      <w:outlineLvl w:val="2"/>
    </w:pPr>
    <w:rPr>
      <w:rFonts w:ascii="Times New Roman" w:hAnsi="Times New Roman" w:eastAsia="Times New Roman" w:cs="Times New Roman"/>
      <w:b/>
      <w:bCs/>
      <w:i/>
      <w:iCs/>
      <w:color w:val="000000"/>
      <w:sz w:val="24"/>
      <w:szCs w:val="24"/>
    </w:rPr>
  </w:style>
  <w:style w:type="paragraph" w:styleId="Heading4">
    <w:name w:val="heading 4"/>
    <w:basedOn w:val="Ttulo"/>
    <w:qFormat/>
    <w:pPr/>
    <w:rPr>
      <w:rFonts w:ascii="Times New Roman" w:hAnsi="Times New Roman"/>
      <w:b/>
      <w:i/>
      <w:iCs/>
      <w:color w:val="000000"/>
      <w:sz w:val="24"/>
    </w:rPr>
  </w:style>
  <w:style w:type="paragraph" w:styleId="Heading5">
    <w:name w:val="heading 5"/>
    <w:basedOn w:val="Ttulo"/>
    <w:qFormat/>
    <w:pPr/>
    <w:rPr>
      <w:rFonts w:ascii="Times New Roman" w:hAnsi="Times New Roman"/>
      <w:b/>
      <w:color w:val="000000"/>
      <w:sz w:val="24"/>
    </w:rPr>
  </w:style>
  <w:style w:type="paragraph" w:styleId="Heading6">
    <w:name w:val="heading 6"/>
    <w:basedOn w:val="Ttulo"/>
    <w:qFormat/>
    <w:pPr/>
    <w:rPr>
      <w:rFonts w:ascii="Times New Roman" w:hAnsi="Times New Roman"/>
      <w:b/>
      <w:color w:val="000000"/>
      <w:sz w:val="24"/>
    </w:rPr>
  </w:style>
  <w:style w:type="character" w:styleId="Hyperlink">
    <w:name w:val="Hyperlink"/>
    <w:uiPriority w:val="99"/>
    <w:unhideWhenUsed/>
    <w:rPr>
      <w:color w:val="0563C1"/>
      <w:u w:val="single"/>
    </w:rPr>
  </w:style>
  <w:style w:type="character" w:styleId="Caracteresdenotaalpie">
    <w:name w:val="Caracteres de nota al pie"/>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uiPriority w:val="99"/>
    <w:semiHidden/>
    <w:unhideWhenUsed/>
    <w:qFormat/>
    <w:rPr>
      <w:sz w:val="20"/>
      <w:szCs w:val="20"/>
    </w:rPr>
  </w:style>
  <w:style w:type="character" w:styleId="Caracteresdenotafinal">
    <w:name w:val="Caracteres de nota final"/>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uiPriority w:val="99"/>
    <w:semiHidden/>
    <w:unhideWhenUsed/>
    <w:qFormat/>
    <w:rPr>
      <w:sz w:val="20"/>
      <w:szCs w:val="20"/>
    </w:rPr>
  </w:style>
  <w:style w:type="character" w:styleId="LineNumber">
    <w:name w:val="line number"/>
    <w:rPr/>
  </w:style>
  <w:style w:type="paragraph" w:styleId="Heading">
    <w:name w:val="Heading"/>
    <w:basedOn w:val="Normal"/>
    <w:next w:val="BodyText"/>
    <w:qFormat/>
    <w:pPr>
      <w:keepNext w:val="true"/>
      <w:spacing w:before="240" w:after="120"/>
    </w:pPr>
    <w:rPr>
      <w:rFonts w:ascii="Liberation Sans" w:hAnsi="Liberation Sans" w:eastAsia="Noto Sans CJK SC" w:cs="DejaVu Sans"/>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Lucida Sans"/>
    </w:rPr>
  </w:style>
  <w:style w:type="paragraph" w:styleId="Caption">
    <w:name w:val="caption"/>
    <w:basedOn w:val="Normal"/>
    <w:qFormat/>
    <w:pPr>
      <w:suppressLineNumbers/>
      <w:spacing w:before="120" w:after="120"/>
    </w:pPr>
    <w:rPr>
      <w:rFonts w:cs="Lucida Sans"/>
      <w:i/>
      <w:iCs/>
      <w:sz w:val="24"/>
      <w:szCs w:val="24"/>
    </w:rPr>
  </w:style>
  <w:style w:type="paragraph" w:styleId="Index">
    <w:name w:val="Index"/>
    <w:basedOn w:val="Normal"/>
    <w:qFormat/>
    <w:pPr>
      <w:suppressLineNumbers/>
    </w:pPr>
    <w:rPr>
      <w:rFonts w:cs="DejaVu Sans"/>
    </w:rPr>
  </w:style>
  <w:style w:type="paragraph" w:styleId="Ttulo">
    <w:name w:val="Título"/>
    <w:basedOn w:val="Normal"/>
    <w:next w:val="BodyText"/>
    <w:qFormat/>
    <w:pPr>
      <w:keepNext w:val="true"/>
      <w:spacing w:before="240" w:after="120"/>
    </w:pPr>
    <w:rPr>
      <w:rFonts w:ascii="Liberation Sans" w:hAnsi="Liberation Sans" w:eastAsia="Microsoft YaHei" w:cs="Lucida Sans"/>
      <w:sz w:val="28"/>
      <w:szCs w:val="28"/>
    </w:rPr>
  </w:style>
  <w:style w:type="paragraph" w:styleId="ndice">
    <w:name w:val="Índice"/>
    <w:basedOn w:val="Normal"/>
    <w:qFormat/>
    <w:pPr>
      <w:suppressLineNumbers/>
    </w:pPr>
    <w:rPr>
      <w:rFonts w:cs="Lucida Sans"/>
    </w:rPr>
  </w:style>
  <w:style w:type="paragraph" w:styleId="Title">
    <w:name w:val="Title"/>
    <w:basedOn w:val="Ttulo"/>
    <w:qFormat/>
    <w:pPr/>
    <w:rPr>
      <w:sz w:val="56"/>
      <w:szCs w:val="56"/>
    </w:rPr>
  </w:style>
  <w:style w:type="paragraph" w:styleId="StrongEmphasis">
    <w:name w:val="Strong Emphasis"/>
    <w:qFormat/>
    <w:pPr>
      <w:widowControl/>
      <w:suppressAutoHyphens w:val="true"/>
      <w:bidi w:val="0"/>
      <w:spacing w:lineRule="auto" w:line="276" w:before="0" w:after="120"/>
      <w:jc w:val="both"/>
    </w:pPr>
    <w:rPr>
      <w:rFonts w:ascii="Times New Roman" w:hAnsi="Times New Roman" w:eastAsia="Times New Roman" w:cs="Times New Roman"/>
      <w:b/>
      <w:bCs/>
      <w:color w:val="auto"/>
      <w:kern w:val="0"/>
      <w:sz w:val="24"/>
      <w:szCs w:val="24"/>
      <w:lang w:val="es-AR" w:eastAsia="zh-CN" w:bidi="hi-IN"/>
    </w:rPr>
  </w:style>
  <w:style w:type="paragraph" w:styleId="ListParagraph">
    <w:name w:val="List Paragraph"/>
    <w:qFormat/>
    <w:pPr>
      <w:widowControl/>
      <w:suppressAutoHyphens w:val="true"/>
      <w:bidi w:val="0"/>
      <w:spacing w:lineRule="auto" w:line="276" w:before="0" w:after="120"/>
      <w:jc w:val="both"/>
    </w:pPr>
    <w:rPr>
      <w:rFonts w:ascii="Times New Roman" w:hAnsi="Times New Roman" w:eastAsia="Times New Roman" w:cs="Times New Roman"/>
      <w:color w:val="auto"/>
      <w:kern w:val="0"/>
      <w:sz w:val="24"/>
      <w:szCs w:val="24"/>
      <w:lang w:val="es-AR"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Cabeceraypie">
    <w:name w:val="Cabecera y pie"/>
    <w:basedOn w:val="Normal"/>
    <w:qFormat/>
    <w:pPr/>
    <w:rPr/>
  </w:style>
  <w:style w:type="paragraph" w:styleId="HeaderandFooter">
    <w:name w:val="Header and Footer"/>
    <w:basedOn w:val="Normal"/>
    <w:qFormat/>
    <w:pPr/>
    <w:rPr/>
  </w:style>
  <w:style w:type="paragraph" w:styleId="Header">
    <w:name w:val="header"/>
    <w:basedOn w:val="Cabeceraypie"/>
    <w:pPr/>
    <w:rPr/>
  </w:style>
  <w:style w:type="paragraph" w:styleId="Footer">
    <w:name w:val="footer"/>
    <w:basedOn w:val="Cabeceraypie"/>
    <w:pPr/>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header" Target="header1.xml"/><Relationship Id="rId17" Type="http://schemas.openxmlformats.org/officeDocument/2006/relationships/header" Target="header2.xml"/><Relationship Id="rId18" Type="http://schemas.openxmlformats.org/officeDocument/2006/relationships/header" Target="header3.xml"/><Relationship Id="rId19" Type="http://schemas.openxmlformats.org/officeDocument/2006/relationships/footer" Target="footer1.xml"/><Relationship Id="rId20" Type="http://schemas.openxmlformats.org/officeDocument/2006/relationships/footer" Target="footer2.xml"/><Relationship Id="rId21" Type="http://schemas.openxmlformats.org/officeDocument/2006/relationships/footer" Target="footer3.xml"/><Relationship Id="rId22" Type="http://schemas.openxmlformats.org/officeDocument/2006/relationships/comments" Target="comments.xml"/><Relationship Id="rId23" Type="http://schemas.openxmlformats.org/officeDocument/2006/relationships/numbering" Target="numbering.xml"/><Relationship Id="rId24" Type="http://schemas.openxmlformats.org/officeDocument/2006/relationships/fontTable" Target="fontTable.xml"/><Relationship Id="rId25" Type="http://schemas.openxmlformats.org/officeDocument/2006/relationships/settings" Target="settings.xml"/><Relationship Id="rId26" Type="http://schemas.openxmlformats.org/officeDocument/2006/relationships/theme" Target="theme/theme1.xml"/><Relationship Id="rId11" Type="http://schemas.openxmlformats.org/officeDocument/2006/relationships/image" Target="media/image15.png"/><Relationship Id="rId12" Type="http://schemas.openxmlformats.org/officeDocument/2006/relationships/image" Target="media/image16.png"/><Relationship Id="rId13" Type="http://schemas.openxmlformats.org/officeDocument/2006/relationships/image" Target="media/image17.png"/></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0</TotalTime>
  <Application>LibreOffice/26.2.4.2$Linux_X86_64 LibreOffice_project/620$Build-2</Application>
  <AppVersion>15.0000</AppVersion>
  <Pages>17</Pages>
  <Words>846</Words>
  <Characters>4590</Characters>
  <CharactersWithSpaces>5597</CharactersWithSpaces>
  <Paragraphs>40</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2026-04-26T00:15:07Z</dcterms:created>
  <dc:creator>Lic. Juan Pablo Bazán, Ing. Yan Bajac</dc:creator>
  <dc:description>Tesis de Maestría en Ciencias de Datos – UCOM</dc:description>
  <dc:language>es-AR</dc:language>
  <cp:lastModifiedBy/>
  <dcterms:modified xsi:type="dcterms:W3CDTF">2026-07-03T15:39:56Z</dcterms:modified>
  <cp:revision>3</cp:revision>
  <dc:subject/>
  <dc:title>Fusión de Imágenes Infrarrojas y Visibles mediante Morfología Matemática</dc:title>
</cp:coreProperties>
</file>

<file path=docProps/custom.xml><?xml version="1.0" encoding="utf-8"?>
<Properties xmlns="http://schemas.openxmlformats.org/officeDocument/2006/custom-properties" xmlns:vt="http://schemas.openxmlformats.org/officeDocument/2006/docPropsVTypes"/>
</file>