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La fusión de imágenes visible (VIS) e infrarroja (IR) busca una sola imagen que conserve el detalle del visible y la firma térmica del infrarrojo, y se aplica en vigilancia, conducción nocturna y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(r=25 por diseño; m=0,30, el piso del rango de búsqueda)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—repetido con 5 semillas de entrenamiento por entrada, 45 corridas en total— muestra que toda fusión supera con claridad al visible solo (0,795 de media frente a la banda 0,904–0,952), en las 5 semillas y muy por encima del ruido de inicialización, que es de 0,0128 de desvío. El infrarrojo solo es la modalidad más fuerte (0,961) y supera a 6 de las siete fusiones, aunque de la séptima, la pirámide de Laplace, no se distingue. La propuesta alcanza 0,9283 y queda 3.ª de siete, indistinguible de 4 de sus seis rivales, lo que evidencia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(r=25 by design; m=0.30, the floor of the search range)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—repeated with 5 training seeds per input, 45 runs in total— shows that every fusion clearly outperforms the visible modality alone (0.795 on average against the 0.904–0.952 band), across all 5 seeds and well above the initialization noise of 0.0128. The infrared alone remains the strongest modality (0.961) and outperforms 6 of the seven fusions, although it is indistinguishable from the seventh, the Laplacian pyramid. The proposal reaches 0.9283 and ranks 3rd of seven, indistinguishable from 4 of its 6 rivals,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5.8.1 Sensibilidad del orden de mérito y redundancia interna (H2, H4)</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75</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(r = 25 por diseño; m = 0,30, piso del rango)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documento sigue este orden.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repetido con 5 semillas de entrenamiento por entrada en LLVIP —lo que permite separar la diferencia entre métodos del ruido de inicialización— pero con una sola en M3FD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 El esquema es ilustrativo: las posiciones de las partículas y las curvas de nivel no son datos de una corrida. El gbest que rotula corresponde al óptimo de la aptitud paralela F_apt (r = 25; m = 0,0703); el peso que esta tesis adopta es m = 0,30, el piso del rango de búsqueda heredado, por las razones que se desarrollan en la sección 5.2.</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 Es la única de las nueve que se evalúa sobre la escala de niveles de gris 0–255 y no sobre el rango normalizado [0, 1] en el que se cargan las imágenes: así se reporta habitualmente en la literatura de fusión, y así la calcula el evaluador de este trabajo. Aplicar la ecuación (17) directamente a una imagen en [0, 1] devuelve el mismo valor dividido por 255.</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de las nueve métricas —SD, MG, SF, SSIM, PSNR y MI_ir—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Distinto es lo que ocurre al ampliar la batería en lugar de recortarla. Sumando Nabf —la única métrica de dirección inversa del estudio, que penaliza artefactos, y cuya incorporación este trabajo recomienda en sus conclusiones— la propuesta pasa al segundo lugar (3,655) y el primero corresponde a la pirámide de Laplace (3,620), lo que es consistente con su Nabf medio: 0,3742 la propuesta frente a 0,1138 de aquélla.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5 veces por entrada cambiando únicamente la semilla de inicialización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 (media ± desv.)</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 (media ± desv.)</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0,795 ± 0,0123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0,429 ± 0,0120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0,714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0,961 ± 0,0139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0,592 ± 0,0259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0,884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0,952 ± 0,0064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0,583 ± 0,0162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0,889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0,904 ± 0,0063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0,511 ± 0,0090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0,835</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0,918 ± 0,0288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0,575 ± 0,0229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0,907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0,821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 ± 0,0095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0,589 ± 0,0118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0,819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 ± 0,0128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0,578 ± 0,0217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0,807</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0,923 ± 0,0131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0,587 ± 0,0260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0,928 ± 0,0130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0,577 ± 0,0149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0,828</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(0,795 de media frente a una banda de 0,904–0,952, en las 5 semillas,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por DTCWT (0,936), mientras que la Propuesta Novedosa queda 3.ª con 0,9283 e indistinguible de 4 de sus seis rivales, porque las diferencias entre ellas caen por debajo del desvío de una misma entrada (0,0128).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drawing>
          <wp:inline xmlns:a="http://schemas.openxmlformats.org/drawingml/2006/main">
            <wp:extent cx="5577840" cy="2994813"/>
            <wp:docPr id="9913" name="Picture 9913"/>
            <wp:cNvGraphicFramePr>
              <a:graphicFrameLocks noChangeAspect="1"/>
            </wp:cNvGraphicFramePr>
            <a:graphic>
              <a:graphicData uri="http://schemas.openxmlformats.org/drawingml/2006/picture">
                <pic:pic>
                  <pic:nvPicPr>
                    <pic:cNvPr id="0" name="fig_semillas_llvip.png"/>
                    <pic:cNvPicPr/>
                  </pic:nvPicPr>
                  <pic:blipFill>
                    <a:blip r:embed="rId27"/>
                    <a:stretch>
                      <a:fillRect/>
                    </a:stretch>
                  </pic:blipFill>
                  <pic:spPr>
                    <a:xfrm>
                      <a:off x="0" y="0"/>
                      <a:ext cx="5577840" cy="2994813"/>
                    </a:xfrm>
                    <a:prstGeom prst="rect"/>
                  </pic:spPr>
                </pic:pic>
              </a:graphicData>
            </a:graphic>
          </wp:inline>
        </w:drawing>
      </w:r>
    </w:p>
    <w:p>
      <w:pPr>
        <w:pStyle w:val="Normal"/>
        <w:spacing w:lineRule="auto" w:line="276"/>
        <w:jc w:val="both"/>
        <w:rPr/>
      </w:pPr>
      <w:r>
        <w:t>Figura 12. Dispersión de cada entrada del detector sobre las 5 semillas de entrenamiento en LLVIP. El punto es la media, la barra une el mínimo con el máximo y los círculos son las 45 corridas. Cuando las barras de dos entradas se superponen, la diferencia entre ellas no se distingue del ruido de inicialización: el desvío mediano de una misma entrada es 0,0128 y su recorrido mediano 0,0308; en el caso extremo, la wavelet discreta recorre 0,0710 consigo misma, más que la distancia entre la mejor y la peor de las siete fusiones.</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Tabla 9. Clases complementarias en M3FD: AP@0,5 por clase y mAP global con un detector único entrenado sobre VIS+IR (medias sobre las 499 imágenes de la partición de prueba, disjunta de las de entrenamiento y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prueba y modelo nano): el experimento no busca récords, sino delimitar el escenario donde la fusión aporta algo que ninguna modalidad sola aporta. La Figura 9 ilustra el fenómeno sobre dos escenas de la prueba: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Figura 9. Detecciones del modelo único VIS+IR en dos escenas de la partición de prueba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(r = 25 por diseño; m = 0,30, piso del rango)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repetida con 5 semillas de entrenamiento por entrada) constituye un criterio complementario y arroja el hallazgo más matizado: toda fusión supera netamente al visible solo (+0,09 a +0,14 en mAP@0,5), el infrarrojo solo es la modalidad más fuerte (0,961) y la propuesta queda 3.ª de las siete fusiones (0,9283), indistinguible de 4 de ellas,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El orden de mérito no es una propiedad del operador sino del criterio. Con las nueve métricas del trabajo de referencia la propuesta encabeza el benchmark (3,394 de rango medio). Sumando sólo Nabf, la única de dirección inversa y la que este trabajo recomienda incorporar, ya desciende al segundo lugar (3,655) por detrás de la pirámide de Laplace (3,620).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los tres cálculos: cambió el conjunto de métricas, y el descenso es monótono a medida que la batería se completa.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El contraste con la tarea posterior cierra la auditoría. La correlación de Spearman entre el rango de calidad de los siete métodos y su mAP en LLVIP calculada sobre la media de las cinco semillas es ρ = −0,357 con p = 0,432: no hay asociación. Sobre la corrida de una sola semilla ese coeficiente era ρ = +0,214, de modo que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(r=25 adoptado como decisión de diseño sobre la batería de evaluación; m=0,30, el piso del rango heredado, al que converge el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(0,795 de media frente a 0,904–0,952, en las 5 semillas) y el infrarrojo solo (0,961) supera a 6 de las siete, sin distinguirse de la séptima, y la propuesta queda 3.ª de las siete (mAP@0,5 = 0,9283):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rechaza la igualdad en las nueve métricas, con valores p entre 8,4 · 10⁻²² y 1,1 · 10⁻¹⁰,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Normal"/>
        <w:spacing w:lineRule="auto" w:line="360" w:before="0" w:after="160"/>
        <w:ind w:firstLine="709"/>
        <w:jc w:val="both"/>
        <w:rPr/>
      </w:pPr>
      <w:r>
        <w:t>Repetir toda evaluación orientada a tarea con varias semillas de entrenamiento y reportar la dispersión junto con la media, empezando por M3FD, que conserva un único entrenamiento por entrada. En LLVIP, 5 semillas mostraron que el desvío de una misma entrada (0,0128 de mAP@0,5) es del orden de la distancia que separa a las fusiones entre sí, de modo que un único entrenamiento por entrada no autoriza a ordenarlas.</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entrenamiento y estudio de semillas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 Id="rId27"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