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(PSO: r=25, m=0,30) la propuesta lidera la entropía y la eficiencia de fusión del estudio (EN=6,9855; FE=1,1047) y se ubica segunda en contraste, gradiente medio y frecuencia espacial (SD=0,1439; MG=0,0355; SF=17,4425), con ventaja estadísticamente significativa sobre los cinco métodos del estado del arte en EN, FE, MG y SF; cede, en cambio, en las métricas de fidelidad a las fuentes (SSIM=0,6584; PSNR=16,8409) y en información mutua, lideradas por los métodos multiescala. En el ranking agregado de las nueve métricas —promedio de los rangos obtenidos dentro de cada par de imágenes— ocupa el primer lugar (3,39), por delante de la pirámide de Laplace (3,91) y del Top-Hat clásico (3,94). Como evaluación orientada a tarea, el reentrenamiento de un detector (YOLOv8n) sobre el conjunto etiquetado LLVIP muestra que toda fusión supera con claridad al visible solo (mAP@0,5 de 0,81 a 0,91–0,95), aunque el infrarrojo solo es la modalidad más fuerte (0,971) y la propuesta queda en el extremo inferior de la banda de fusiones (0,906), evidenciando que el realce que premian las métricas de actividad no se traslada a la detección. En un experimento complementario sobre M3FD, con dos clases de visibilidad opuesta (personas/IR y luces/VIS) y un único detector entrenado con ambas modalidades, la Ratio Pyramid es la única entrada cuyo promedio del par complementario (0,622) supera a las dos modalidades por separado (0,618 del visible y 0,563 del infrarrojo), mientras la propuesta alcanza 0,564, al nivel del infrarrojo solo. Se concluye que la propuesta destaca en actividad, detalle y contenido informativo —superando de forma significativa al estado del arte en cuatro de las nueve métricas y a la metodología clásica en seis—, aporta un operador morfológico de una sola escala interpretable y de bajo costo optimizado con una metodología publicada (Ortega y Espinoza, 2025), y, en la evaluación orientada a tarea, documenta un hallazgo relevante: la configuración que maximiza las métricas de actividad no es la que maximiza el desempeño de detección, de modo que ambos criterios deben reportarse por separado.</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(PSO: r=25, m=0.30) the proposal leads the study in entropy and fusion efficiency (EN=6.9855; FE=1.1047) and ranks second in contrast, mean gradient and spatial frequency (SD=0.1439; MG=0.0355; SF=17.4425), with a statistically significant advantage over the five state-of-the-art methods in EN, FE, MG and SF; it yields, in turn, on the fidelity metrics (SSIM=0.6584; PSNR=16.8409) and on mutual information, led by the multiscale methods. In the aggregate ranking over the nine metrics —the average of the ranks obtained within each image pair— it ranks first (3.39), ahead of the Laplacian pyramid (3.91) and the classical Top-Hat (3.94). As a task-oriented evaluation, retraining a detector (YOLOv8n) on the labeled LLVIP dataset shows that every fusion clearly outperforms the visible modality alone (mAP@0.5 from 0.81 to 0.91–0.95), although the infrared alone remains the strongest modality (0.971) and the proposal falls at the lower end of the fusion band (0.906), evidencing that the enhancement rewarded by activity metrics does not transfer to detection. In a complementary experiment on M3FD, with two classes of opposite visibility (people/IR and lamps/VIS) and a single detector trained on both modalities, the Ratio Pyramid is the only input whose complementary-pair average (0.622) exceeds both single modalities (0.618 for the visible and 0.563 for the infrared), while the proposal reaches 0.564, on par with the infrared alone. We conclude that the proposal stands out in activity, detail and information content —significantly outperforming the state of the art in four of the nine metrics and the classical methodology in six—, contributes an interpretable single-scale morphological operator optimized with a published methodology (Ortega and Espinoza, 2025), and, in the task-oriented evaluation, documents a relevant finding: the configuration that maximizes activity metrics is not the one that maximizes detection performance, so both criteria must be reported separately.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PSO,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13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22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23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25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30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36</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37</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43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45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46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52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 xml:space="preserve">5.8 Auditoría del protocolo de evaluación</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5.8.1 Sensibilidad del orden de mérito y redundancia interna (H2, H4)</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5.8.2 Control negativo con degradaciones conocidas (H3)</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5.8.3 Aporte del banco con hiperparámetros igualados (H7)</w:t>
        <w:tab/>
        <w:t>61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5.8.4 Robustez frente al ajuste simétrico de los comparativos</w:t>
        <w:tab/>
        <w:t>62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5.8.5 Alcance de la optimización y contraste con la tarea (H5, H6)</w:t>
        <w:tab/>
        <w:t>63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64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64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66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68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74</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 y Petrović, 2000)</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personas y luces en una sola imagen, allí donde el infrarrojo apenas detecta luces.</w:t>
      </w:r>
    </w:p>
    <w:p>
      <w:pPr>
        <w:pStyle w:val="Normal"/>
        <w:spacing w:lineRule="auto" w:line="276" w:before="0" w:after="40"/>
        <w:jc w:val="both"/>
        <w:rPr/>
      </w:pPr>
      <w:r>
        <w:rPr>
          <w:rFonts w:eastAsia="Times New Roman" w:cs="Times New Roman"/>
          <w:i/>
          <w:sz w:val="18"/>
        </w:rPr>
        <w:t>Figura 10. Propuesta Novedosa (PSO: r = 25, m = 0,30) frente a la metodología clásica Top-Hat y al estado del arte.</w:t>
      </w:r>
    </w:p>
    <w:p>
      <w:pPr>
        <w:pStyle w:val="Normal"/>
        <w:spacing w:lineRule="auto" w:line="276" w:before="0" w:after="40"/>
        <w:jc w:val="both"/>
        <w:rPr/>
      </w:pPr>
      <w:r>
        <w:rPr>
          <w:rFonts w:eastAsia="Times New Roman" w:cs="Times New Roman"/>
          <w:sz w:val="21"/>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r>
        <w:br w:type="page"/>
      </w:r>
    </w:p>
    <w:p>
      <w:pPr>
        <w:pStyle w:val="Normal"/>
        <w:spacing w:lineRule="auto" w:line="276" w:before="0" w:after="40"/>
        <w:jc w:val="both"/>
        <w:rPr/>
      </w:pPr>
      <w:r>
        <w:rPr>
          <w:rFonts w:eastAsia="Times New Roman" w:cs="Times New Roman"/>
          <w:sz w:val="21"/>
        </w:rPr>
        <w:t xml:space="preserve">Tabla 12. Control negativo: rango medio de los siete métodos y de siete entradas degradadas, bajo tres composiciones del criterio (menor rango = mejor; n = 20 pares).</w:t>
      </w:r>
      <w:r>
        <w:br w:type="page"/>
      </w:r>
    </w:p>
    <w:p>
      <w:pPr>
        <w:pStyle w:val="Normal"/>
        <w:spacing w:lineRule="auto" w:line="276" w:before="0" w:after="40"/>
        <w:jc w:val="both"/>
        <w:rPr/>
      </w:pPr>
      <w:r>
        <w:rPr>
          <w:rFonts w:eastAsia="Times New Roman" w:cs="Times New Roman"/>
          <w:sz w:val="21"/>
        </w:rPr>
        <w:t xml:space="preserve">Tabla 13. Ablación del banco de elementos estructurantes con (r, m) = (25; 0,30) fijos en los seis brazos (menor rango = mejor; n = 20 pares).</w:t>
      </w:r>
      <w:r>
        <w:br w:type="page"/>
      </w:r>
    </w:p>
    <w:p>
      <w:pPr>
        <w:pStyle w:val="Normal"/>
        <w:spacing w:lineRule="auto" w:line="276" w:before="0" w:after="40"/>
        <w:jc w:val="both"/>
        <w:rPr/>
      </w:pPr>
      <w:r>
        <w:rPr>
          <w:rFonts w:eastAsia="Times New Roman" w:cs="Times New Roman"/>
          <w:sz w:val="21"/>
        </w:rPr>
        <w:t xml:space="preserve">Tabla 14. Rango medio por escenario de ajuste: con los comparativos por defecto, con los comparativos ajustados, y con los comparativos ajustados sobre las diecisiete métricas (menor rango = mejor).</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una parte de ese vacío —la geometría del banco de elementos estructurantes sobre una sola escala— mediante un benchmark contra la metodología clásica y cinco configuraciones de referencia, y audita además la validez discriminativa del protocolo con que se lo evalúa.</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—la geometría del banco de SE, el radio r y el peso m—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Diseñar, implementar y caracterizar un operador de fusión de imágenes visibles e infrarrojas basado en la transformada Top-Hat de una sola escala con un banco de cinco elementos estructurantes —un disco y cuatro segmentos lineales orientados—, determinando en qué dirección desplaza el punto de operación de la fusión frente a la metodología clásica y a cinco configuraciones de referencia del estado del arte sobre el TNO Image Fusion Dataset; y auditar, con ese mismo desarrollo como caso de estudio, la validez discriminativa del protocolo de evaluación empleado —una batería de métricas sin referencia interpretadas como «mayor es mejor», la elección de hiperparámetros guiada por esas mismas métricas y el contraste con una tarea posterior de detección de objetos—, estableciendo en qué medida el orden de mérito que ese protocolo produce autoriza conclusiones sobre la calidad de una imagen fusionada y sobre su utilidad en una tarea posterior.</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e implementar el operador tal como efectivamente se evalúa: sobre una sola escala de radio r se calculan las transformadas Top-Hat y Bottom-Hat con un disco B_r y con cuatro elementos estructurantes lineales orientados a 0°, 45°, 90° y 135° de longitud 2r+1; las cuatro respuestas lineales se promedian y ese promedio se suma a la respuesta del disco; la comparación por máximo por píxel se aplica únicamente entre las respuestas obtenidas del visible y del infrarrojo, no entre las ramas del banco; y la reconstrucción es aditivo-sustractiva ponderada sobre I_base = (VIS + IR)/2. Aislar el aporte del banco mediante una ablación con hiperparámetros fijos.</w:t>
      </w:r>
    </w:p>
    <w:p>
      <w:pPr>
        <w:pStyle w:val="ListParagraph"/>
        <w:numPr>
          <w:ilvl w:val="0"/>
          <w:numId w:val="3"/>
        </w:numPr>
        <w:spacing w:lineRule="auto" w:line="360" w:before="0" w:after="100"/>
        <w:ind w:firstLine="709"/>
        <w:jc w:val="both"/>
        <w:rPr/>
      </w:pPr>
      <w:r>
        <w:rPr>
          <w:rFonts w:eastAsia="Times New Roman" w:cs="Times New Roman"/>
        </w:rPr>
        <w:t xml:space="preserve">Delimitar el alcance real de la optimización por enjambre de partículas: establecer cuál de los hiperparámetros determina efectivamente la aptitud declarada y cuál constituye una decisión de diseño, caracterizar la forma de la función de aptitud sobre el espacio de búsqueda, y justificar el peso adoptado con criterios independientes de esa aptitud.</w:t>
      </w:r>
    </w:p>
    <w:p>
      <w:pPr>
        <w:pStyle w:val="ListParagraph"/>
        <w:numPr>
          <w:ilvl w:val="0"/>
          <w:numId w:val="3"/>
        </w:numPr>
        <w:spacing w:lineRule="auto" w:line="360" w:before="0" w:after="100"/>
        <w:ind w:firstLine="709"/>
        <w:jc w:val="both"/>
        <w:rPr/>
      </w:pPr>
      <w:r>
        <w:rPr>
          <w:rFonts w:eastAsia="Times New Roman" w:cs="Times New Roman"/>
        </w:rPr>
        <w:t xml:space="preserve">Comparar el operador con la metodología clásica y con cinco configuraciones de referencia del estado del arte sobre nueve métricas sin referencia, con pruebas no paramétricas (Friedman y Wilcoxon con corrección de Holm), organizando los resultados en bloques de actividad espacial y de fidelidad a las fuentes en lugar de un único orden agregado, y verificando la robustez del resultado frente a un ajuste simétrico de los hiperparámetros de los comparativos.</w:t>
      </w:r>
    </w:p>
    <w:p>
      <w:pPr>
        <w:pStyle w:val="ListParagraph"/>
        <w:numPr>
          <w:ilvl w:val="0"/>
          <w:numId w:val="3"/>
        </w:numPr>
        <w:spacing w:lineRule="auto" w:line="360" w:before="0" w:after="100"/>
        <w:ind w:firstLine="709"/>
        <w:jc w:val="both"/>
        <w:rPr/>
      </w:pPr>
      <w:r>
        <w:rPr>
          <w:rFonts w:eastAsia="Times New Roman" w:cs="Times New Roman"/>
        </w:rPr>
        <w:t xml:space="preserve">Evaluar si la batería de métricas empleada discrimina calidad de fusión, mediante tres pruebas: un control negativo con degradaciones conocidas, un análisis de redundancia interna entre métricas, y la sensibilidad del orden de mérito a la composición del conjunto.</w:t>
      </w:r>
    </w:p>
    <w:p>
      <w:pPr>
        <w:pStyle w:val="ListParagraph"/>
        <w:numPr>
          <w:ilvl w:val="0"/>
          <w:numId w:val="3"/>
        </w:numPr>
        <w:spacing w:lineRule="auto" w:line="360" w:before="0" w:after="100"/>
        <w:ind w:firstLine="709"/>
        <w:jc w:val="both"/>
        <w:rPr/>
      </w:pPr>
      <w:r>
        <w:rPr>
          <w:rFonts w:eastAsia="Times New Roman" w:cs="Times New Roman"/>
        </w:rPr>
        <w:t xml:space="preserve">Medir el efecto de la fusión sobre la detección de objetos con dos experimentos independientes, y contrastar el orden de mérito de las métricas de imagen con el orden de utilidad en la tarea, operacionalizando el objetivo mediante un conteo por escena de recuperación de clases complementarias y no solo mediante el mAP promedio.</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¿En qué dirección desplaza el punto de operación de la fusión VIS/IR un operador Top-Hat de una escala con banco de cinco elementos estructurantes, y en qué medida el protocolo de evaluación con el que se lo juzga —métricas sin referencia de tipo «mayor es mejor», hiperparámetros elegidos sobre esas mismas métricas y validación en tarea posterior— permite sostener conclusiones sobre la calidad de la imagen fusionada y sobre su utilidad práctica?</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las respuestas por promedio y suma, y regla de reconstrucción— para adaptar el realce morfológico multidireccional al esquema de fusión VIS/IR, y cuánto aporta el banco por encima del disco único con hiperparámetros igualados?</w:t>
      </w:r>
    </w:p>
    <w:p>
      <w:pPr>
        <w:pStyle w:val="ListParagraph"/>
        <w:numPr>
          <w:ilvl w:val="0"/>
          <w:numId w:val="4"/>
        </w:numPr>
        <w:spacing w:lineRule="auto" w:line="360" w:before="0" w:after="100"/>
        <w:ind w:firstLine="709"/>
        <w:jc w:val="both"/>
        <w:rPr/>
      </w:pPr>
      <w:r>
        <w:rPr>
          <w:rFonts w:eastAsia="Times New Roman" w:cs="Times New Roman"/>
        </w:rPr>
        <w:t xml:space="preserve">¿Cuál de los dos hiperparámetros (r, m) determina efectivamente la aptitud declarada, qué forma tiene esa aptitud sobre el espacio de búsqueda, y con qué criterios independientes de ella puede justificarse el peso adoptado?</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en qué métricas, y se sostiene el resultado cuando se concede a los comparativos el mismo paso de ajuste de hiperparámetros?</w:t>
      </w:r>
    </w:p>
    <w:p>
      <w:pPr>
        <w:pStyle w:val="ListParagraph"/>
        <w:numPr>
          <w:ilvl w:val="0"/>
          <w:numId w:val="4"/>
        </w:numPr>
        <w:spacing w:lineRule="auto" w:line="360" w:before="0" w:after="100"/>
        <w:ind w:firstLine="709"/>
        <w:jc w:val="both"/>
        <w:rPr/>
      </w:pPr>
      <w:r>
        <w:rPr>
          <w:rFonts w:eastAsia="Times New Roman" w:cs="Times New Roman"/>
        </w:rPr>
        <w:t xml:space="preserve">¿Discrimina la batería de nueve métricas sin referencia entre detalle útil y ruido inyectado, contiene componentes redundantes entre sí, y depende el orden de mérito de la composición del conjunto de métricas?</w:t>
      </w:r>
    </w:p>
    <w:p>
      <w:pPr>
        <w:pStyle w:val="ListParagraph"/>
        <w:numPr>
          <w:ilvl w:val="0"/>
          <w:numId w:val="4"/>
        </w:numPr>
        <w:spacing w:lineRule="auto" w:line="360" w:before="0" w:after="100"/>
        <w:ind w:firstLine="709"/>
        <w:jc w:val="both"/>
        <w:rPr/>
      </w:pPr>
      <w:r>
        <w:rPr>
          <w:rFonts w:eastAsia="Times New Roman" w:cs="Times New Roman"/>
        </w:rPr>
        <w:t xml:space="preserve">¿La fusión —y en particular el método propuesto— mejora el desempeño de un detector de objetos respecto de las modalidades visible e infrarroja por separado, y predice el orden de mérito de las métricas de imagen el orden de utilidad en la tarea?</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siete hipótesis de trabajo, todas contrastables con experimentos versionados en el repositorio. H1: el operador con banco de cinco elementos estructurantes no mejora la fusión de manera uniforme, sino que desplaza su punto de operación hacia el realce de la actividad espacial y en contra de la fidelidad a las fuentes. H2: el orden de mérito de los métodos no es una propiedad del operador sino del criterio con que se lo evalúa, de modo que cambia al cambiar la composición del conjunto de métricas sin que cambie ninguna imagen fusionada. H3: la batería de nueve métricas de tipo «mayor es mejor» es insuficiente como criterio de calidad, porque sus métricas de actividad crecen monótonamente con la varianza inyectada y no distinguen detalle útil de ruido. H4: la batería contiene al menos una métrica que no aporta información independiente de las demás. H5: la optimización no determina la configuración adoptada, dado que ambos hiperparámetros resultan de decisiones apoyadas en parte del mismo criterio con el que después se evalúa. H6: el orden de mérito de las métricas de imagen no predice el orden de utilidad en una tarea posterior de detección, y ninguna fusión supera por un margen distinguible a la mejor modalidad individual. H7: con el radio y el peso igualados, el banco de cinco elementos produce un perfil de métricas distinto del que produce el disco único. H1 se contrasta en las secciones 5.4 y 5.6; H6 en la sección 5.5; y H2, H3, H4, H5 y H7 en la sección 5.8, dedicada a la auditoría del protocolo de evaluación.</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 Sexto, los veinte pares corresponden a trece escenas distintas —cuatro de ellas con varias vistas o instantes del mismo sujeto—, de modo que los bloques de las pruebas no son plenamente independientes y el tamaño de muestra efectivo es menor que veinte. Séptimo, la eficiencia de fusión (FE) es la entropía reescalada por una constante por escena, por lo que la batería de nueve métricas contiene ocho cantidades independientes; excluyendo FE la propuesta sigue primera (3,631 frente a 3,994 de la pirámide de Laplace), aunque el resto del orden se reacomoda. Octavo, el comparador identificado como curvelet está implementado como una aproximación mediante wavelet 2D (db4) y no como una transformada curvelet propiamente dicha, de modo que los valores de CVT deben leerse referidos a esa aproximación. Noveno, la función de aptitud del trabajo de referencia y la batería de evaluación discrepan en el radio: Fo favorece r = 1 y las nueve métricas r = 25, por lo que la configuración adoptada se apoya en el criterio de evaluación y no en la optimización, que sí determina el peso m. Décimo, en el conteo por escena sobre M3FD —232 escenas con ambas clases complementarias— la propuesta recupera las dos clases en el 50,0 % de los casos frente al 53,0 % del visible solo (8 escenas ganadas y 15 perdidas; McNemar exacto p = 0,2100) y resuelve 2 de las 90 escenas críticas, de manera que no mejora la tarea de clases complementarias.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(2000) introducen una de las primeras descomposiciones multiescala basadas en operadores Top-Hat para realce e interpretación de imágenes médicas. En el ámbito local, Bajac Figueredo et al. (2024) presentan un análisis visual y numérico de la fusión VIS/IR con la transformada Top-Hat sobre el mismo conjunto TNO, antecedente directo de esta tesis. Bai (2013) extiende la idea a fusión VIS+IR, mostrando que la transformada Top-Hat puede capturar simultáneamente detalles brillantes y oscuros con bajo costo computacional. Antes, Bai et al. (2012) habían usado los rasgos multiescala del Top-Hat para realce de imagen, y por otra vía Wang et al. (2014) combinan la fusión VIS+IR con representaciones dispersas no negativas. Pero ni esos trabajos ni los posteriores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La combinación de elementos estructurantes circulares y lineales aplicados en distintas direcciones tiene un antecedente directo en el realce de imágenes mamográficas de Flores et al. (s. f.), del mismo grupo de investigación.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0.30</m:t>
                </m:r>
                <m:r>
                  <m:t>,</m:t>
                </m:r>
                <m:r>
                  <m:t> </m:t>
                </m:r>
                <m:r>
                  <m:t>2.00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Conviene declarar una precisión de implementación: la ecuación (29) de ese trabajo define el PSNR como 10·log10((M × N)² / MSE), con el número de píxeles al cuadrado en el numerador, donde la definición estándar lleva la intensidad máxima al cuadrado. Para una imagen de 620 × 450 eso desplaza el resultado en 60,8 dB, y explica que los valores publicados en sus anexos vayan de 94 a 99 dB, cifras incompatibles con una fusión porque implicarían que la imagen fusionada es casi idéntica a las dos fuentes a la vez, mientras su propio SSIMavg mediano es 0,4481. Esta tesis emplea la definición estándar, 10·log10(MAX²/MSE), de modo que sus valores de Fo no son directamente comparables con los publicados allí: la diferencia está enteramente en ese término. El barrido de 25 configuraciones (partículas 2–10 × iteraciones 10–50, Cuadro 1 de dicho trabajo) se ejecuta sobre tres escenas representativas con el espacio de búsqueda del trabajo de referencia, r ∈ [1, 25] y m ∈ [0,30; 2,00]. El peso óptimo converge al límite inferior del rango, m* = 0,30, en las 25 configuraciones: los dos términos de fidelidad de Fo (SSIMavg y PSNRn) decrecen al aumentar el realce y dominan sobre la entropía normalizada. Para el radio, Fo favorece r = 1, el extremo inferior del rango. Con ese valor los cinco elementos estructurantes siguen activos, pero se reducen a una vecindad de 3 × 3 píxeles: el operador extrae apenas estructura a la escala de los objetivos y la fusión se acerca a la imagen base, que es justamente lo que maximizan los dos términos de fidelidad de Fo. Las nueve métricas de evaluación de esta tesis, todas de tipo «mayor es mejor», favorecen en cambio r = 25. Se adopta por tanto la configuración r = 25, m = 0,30: el peso que produce la metodología de referencia y el radio que maximiza el criterio de evaluación, con el banco de cinco elementos operando a una escala comparable al tamaño de los objetivos térmicos.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[0,30; 2,00] (rango publicado)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0,30 (m* del barrido en las 25 configuraciones; Fo = 1,7057)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Kingsbury (2001)</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eficiencia de fusión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cinco de actividad e información —entropía, desviación estándar, frecuencia espacial, gradiente medio e información mutua— son descriptores estándar sin una fuente única atribuible: se emplean en la forma que recogen las revisiones de Ma et al. (2019) y Singh et al. (2023) y el trabajo de referencia (Ortega y Espinoza, 2025).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Eficiencia de fusión (FE). Cociente entre la entropía de la imagen fusionada y el promedio de las entropías de las dos fuentes, FE = EN(F) / [(EN(A) + EN(B)) / 2]; mayor es mejor. Se reporta porque la emplea el trabajo de referencia (Ortega y Espinoza, 2025), pero conviene advertir su dependencia de EN: para un par VIS/IR dado el denominador no depende del método de fusión, de modo que FE es la entropía reescalada por una constante por escena. En consecuencia produce los mismos rangos intra-bloque que EN, el mismo estadístico de Friedman y los mismos signos en Wilcoxon, y no debe interpretarse como una novena fuente de evidencia independiente.</w:t>
      </w:r>
      <w:r>
        <w:rPr>
          <w:rFonts w:eastAsia="Times New Roman" w:cs="Times New Roman"/>
          <w:b w:val="false"/>
          <w:sz w:val="24"/>
        </w:rPr>
        <w:t/>
      </w:r>
    </w:p>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sSup>
                              <m:e>
                                <m:r>
                                  <m:t>Δx</m:t>
                                </m:r>
                              </m:e>
                              <m:sup>
                                <m:r>
                                  <m:t>2</m:t>
                                </m:r>
                              </m:sup>
                            </m:sSup>
                            <m:r>
                              <m:t xml:space="preserve">+</m:t>
                            </m:r>
                            <m:sSup>
                              <m:e>
                                <m:r>
                                  <m:t>Δy</m:t>
                                </m:r>
                              </m:e>
                              <m:sup>
                                <m:r>
                                  <m:t>2</m:t>
                                </m:r>
                              </m:sup>
                            </m:sSup>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 y Petrović, 2000).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mismo marco que Q^AB/F, Xydeas y Petrović, 2000).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(Wang et al., 2004).</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(Aslantas y Bendes, 2015).</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(Sheikh y Bovik, 2006).</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 y Petrović, 2000)</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el banco consta de cinco elementos: un disco elíptico B_r y cuatro segmentos lineales de longitud 2r+1 orientados a 0°, 45°, 90° y 135°. El radio se busca en r ∈ [1, 25] y se adopta r = 25. No se emplean elementos cuadrados ni de cruz.</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Es el principio de los cinco métodos comparativos —pirámides y wavelets—, no del operador propuesto: este trabaja sobre una sola escala de radio r y no construye ninguna descomposición iterativa con radio creciente. Prescindir de la cascada multiescala es precisamente la decisión de diseño que la tesis pone a prueba.</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método morfológico contra cada comparativo y ambos entre sí.</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la función objetivo del trabajo de referencia, Fo = SSIMavg + En + PSNRn: la suma sin pesos de la similitud estructural promedio con las fuentes, la entropía normalizada y el PSNR normalizado. No incluye ningún término explícito de preservación de bordes, de correlación ni de penalización de artefactos; dos de sus tres sumandos son de fidelidad a las fuentes, de modo que decrece al aumentar el realce.</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0,30)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0,30–2,00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2017).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 Conviene precisar la composición del corpus: los veinte pares corresponden a trece escenas distintas, porque cuatro de ellas aportan varias tomas del mismo sujeto —APC_1 y APC_3 con tres vistas cada una, el soldado tras la cortina de humo con tres instantes y el soldado en trinchera con dos—. Los veinte bloques de las pruebas no son, por tanto, plenamente independientes, y el tamaño de muestra efectivo es menor que veinte; este punto se retoma en las limitaciones.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uno de los dos métodos morfológicos —la Propuesta Novedosa y la metodología clásica Top-Hat— y cada uno de los cinco comparativos del estado del arte, más el contraste directo entre ambos morfológicos: once contrastes por métrica y 99 en total, controlando por imagen; dado el número de contrastes se aplica corrección de Holm dentro de cada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0,30)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mayor entropía y la mayor eficiencia de fusión del estudio (EN = 6,9855; FE = 1,1047), con un realce moderado que evita la saturación del operador clásico.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La propuesta lidera la entropía (EN = 6,9855) y la eficiencia de fusión (FE = 1,1047) del benchmark, y se ubica segunda en desviación estándar (SD = 0,1439), gradiente medio (MG = 0,0355) y frecuencia espacial (SF = 17,4425), por detrás únicamente de la pirámide de Laplace en contraste y del Top-Hat clásico en gradiente y frecuencia. En las métricas de fidelidad la relación se invierte: los métodos multiescala lideran la similitud estructural y el PSNR, y la pirámide de Laplace la información mutua con las fuentes. Frente al operador clásico, la propuesta mejora simultáneamente la entropía, el contraste y la eficiencia de fusión y además eleva la similitud estructural de 0,5640 a 0,6584, mostrando que el banco de elementos estructurantes realza sin degradar la estructura tanto como el disco único sin ponderación.</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0,1550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1,0806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1,9242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0,9178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6,8098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0,1271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0,9485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0,6504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6,6816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0,1172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6,6445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0,1132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1,0507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0,6695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6,9220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0,1352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0,0478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0,7867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0,4928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6,9855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0,1439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1,1047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0,0355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0,8970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0,6003</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13,2205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14,9401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13,6209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17,3689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14,1888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17,5886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13,1990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0,7249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17,5974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13,3379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0,7162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17,6523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23,1000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0,5640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17,4425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0,6584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16,8409</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la pirámide de Laplace lidera FMI (0,2362), QW (0,8470) y QE (0,3856), y DTCWT lidera Q0 (0,7411); la propuesta no encabeza ninguna de las cuatro. La Propuesta Novedosa lidera en cambio SCD (1,5427) y VIF (0,3805), y presenta la mayor tasa de artefactos del benchmark después del Top-Hat clásico (Nabf 0,3742, frente a 0,1593 de DTCWT).</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101,74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73,63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97,31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100,46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111,84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(99 contrastes; detalle en el Apéndice C). El hallazgo central: la propuesta mejora de forma estadísticamente significativa la entropía, la eficiencia de fusión, el gradiente medio y la frecuencia espacial (EN, FE, MG, SF) frente a los cinco métodos del estado del arte (p_Holm &lt; 0,05), y el contraste (SD) frente a cuatro de los cinco, mientras que cede de manera sistemática en las métricas de fidelidad a las fuentes (SSIM, PSNR) y en la información mutua, donde lideran los métodos multiescala. Frente al Top-Hat clásico la ventaja es más amplia: la propuesta gana en seis de las nueve métricas y cede solo en gradiente medio y frecuencia espacial.</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métricas clave y el ranking global obtenido al promediar las nueve métricas, respetando la dirección de cada una. La propuesta encabeza el ranking global (3,39), seguida por la pirámide de Laplace (3,91), el Top-Hat clásico (3,94), RP (3,98), DTCWT (4,11), DWT (4,21) y CVT (4,44); es primera en el rango medio de entropía, contraste y eficiencia de fusión, segunda en gradiente medio y frecuencia espacial, y queda relegada en las métricas de fidelidad a las fuentes. Conviene notar que su primer puesto en contraste es de rango y no de media: la pirámide de Laplace alcanza un SD promedio mayor (0,1550 frente a 0,1439), pero la propuesta la supera en más pares de los que pierde, y el rango medio recoge esa consistencia por escena que el promedio aritmético oculta. El ranking se calcula promediando, para cada método, los rangos que obtiene dentro de cada par de imágenes —el complemento habitual de la prueba de Friedman—, y no rankeando los promedios, procedimiento que ignora la variabilidad entre escenas. Debe además tenerse presente que FE es la entropía de la fusión dividida por el promedio de las entropías de las fuentes: dentro de un mismo par el divisor es constante, de modo que FE reproduce exactamente los rangos de EN y no constituye evidencia independiente. Excluyéndola, la propuesta sigue primera (3,631 frente a 3,994 de la pirámide de Laplace), de modo que su primer lugar no depende de la redundancia; el resto del orden sí se reacomoda —solo cuatro de las siete posiciones se conservan, y el Top-Hat clásico cae del tercer al sexto lugar—. Aun así, al mezclar familias de métricas con pesos iguales, el ranking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5,90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3,39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0,450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0,621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0,924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0,565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0,500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0,924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0,581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0,761</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(mAP@0,5 de 0,813 a una banda de 0,906–0,952, es decir entre +0,09 y +0,14 puntos): cuando el canal visible es débil —escenas nocturnas—, fusionar aporta información decisiva. Segundo, el infrarrojo solo es la modalidad más fuerte (mAP@0,5 = 0,971; mAP@0,5:0,95 = 0,621) y ninguna fusión lo supera, coherente con que LLVIP es detección de peatones en baja luz, donde la firma térmica domina. Tercero, entre las fusiones la pirámide de Laplace encabeza (0,952), seguida de cerca por DTCWT (0,949) y el curvelet (0,940), mientras que la Propuesta Novedosa queda en el extremo inferior de la banda (0,906), a la par de la Ratio Pyramid. La conclusión es matizada y relevante: el realce acentuado que favorece a las métricas de actividad no mejora la detección —el detector se beneficia más de una fusión conservadora y fiel a las fuentes que de un contraste elevado—, de modo que la calidad de imagen medida por actividad no se traslada a la tarea;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una partición estratificada y disjunta en tres subconjuntos —2.000 pares de entrenamiento, 500 de validación y 500 de prueba, de los cuales 499 resultan utilizables—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partición de prueba de cada modalidad y de cada método de fusión, con la configuración adoptada en la sección 5.6 (r = 25, m = 0,30). El conteo por escena de la sección 5.8.5 se calcula sobre un subconjunto complementario de 232 escenas, disjunto del entrenamiento, formado por las que contienen simultáneamente las dos clases de visibilidad opuesta.</w:t>
      </w:r>
    </w:p>
    <w:p>
      <w:pPr>
        <w:pStyle w:val="Normal"/>
        <w:spacing w:lineRule="auto" w:line="276"/>
        <w:jc w:val="both"/>
        <w:rPr/>
      </w:pPr>
      <w:r>
        <w:rPr>
          <w:rFonts w:eastAsia="Times New Roman" w:cs="Times New Roman"/>
          <w:i/>
          <w:sz w:val="18"/>
        </w:rPr>
        <w:t xml:space="preserve">Tabla 9. Clases complementarias en M3FD: AP@0,5 por clase y mAP global con un detector único entrenado sobre VIS+IR (medias sobre 499 imágenes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 xml:space="preserve">0,621</w:t>
            </w:r>
          </w:p>
        </w:tc>
        <w:tc>
          <w:tcPr>
            <w:tcW w:w="1560" w:type="dxa"/>
            <w:tcBorders/>
          </w:tcPr>
          <w:p>
            <w:pPr>
              <w:pStyle w:val="Normal"/>
              <w:widowControl w:val="false"/>
              <w:spacing w:lineRule="auto" w:line="276" w:before="0" w:after="120"/>
              <w:rPr/>
            </w:pPr>
            <w:r>
              <w:rPr>
                <w:b/>
                <w:rFonts w:eastAsia="Times New Roman" w:cs="Times New Roman"/>
                <w:sz w:val="19"/>
              </w:rPr>
              <w:t xml:space="preserve">0,616</w:t>
            </w:r>
          </w:p>
        </w:tc>
        <w:tc>
          <w:tcPr>
            <w:tcW w:w="1560" w:type="dxa"/>
            <w:tcBorders/>
          </w:tcPr>
          <w:p>
            <w:pPr>
              <w:pStyle w:val="Normal"/>
              <w:widowControl w:val="false"/>
              <w:spacing w:lineRule="auto" w:line="276" w:before="0" w:after="120"/>
              <w:rPr/>
            </w:pPr>
            <w:r>
              <w:rPr>
                <w:rFonts w:eastAsia="Times New Roman" w:cs="Times New Roman"/>
                <w:sz w:val="19"/>
              </w:rPr>
              <w:t xml:space="preserve">0,618</w:t>
            </w:r>
          </w:p>
        </w:tc>
        <w:tc>
          <w:tcPr>
            <w:tcW w:w="1560" w:type="dxa"/>
            <w:tcBorders/>
          </w:tcPr>
          <w:p>
            <w:pPr>
              <w:pStyle w:val="Normal"/>
              <w:widowControl w:val="false"/>
              <w:spacing w:lineRule="auto" w:line="276" w:before="0" w:after="120"/>
              <w:rPr/>
            </w:pPr>
            <w:r>
              <w:rPr>
                <w:b/>
                <w:rFonts w:eastAsia="Times New Roman" w:cs="Times New Roman"/>
                <w:sz w:val="19"/>
              </w:rPr>
              <w:t xml:space="preserve">0,676</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 xml:space="preserve">0,779</w:t>
            </w:r>
          </w:p>
        </w:tc>
        <w:tc>
          <w:tcPr>
            <w:tcW w:w="1560" w:type="dxa"/>
            <w:tcBorders/>
          </w:tcPr>
          <w:p>
            <w:pPr>
              <w:pStyle w:val="Normal"/>
              <w:widowControl w:val="false"/>
              <w:spacing w:lineRule="auto" w:line="276" w:before="0" w:after="120"/>
              <w:rPr/>
            </w:pPr>
            <w:r>
              <w:rPr>
                <w:rFonts w:eastAsia="Times New Roman" w:cs="Times New Roman"/>
                <w:sz w:val="19"/>
              </w:rPr>
              <w:t xml:space="preserve">0,348</w:t>
            </w:r>
          </w:p>
        </w:tc>
        <w:tc>
          <w:tcPr>
            <w:tcW w:w="1560" w:type="dxa"/>
            <w:tcBorders/>
          </w:tcPr>
          <w:p>
            <w:pPr>
              <w:pStyle w:val="Normal"/>
              <w:widowControl w:val="false"/>
              <w:spacing w:lineRule="auto" w:line="276" w:before="0" w:after="120"/>
              <w:rPr/>
            </w:pPr>
            <w:r>
              <w:rPr>
                <w:rFonts w:eastAsia="Times New Roman" w:cs="Times New Roman"/>
                <w:sz w:val="19"/>
              </w:rPr>
              <w:t xml:space="preserve">0,563</w:t>
            </w:r>
          </w:p>
        </w:tc>
        <w:tc>
          <w:tcPr>
            <w:tcW w:w="1560" w:type="dxa"/>
            <w:tcBorders/>
          </w:tcPr>
          <w:p>
            <w:pPr>
              <w:pStyle w:val="Normal"/>
              <w:widowControl w:val="false"/>
              <w:spacing w:lineRule="auto" w:line="276" w:before="0" w:after="120"/>
              <w:rPr/>
            </w:pPr>
            <w:r>
              <w:rPr>
                <w:rFonts w:eastAsia="Times New Roman" w:cs="Times New Roman"/>
                <w:sz w:val="19"/>
              </w:rPr>
              <w:t xml:space="preserve">0,668</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 xml:space="preserve">0,684</w:t>
            </w:r>
          </w:p>
        </w:tc>
        <w:tc>
          <w:tcPr>
            <w:tcW w:w="1560" w:type="dxa"/>
            <w:tcBorders/>
          </w:tcPr>
          <w:p>
            <w:pPr>
              <w:pStyle w:val="Normal"/>
              <w:widowControl w:val="false"/>
              <w:spacing w:lineRule="auto" w:line="276" w:before="0" w:after="120"/>
              <w:rPr/>
            </w:pPr>
            <w:r>
              <w:rPr>
                <w:rFonts w:eastAsia="Times New Roman" w:cs="Times New Roman"/>
                <w:sz w:val="19"/>
              </w:rPr>
              <w:t xml:space="preserve">0,545</w:t>
            </w:r>
          </w:p>
        </w:tc>
        <w:tc>
          <w:tcPr>
            <w:tcW w:w="1560" w:type="dxa"/>
            <w:tcBorders/>
          </w:tcPr>
          <w:p>
            <w:pPr>
              <w:pStyle w:val="Normal"/>
              <w:widowControl w:val="false"/>
              <w:spacing w:lineRule="auto" w:line="276" w:before="0" w:after="120"/>
              <w:rPr/>
            </w:pPr>
            <w:r>
              <w:rPr>
                <w:rFonts w:eastAsia="Times New Roman" w:cs="Times New Roman"/>
                <w:sz w:val="19"/>
              </w:rPr>
              <w:t xml:space="preserve">0,614</w:t>
            </w:r>
          </w:p>
        </w:tc>
        <w:tc>
          <w:tcPr>
            <w:tcW w:w="1560" w:type="dxa"/>
            <w:tcBorders/>
          </w:tcPr>
          <w:p>
            <w:pPr>
              <w:pStyle w:val="Normal"/>
              <w:widowControl w:val="false"/>
              <w:spacing w:lineRule="auto" w:line="276" w:before="0" w:after="120"/>
              <w:rPr/>
            </w:pPr>
            <w:r>
              <w:rPr>
                <w:rFonts w:eastAsia="Times New Roman" w:cs="Times New Roman"/>
                <w:sz w:val="19"/>
              </w:rPr>
              <w:t xml:space="preserve">0,674</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 xml:space="preserve">0,694</w:t>
            </w:r>
          </w:p>
        </w:tc>
        <w:tc>
          <w:tcPr>
            <w:tcW w:w="1560" w:type="dxa"/>
            <w:tcBorders/>
          </w:tcPr>
          <w:p>
            <w:pPr>
              <w:pStyle w:val="Normal"/>
              <w:widowControl w:val="false"/>
              <w:spacing w:lineRule="auto" w:line="276" w:before="0" w:after="120"/>
              <w:rPr/>
            </w:pPr>
            <w:r>
              <w:rPr>
                <w:rFonts w:eastAsia="Times New Roman" w:cs="Times New Roman"/>
                <w:sz w:val="19"/>
              </w:rPr>
              <w:t xml:space="preserve">0,550</w:t>
            </w:r>
          </w:p>
        </w:tc>
        <w:tc>
          <w:tcPr>
            <w:tcW w:w="1560" w:type="dxa"/>
            <w:tcBorders/>
          </w:tcPr>
          <w:p>
            <w:pPr>
              <w:pStyle w:val="Normal"/>
              <w:widowControl w:val="false"/>
              <w:spacing w:lineRule="auto" w:line="276" w:before="0" w:after="120"/>
              <w:rPr/>
            </w:pPr>
            <w:r>
              <w:rPr>
                <w:b/>
                <w:rFonts w:eastAsia="Times New Roman" w:cs="Times New Roman"/>
                <w:sz w:val="19"/>
              </w:rPr>
              <w:t xml:space="preserve">0,622</w:t>
            </w:r>
          </w:p>
        </w:tc>
        <w:tc>
          <w:tcPr>
            <w:tcW w:w="1560" w:type="dxa"/>
            <w:tcBorders/>
          </w:tcPr>
          <w:p>
            <w:pPr>
              <w:pStyle w:val="Normal"/>
              <w:widowControl w:val="false"/>
              <w:spacing w:lineRule="auto" w:line="276" w:before="0" w:after="120"/>
              <w:rPr/>
            </w:pPr>
            <w:r>
              <w:rPr>
                <w:rFonts w:eastAsia="Times New Roman" w:cs="Times New Roman"/>
                <w:sz w:val="19"/>
              </w:rPr>
              <w:t xml:space="preserve">0,677</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 xml:space="preserve">0,664</w:t>
            </w:r>
          </w:p>
        </w:tc>
        <w:tc>
          <w:tcPr>
            <w:tcW w:w="1560" w:type="dxa"/>
            <w:tcBorders/>
          </w:tcPr>
          <w:p>
            <w:pPr>
              <w:pStyle w:val="Normal"/>
              <w:widowControl w:val="false"/>
              <w:spacing w:lineRule="auto" w:line="276" w:before="0" w:after="120"/>
              <w:rPr/>
            </w:pPr>
            <w:r>
              <w:rPr>
                <w:rFonts w:eastAsia="Times New Roman" w:cs="Times New Roman"/>
                <w:sz w:val="19"/>
              </w:rPr>
              <w:t xml:space="preserve">0,528</w:t>
            </w:r>
          </w:p>
        </w:tc>
        <w:tc>
          <w:tcPr>
            <w:tcW w:w="1560" w:type="dxa"/>
            <w:tcBorders/>
          </w:tcPr>
          <w:p>
            <w:pPr>
              <w:pStyle w:val="Normal"/>
              <w:widowControl w:val="false"/>
              <w:spacing w:lineRule="auto" w:line="276" w:before="0" w:after="120"/>
              <w:rPr/>
            </w:pPr>
            <w:r>
              <w:rPr>
                <w:rFonts w:eastAsia="Times New Roman" w:cs="Times New Roman"/>
                <w:sz w:val="19"/>
              </w:rPr>
              <w:t xml:space="preserve">0,596</w:t>
            </w:r>
          </w:p>
        </w:tc>
        <w:tc>
          <w:tcPr>
            <w:tcW w:w="1560" w:type="dxa"/>
            <w:tcBorders/>
          </w:tcPr>
          <w:p>
            <w:pPr>
              <w:pStyle w:val="Normal"/>
              <w:widowControl w:val="false"/>
              <w:spacing w:lineRule="auto" w:line="276" w:before="0" w:after="120"/>
              <w:rPr/>
            </w:pPr>
            <w:r>
              <w:rPr>
                <w:rFonts w:eastAsia="Times New Roman" w:cs="Times New Roman"/>
                <w:sz w:val="19"/>
              </w:rPr>
              <w:t xml:space="preserve">0,652</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 xml:space="preserve">0,669</w:t>
            </w:r>
          </w:p>
        </w:tc>
        <w:tc>
          <w:tcPr>
            <w:tcW w:w="1560" w:type="dxa"/>
            <w:tcBorders/>
          </w:tcPr>
          <w:p>
            <w:pPr>
              <w:pStyle w:val="Normal"/>
              <w:widowControl w:val="false"/>
              <w:spacing w:lineRule="auto" w:line="276" w:before="0" w:after="120"/>
              <w:rPr/>
            </w:pPr>
            <w:r>
              <w:rPr>
                <w:rFonts w:eastAsia="Times New Roman" w:cs="Times New Roman"/>
                <w:sz w:val="19"/>
              </w:rPr>
              <w:t xml:space="preserve">0,542</w:t>
            </w:r>
          </w:p>
        </w:tc>
        <w:tc>
          <w:tcPr>
            <w:tcW w:w="1560" w:type="dxa"/>
            <w:tcBorders/>
          </w:tcPr>
          <w:p>
            <w:pPr>
              <w:pStyle w:val="Normal"/>
              <w:widowControl w:val="false"/>
              <w:spacing w:lineRule="auto" w:line="276" w:before="0" w:after="120"/>
              <w:rPr/>
            </w:pPr>
            <w:r>
              <w:rPr>
                <w:rFonts w:eastAsia="Times New Roman" w:cs="Times New Roman"/>
                <w:sz w:val="19"/>
              </w:rPr>
              <w:t xml:space="preserve">0,606</w:t>
            </w:r>
          </w:p>
        </w:tc>
        <w:tc>
          <w:tcPr>
            <w:tcW w:w="1560" w:type="dxa"/>
            <w:tcBorders/>
          </w:tcPr>
          <w:p>
            <w:pPr>
              <w:pStyle w:val="Normal"/>
              <w:widowControl w:val="false"/>
              <w:spacing w:lineRule="auto" w:line="276" w:before="0" w:after="120"/>
              <w:rPr/>
            </w:pPr>
            <w:r>
              <w:rPr>
                <w:rFonts w:eastAsia="Times New Roman" w:cs="Times New Roman"/>
                <w:sz w:val="19"/>
              </w:rPr>
              <w:t xml:space="preserve">0,665</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 xml:space="preserve">0,642</w:t>
            </w:r>
          </w:p>
        </w:tc>
        <w:tc>
          <w:tcPr>
            <w:tcW w:w="1560" w:type="dxa"/>
            <w:tcBorders/>
          </w:tcPr>
          <w:p>
            <w:pPr>
              <w:pStyle w:val="Normal"/>
              <w:widowControl w:val="false"/>
              <w:spacing w:lineRule="auto" w:line="276" w:before="0" w:after="120"/>
              <w:rPr/>
            </w:pPr>
            <w:r>
              <w:rPr>
                <w:rFonts w:eastAsia="Times New Roman" w:cs="Times New Roman"/>
                <w:sz w:val="19"/>
              </w:rPr>
              <w:t xml:space="preserve">0,490</w:t>
            </w:r>
          </w:p>
        </w:tc>
        <w:tc>
          <w:tcPr>
            <w:tcW w:w="1560" w:type="dxa"/>
            <w:tcBorders/>
          </w:tcPr>
          <w:p>
            <w:pPr>
              <w:pStyle w:val="Normal"/>
              <w:widowControl w:val="false"/>
              <w:spacing w:lineRule="auto" w:line="276" w:before="0" w:after="120"/>
              <w:rPr/>
            </w:pPr>
            <w:r>
              <w:rPr>
                <w:rFonts w:eastAsia="Times New Roman" w:cs="Times New Roman"/>
                <w:sz w:val="19"/>
              </w:rPr>
              <w:t xml:space="preserve">0,566</w:t>
            </w:r>
          </w:p>
        </w:tc>
        <w:tc>
          <w:tcPr>
            <w:tcW w:w="1560" w:type="dxa"/>
            <w:tcBorders/>
          </w:tcPr>
          <w:p>
            <w:pPr>
              <w:pStyle w:val="Normal"/>
              <w:widowControl w:val="false"/>
              <w:spacing w:lineRule="auto" w:line="276" w:before="0" w:after="120"/>
              <w:rPr/>
            </w:pPr>
            <w:r>
              <w:rPr>
                <w:rFonts w:eastAsia="Times New Roman" w:cs="Times New Roman"/>
                <w:sz w:val="19"/>
              </w:rPr>
              <w:t xml:space="preserve">0,643</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 xml:space="preserve">0,575</w:t>
            </w:r>
          </w:p>
        </w:tc>
        <w:tc>
          <w:tcPr>
            <w:tcW w:w="1560" w:type="dxa"/>
            <w:tcBorders/>
          </w:tcPr>
          <w:p>
            <w:pPr>
              <w:pStyle w:val="Normal"/>
              <w:widowControl w:val="false"/>
              <w:spacing w:lineRule="auto" w:line="276" w:before="0" w:after="120"/>
              <w:rPr/>
            </w:pPr>
            <w:r>
              <w:rPr>
                <w:rFonts w:eastAsia="Times New Roman" w:cs="Times New Roman"/>
                <w:sz w:val="19"/>
              </w:rPr>
              <w:t xml:space="preserve">0,438</w:t>
            </w:r>
          </w:p>
        </w:tc>
        <w:tc>
          <w:tcPr>
            <w:tcW w:w="1560" w:type="dxa"/>
            <w:tcBorders/>
          </w:tcPr>
          <w:p>
            <w:pPr>
              <w:pStyle w:val="Normal"/>
              <w:widowControl w:val="false"/>
              <w:spacing w:lineRule="auto" w:line="276" w:before="0" w:after="120"/>
              <w:rPr/>
            </w:pPr>
            <w:r>
              <w:rPr>
                <w:rFonts w:eastAsia="Times New Roman" w:cs="Times New Roman"/>
                <w:sz w:val="19"/>
              </w:rPr>
              <w:t xml:space="preserve">0,506</w:t>
            </w:r>
          </w:p>
        </w:tc>
        <w:tc>
          <w:tcPr>
            <w:tcW w:w="1560" w:type="dxa"/>
            <w:tcBorders/>
          </w:tcPr>
          <w:p>
            <w:pPr>
              <w:pStyle w:val="Normal"/>
              <w:widowControl w:val="false"/>
              <w:spacing w:lineRule="auto" w:line="276" w:before="0" w:after="120"/>
              <w:rPr/>
            </w:pPr>
            <w:r>
              <w:rPr>
                <w:rFonts w:eastAsia="Times New Roman" w:cs="Times New Roman"/>
                <w:sz w:val="19"/>
              </w:rPr>
              <w:t xml:space="preserve">0,608</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0,30)</w:t>
            </w:r>
          </w:p>
        </w:tc>
        <w:tc>
          <w:tcPr>
            <w:tcW w:w="1560" w:type="dxa"/>
            <w:tcBorders/>
          </w:tcPr>
          <w:p>
            <w:pPr>
              <w:pStyle w:val="Normal"/>
              <w:widowControl w:val="false"/>
              <w:spacing w:lineRule="auto" w:line="276" w:before="0" w:after="120"/>
              <w:rPr/>
            </w:pPr>
            <w:r>
              <w:rPr>
                <w:rFonts w:eastAsia="Times New Roman" w:cs="Times New Roman"/>
                <w:sz w:val="19"/>
              </w:rPr>
              <w:t xml:space="preserve">0,641</w:t>
            </w:r>
          </w:p>
        </w:tc>
        <w:tc>
          <w:tcPr>
            <w:tcW w:w="1560" w:type="dxa"/>
            <w:tcBorders/>
          </w:tcPr>
          <w:p>
            <w:pPr>
              <w:pStyle w:val="Normal"/>
              <w:widowControl w:val="false"/>
              <w:spacing w:lineRule="auto" w:line="276" w:before="0" w:after="120"/>
              <w:rPr/>
            </w:pPr>
            <w:r>
              <w:rPr>
                <w:rFonts w:eastAsia="Times New Roman" w:cs="Times New Roman"/>
                <w:sz w:val="19"/>
              </w:rPr>
              <w:t xml:space="preserve">0,488</w:t>
            </w:r>
          </w:p>
        </w:tc>
        <w:tc>
          <w:tcPr>
            <w:tcW w:w="1560" w:type="dxa"/>
            <w:tcBorders/>
          </w:tcPr>
          <w:p>
            <w:pPr>
              <w:pStyle w:val="Normal"/>
              <w:widowControl w:val="false"/>
              <w:spacing w:lineRule="auto" w:line="276" w:before="0" w:after="120"/>
              <w:rPr/>
            </w:pPr>
            <w:r>
              <w:rPr>
                <w:rFonts w:eastAsia="Times New Roman" w:cs="Times New Roman"/>
                <w:sz w:val="19"/>
              </w:rPr>
              <w:t xml:space="preserve">0,564</w:t>
            </w:r>
          </w:p>
        </w:tc>
        <w:tc>
          <w:tcPr>
            <w:tcW w:w="1560" w:type="dxa"/>
            <w:tcBorders/>
          </w:tcPr>
          <w:p>
            <w:pPr>
              <w:pStyle w:val="Normal"/>
              <w:widowControl w:val="false"/>
              <w:spacing w:lineRule="auto" w:line="276" w:before="0" w:after="120"/>
              <w:rPr/>
            </w:pPr>
            <w:r>
              <w:rPr>
                <w:rFonts w:eastAsia="Times New Roman" w:cs="Times New Roman"/>
                <w:sz w:val="19"/>
              </w:rPr>
              <w:t xml:space="preserve">0,651</w:t>
            </w:r>
          </w:p>
        </w:tc>
      </w:tr>
    </w:tbl>
    <w:p>
      <w:pPr>
        <w:pStyle w:val="Normal"/>
        <w:spacing w:lineRule="auto" w:line="360"/>
        <w:ind w:firstLine="709"/>
        <w:jc w:val="both"/>
        <w:rPr/>
      </w:pPr>
      <w:r>
        <w:rPr>
          <w:iCs/>
          <w:rFonts w:eastAsia="Times New Roman" w:cs="Times New Roman"/>
        </w:rPr>
        <w:t xml:space="preserve">La Tabla 9 muestra una complementariedad real pero asimétrica, y menos extrema de lo que sugiere la intuición. El infrarrojo domina con claridad en personas (AP@0,5 = 0,779 frente a 0,621 del visible) y se degrada en las luces (0,348), mientras que el visible sostiene ambas clases en un nivel parejo (0,621 y 0,616). No hay, por tanto, un patrón espejo: el visible no fracasa en personas, de modo que el argumento a favor de fusionar no es que una modalidad sea ciega, sino que ninguna es la mejor en las dos clases a la vez. Entre las fusiones, la Ratio Pyramid alcanza el mejor promedio del par (0,622) y es la única entrada que supera a las dos modalidades individuales (VIS 0,618; IR 0,563); también obtiene el mejor mAP global de seis clases (0,677), apenas por encima del visible solo (0,676). La Propuesta Novedosa recupera ambas clases con un promedio de 0,564 (personas 0,641 y luces 0,488), es decir al nivel del infrarrojo solo y por debajo del visible: el realce acentuado que optimiza las métricas de actividad no favorece al detector, un resultado coherente con lo observado en LLVIP. Los valores absolutos son moderados (499 imágenes de validación y modelo nano): el experimento no busca récords, sino delimitar el escenario donde la fusión aporta algo que ninguna modalidad sola aporta. La Figura 9 ilustra el fenómeno sobre dos escenas de la validación: en la primera la fusión detecta once personas frente a tres del visible y diez del infrarrojo, y en la segunda conserva siete luces frente a cinco del visible y una sola del infrarrojo.</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 xml:space="preserve">Figura 9. Detecciones del modelo único VIS+IR en dos escenas de la validación de M3FD (personas en recuadro granate, luces en azul): en la escena superior la fusión detecta once personas, frente a tres del visible y diez del infrarrojo; en la inferior conserva siete luces y ocho personas, frente a cinco luces del visible y una sola del infrarrojo.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el espacio de búsqueda publicado, r ∈ [1, 25] y m ∈ [0,30; 2,00]; el peso óptimo converge al límite inferior del rango (m* = 0,30) en las 25 configuraciones, y el radio se fija en r = 25 porque maximiza el bloque de actividad de las nueve métricas de evaluación, sin que r = 1 desactive el banco. Esta aptitud premia simultáneamente la fidelidad estructural (SSIM), el contenido informativo (entropía) y la reducción de la distorsión (PSNR).</w:t>
      </w:r>
    </w:p>
    <w:p>
      <w:pPr>
        <w:pStyle w:val="Normal"/>
        <w:spacing w:lineRule="auto" w:line="360"/>
        <w:ind w:firstLine="709"/>
        <w:jc w:val="both"/>
        <w:rPr/>
      </w:pPr>
      <w:r>
        <w:rPr>
          <w:rFonts w:eastAsia="Times New Roman" w:cs="Times New Roman"/>
        </w:rPr>
        <w:t xml:space="preserve">La Tabla 10 compara la propuesta, en su configuración óptima (r = 25, m = 0,30), con la metodología clásica Top-Hat y con métodos representativos del estado del arte (LP, RP y DTCWT; los valores de DWT y CVT, del mismo orden, se detallan en el material complementario) sobre las cinco métricas clásicas de actividad e información. La propuesta lidera la entropía (EN = 6,9855) y la eficiencia de fusión (FE = 1,1047) —por encima del Top-Hat clásico (6,9220 y 1,0952) y de los tres métodos multiescala— y queda segunda en desviación estándar (0,1439, tras la pirámide de Laplace), gradiente medio (0,0355) y frecuencia espacial (17,4425, frente a 23,1000 del clásico). El operador clásico alcanza mayor actividad bruta en gradiente y frecuencia, pero a costa de la peor similitud estructural del estudio (0,5640 frente a 0,6584 de la propuesta).</w:t>
      </w:r>
    </w:p>
    <w:p>
      <w:pPr>
        <w:pStyle w:val="Normal"/>
        <w:spacing w:lineRule="auto" w:line="360" w:before="0" w:after="160"/>
        <w:ind w:firstLine="709"/>
        <w:jc w:val="both"/>
        <w:rPr/>
      </w:pPr>
      <w:r>
        <w:rPr>
          <w:rFonts w:eastAsia="Times New Roman" w:cs="Times New Roman"/>
        </w:rPr>
        <w:t>La significación de estas diferencias se verificó con la prueba de Wilcoxon pareada (n = 20, corrección de Holm por métrica; detalle completo en el Apéndice C). Frente a la metodología clásica Top-Hat, la propuesta gana de forma estadísticamente significativa en seis de las nueve métricas —entropía (6,9855 frente a 6,9220), contraste (0,1439 frente a 0,1352), eficiencia de fusión (1,1047 frente a 1,0952), información mutua con ambas fuentes y similitud estructural (0,6584 frente a 0,5640; p_Holm ≤ 0,001)— y cede en gradiente medio y frecuencia espacial, donde el disco único inyecta el detalle sin ponderación; la diferencia en PSNR no resulta significativa. Frente a los cinco métodos del estado del arte, la propuesta gana de forma significativa en entropía, eficiencia de fusión, gradiente medio y frecuencia espacial contra todos ellos, y en contraste contra cuatro de los cinco; en cambio cede en las métricas de fidelidad a las fuentes y en información mutua. Con ello queda sostenida H1.</w:t>
      </w:r>
    </w:p>
    <w:p>
      <w:pPr>
        <w:pStyle w:val="Normal"/>
        <w:spacing w:lineRule="auto" w:line="360"/>
        <w:ind w:firstLine="709"/>
        <w:jc w:val="both"/>
        <w:rPr/>
      </w:pPr>
      <w:r>
        <w:rPr>
          <w:rFonts w:eastAsia="Times New Roman" w:cs="Times New Roman"/>
        </w:rPr>
        <w:t>La elección del peso es robusta: las 25 combinaciones del barrido convergieron al mismo valor, m* = 0,30, el límite inferior del rango publicado, porque la aptitud Fo decrece de forma monótona al aumentar el realce. El radio r = 25 se adopta porque maximiza el bloque de actividad de las nueve métricas de evaluación —todas de tipo «mayor es mejor»—: a igual peso supera a r = 1 en entropía, contraste, eficiencia de fusión, gradiente medio y frecuencia espacial, mientras r = 1 preserva mejor la fidelidad a las fuentes, de modo que un vecindario amplio captura los objetivos térmicos completos. Conviene precisar que r = 1 no desactiva el banco: con r = 1 el disco es la cruz de 3 × 3 y las cuatro líneas orientadas son cuatro máscaras 3 × 3 distintas, de modo que los cinco elementos siguen operativos. La elección del radio se apoya, por tanto, en el criterio de evaluación y no en la optimización.</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m=0,30)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EN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6,9855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6,9220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6,8400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6,8098</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6,6877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FE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1,1047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1,0952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1,0806</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1,0770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1,0577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0,1439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0,1352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0,1550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0,1271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0,1172</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MG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0,0355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0,0478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0,0275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0,0255</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17,4425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23,1000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13,2205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13,6209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13,1990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(PSO: r = 25, m = 0,30) frente a la metodología clásica Top-Hat y a tres métodos del estado del arte en las cinco métricas de actividad e información de la Tabla 10 (EN, FE, SD, MG, SF) y en la similitud estructural, donde el operador cede.</w:t>
      </w:r>
    </w:p>
    <w:p>
      <w:pPr>
        <w:pStyle w:val="Normal"/>
        <w:spacing w:lineRule="auto" w:line="360"/>
        <w:ind w:firstLine="709"/>
        <w:jc w:val="both"/>
        <w:rPr/>
      </w:pPr>
      <w:r>
        <w:rPr>
          <w:rFonts w:eastAsia="Times New Roman" w:cs="Times New Roman"/>
        </w:rPr>
        <w:t xml:space="preserve">La Figura 11 resume la optimización del método. El panel izquierdo muestra la aptitud Fo en función del peso de contraste con el radio fijo en r = 25: decrece de forma monótona a partir de valores pequeños de m, de modo que el óptimo dentro del rango publicado cae en su piso, m* = 0,30, donde Fo = 1,7057. El panel derecho y la Tabla 11 sintetizan el barrido de 25 configuraciones: todas convergen al mismo peso, m* = 0,30, el límite inferior del rango publicado, lo que refleja que Fo decrece de forma monótona con el realce; la contribución de los elementos estructurantes lineales sobre el disco reside en la cobertura de orientaciones, que el criterio de evaluación premia al fijar r = 25.</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Normal"/>
        <w:spacing w:lineRule="auto" w:line="276"/>
        <w:jc w:val="both"/>
        <w:rPr/>
      </w:pPr>
      <w:r>
        <w:rPr>
          <w:rFonts w:eastAsia="Times New Roman" w:cs="Times New Roman"/>
          <w:i/>
          <w:sz w:val="18"/>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1,6990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0,30) encabeza el ranking agregado (3,39, por delante de la pirámide de Laplace con 3,91 y del Top-Hat clásico con 3,94): lidera la entropía (EN = 6,9855) y la eficiencia de fusión (FE = 1,1047) y es segunda en contraste, gradiente medio y frecuencia espacial, cediendo en las cuatro métricas de fidelidad a las fuentes. Segundo, no existe un método universalmente dominante: la pirámide de Laplace lidera el contraste (SD) y la información mutua, el Top-Hat clásico el gradiente y la frecuencia espacial, los métodos multiescala la similitud estructural y el PSNR, y la propuesta la entropía y la eficiencia de fusión; son óptimos de criterios distintos y complementarios. Tercero, la comparación con la metodología clásica de la transformada Top-Hat aísla el aporte de la propuesta: con el mismo esquema de reconstrucción y un peso idéntico, el banco de disco más líneas mejora simultáneamente la entropía (6,9855 frente a 6,9220), el contraste (0,1439 frente a 0,1352), la eficiencia de fusión (1,1047 frente a 1,0952), la información mutua con ambas fuentes y la similitud estructural (0,6584 frente a 0,5640), y solo cede en gradiente medio y frecuencia espacial, donde el disco único inyecta el detalle sin ponderación; en PSNR la diferencia no es distinguible (p_Holm = 0,674). Cuarto, las métricas de actividad crecen de forma monótona con el realce hasta que la saturación degrada la imagen, de modo que deben interpretarse junto a las de fidelidad y a un control visual del nivel de saturación. Quinto, la evaluación orientada a tarea (detección sobre LLVIP) constituye un criterio complementario y arroja el hallazgo más matizado: toda fusión supera netamente al visible solo (+0,09 a +0,14 en mAP@0,5), el infrarrojo solo es la modalidad más fuerte (0,971) y la propuesta queda en el extremo inferior de la banda de fusiones (0,906), de modo que el realce que premian las métricas de actividad no mejora —y en este caso perjudica— el desempeño del detector. Sexto, el experimento de clases complementarias sobre M3FD delimita el escenario donde la fusión es insustituible: cuando la escena contiene objetos térmicos (personas) y objetos exclusivamente visibles (luces), el infrarrojo se degrada en las luces (AP@0,5 = 0,348 frente a 0,779 en personas) y el visible mantiene ambas clases en un nivel parejo (0,621 y 0,616), de modo que la ventaja de fusionar no es que el visible fracase, sino que ninguna modalidad sola es la mejor en las dos clases a la vez. La Ratio Pyramid es la única entrada que supera a ambas modalidades en el promedio del par (0,622 frente a 0,618 del visible y 0,563 del infrarrojo), mientras que la propuesta alcanza 0,564, al nivel del infrarrojo solo y por debajo del visible. Ambos experimentos convergen en una conclusión metodológica: optimizar las métricas de actividad y optimizar el desempeño en tarea son objetivos distintos, y la evaluación de un método de fusión debe reportar ambos.</w:t>
      </w:r>
    </w:p>
    <w:p>
      <w:pPr>
        <w:pStyle w:val="Heading2"/>
        <w:spacing w:before="240" w:after="120"/>
        <w:jc w:val="start"/>
        <w:rPr/>
      </w:pPr>
      <w:r>
        <w:rPr>
          <w:rFonts w:eastAsia="Times New Roman" w:cs="Times New Roman"/>
          <w:b/>
          <w:bCs/>
          <w:color w:val="000000"/>
          <w:sz w:val="24"/>
          <w:szCs w:val="26"/>
        </w:rPr>
        <w:t xml:space="preserve">5.8 Auditoría del protocolo de evaluación</w:t>
      </w:r>
    </w:p>
    <w:p>
      <w:pPr>
        <w:pStyle w:val="Normal"/>
        <w:spacing w:lineRule="auto" w:line="360"/>
        <w:ind w:firstLine="709"/>
        <w:jc w:val="both"/>
        <w:rPr/>
      </w:pPr>
      <w:r>
        <w:rPr>
          <w:rFonts w:eastAsia="Times New Roman" w:cs="Times New Roman"/>
        </w:rPr>
        <w:t xml:space="preserve">Las secciones anteriores aplican el protocolo de evaluación; esta lo pone a prueba. El segundo aporte de la tesis consiste en usar el propio desarrollo como caso de estudio para establecer qué autoriza a concluir el criterio con el que se lo juzga: una batería de métricas sin referencia interpretadas todas como «mayor es mejor», un ajuste de hiperparámetros guiado en parte por esas mismas métricas y una validación en tarea posterior. Los cinco experimentos que siguen están versionados en el repositorio y contrastan las hipótesis H2, H3, H4, H5, H6 y H7.</w:t>
      </w:r>
    </w:p>
    <w:p>
      <w:pPr>
        <w:pStyle w:val="Heading3"/>
        <w:spacing w:before="180" w:after="100"/>
        <w:jc w:val="start"/>
        <w:rPr/>
      </w:pPr>
      <w:r>
        <w:rPr>
          <w:rFonts w:eastAsia="Times New Roman" w:cs="Times New Roman"/>
          <w:b/>
          <w:bCs/>
          <w:i/>
          <w:iCs/>
          <w:color w:val="000000"/>
          <w:sz w:val="24"/>
          <w:szCs w:val="24"/>
        </w:rPr>
        <w:t xml:space="preserve">5.8.1 Sensibilidad del orden de mérito y redundancia interna (H2, H4)</w:t>
      </w:r>
    </w:p>
    <w:p>
      <w:pPr>
        <w:pStyle w:val="Normal"/>
        <w:spacing w:lineRule="auto" w:line="360"/>
        <w:ind w:firstLine="709"/>
        <w:jc w:val="both"/>
        <w:rPr/>
      </w:pPr>
      <w:r>
        <w:rPr>
          <w:rFonts w:eastAsia="Times New Roman" w:cs="Times New Roman"/>
        </w:rPr>
        <w:t xml:space="preserve">El orden de mérito no es una propiedad del operador sino del criterio. Con las nueve métricas del trabajo de referencia la propuesta encabeza el benchmark (3,394 de rango medio). Incorporando las ocho métricas adicionales que el mismo evaluador calcula —Qabf, Nabf, SCD, VIF, FMI, Q0, QW y QE, con Nabf en su dirección inversa— la propuesta desciende al tercer lugar (3,459), el primer puesto pasa a la pirámide de Laplace (3,147), el segundo a DTCWT (3,259) y el Top-Hat clásico cae al último (5,000). Ninguna imagen fusionada cambió entre ambos cálculos: cambió el conjunto de métricas. Se sostiene, por tanto, H2, y de ello se sigue que todo orden agregado debe reportarse junto a la composición del conjunto que lo produce.</w:t>
      </w:r>
    </w:p>
    <w:p>
      <w:pPr>
        <w:pStyle w:val="Normal"/>
        <w:spacing w:lineRule="auto" w:line="360"/>
        <w:ind w:firstLine="709"/>
        <w:jc w:val="both"/>
        <w:rPr/>
      </w:pPr>
      <w:r>
        <w:rPr>
          <w:rFonts w:eastAsia="Times New Roman" w:cs="Times New Roman"/>
        </w:rPr>
        <w:t xml:space="preserve">La batería contiene además redundancia interna. La eficiencia de fusión se define como el cociente entre la entropía de la imagen fusionada y el promedio de las entropías de las fuentes; como ese denominador no depende del método, dentro de cada par la eficiencia de fusión es la entropía reescalada por una constante. Sus rangos intra-bloque coinciden con los de la entropía en los veinte pares y su estadístico de Friedman es idéntico (χ² = 88,2857 en ambas). El número efectivo de dimensiones evaluadas es ocho y no nueve, lo que sostiene H4. Excluyendo la eficiencia de fusión del promedio, la propuesta sigue primera (3,631 frente a 3,994 de la pirámide de Laplace), de modo que la redundancia no explica su primer lugar. El resto del orden sí se reacomoda: solo cuatro de las siete posiciones se conservan, y el Top-Hat clásico cae del tercer lugar al sexto (3,944 a 4,131).</w:t>
      </w:r>
    </w:p>
    <w:p>
      <w:pPr>
        <w:pStyle w:val="Heading3"/>
        <w:spacing w:before="180" w:after="100"/>
        <w:jc w:val="start"/>
        <w:rPr/>
      </w:pPr>
      <w:r>
        <w:rPr>
          <w:rFonts w:eastAsia="Times New Roman" w:cs="Times New Roman"/>
          <w:b/>
          <w:bCs/>
          <w:i/>
          <w:iCs/>
          <w:color w:val="000000"/>
          <w:sz w:val="24"/>
          <w:szCs w:val="24"/>
        </w:rPr>
        <w:t xml:space="preserve">5.8.2 Control negativo con degradaciones conocidas (H3)</w:t>
      </w:r>
    </w:p>
    <w:p>
      <w:pPr>
        <w:pStyle w:val="Normal"/>
        <w:spacing w:lineRule="auto" w:line="360"/>
        <w:ind w:firstLine="709"/>
        <w:jc w:val="both"/>
        <w:rPr/>
      </w:pPr>
      <w:r>
        <w:rPr>
          <w:rFonts w:eastAsia="Times New Roman" w:cs="Times New Roman"/>
        </w:rPr>
        <w:t xml:space="preserve">Si la batería mide calidad de fusión, una imagen deliberadamente degradada debería quedar por debajo de cualquier método razonable. Para verificarlo se incorporaron al ranking siete entradas de control junto a los siete métodos: la imagen base sin operador, cuatro fusiones artificiales construidas sumando ruido gaussiano de desviación creciente a esa base, y dos desenfoques gaussianos. La Tabla 12 presenta el rango medio de las catorce entradas bajo tres composiciones del criterio.</w:t>
      </w:r>
    </w:p>
    <w:p>
      <w:pPr>
        <w:pStyle w:val="Normal"/>
        <w:spacing w:lineRule="auto" w:line="276"/>
        <w:rPr/>
      </w:pPr>
      <w:r>
        <w:rPr>
          <w:rFonts w:eastAsia="Times New Roman" w:cs="Times New Roman"/>
          <w:i/>
          <w:sz w:val="18"/>
        </w:rPr>
        <w:t xml:space="preserve">Tabla 12. Control negativo: rango medio de los siete métodos y de siete entradas degradadas, bajo tres composiciones del criterio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Entrada evaluada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 Nabf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4,876</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0,20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10,138</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7,015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0,10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7,565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7,600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7,229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7,405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(VIS+IR)/2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7,556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7,850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8,155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9,462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5×5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8,417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7,785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8,595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8,994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11×11</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9,822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9,130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10,053</w:t>
            </w:r>
          </w:p>
        </w:tc>
      </w:tr>
    </w:tbl>
    <w:p>
      <w:pPr>
        <w:pStyle w:val="Normal"/>
        <w:spacing w:lineRule="auto" w:line="360"/>
        <w:ind w:firstLine="709"/>
        <w:jc w:val="both"/>
        <w:rPr/>
      </w:pPr>
      <w:r>
        <w:rPr>
          <w:rFonts w:eastAsia="Times New Roman" w:cs="Times New Roman"/>
        </w:rPr>
        <w:t xml:space="preserve">El resultado es inequívoco. Con las nueve métricas, la fusión de ruido con σ = 0,20 alcanza el tercer lugar de catorce (6,767): queda por delante de cinco de los seis métodos comparativos y por delante de la imagen base. Y su rango mejora monótonamente al aumentar el ruido —8,917, 7,850, 6,972 y 6,767 para σ = 0,02, 0,05, 0,10 y 0,20—, es decir que la batería juzga mejor a la imagen cuanto más ruido se le inyecta. El fallo es específico de la varianza y no de la degradación en general: el desenfoque sí resulta penalizado, y el de 11 × 11 queda último (9,822). Incorporando Nabf —la única métrica implementada con dirección inversa, que penaliza artefactos— el ruido de σ = 0,20 desciende al séptimo lugar, y con las diecisiete métricas cae al último (10,138). Se sostiene H3: la batería de nueve métricas de tipo «mayor es mejor» no distingue detalle útil de ruido, y basta una métrica que penalice artefactos para corregirlo.</w:t>
      </w:r>
    </w:p>
    <w:p>
      <w:pPr>
        <w:pStyle w:val="Heading3"/>
        <w:spacing w:before="180" w:after="100"/>
        <w:jc w:val="start"/>
        <w:rPr/>
      </w:pPr>
      <w:r>
        <w:rPr>
          <w:rFonts w:eastAsia="Times New Roman" w:cs="Times New Roman"/>
          <w:b/>
          <w:bCs/>
          <w:i/>
          <w:iCs/>
          <w:color w:val="000000"/>
          <w:sz w:val="24"/>
          <w:szCs w:val="24"/>
        </w:rPr>
        <w:t xml:space="preserve">5.8.3 Aporte del banco con hiperparámetros igualados (H7)</w:t>
      </w:r>
    </w:p>
    <w:p>
      <w:pPr>
        <w:pStyle w:val="Normal"/>
        <w:spacing w:lineRule="auto" w:line="360"/>
        <w:ind w:firstLine="709"/>
        <w:jc w:val="both"/>
        <w:rPr/>
      </w:pPr>
      <w:r>
        <w:rPr>
          <w:rFonts w:eastAsia="Times New Roman" w:cs="Times New Roman"/>
        </w:rPr>
        <w:t xml:space="preserve">La comparación con el Top-Hat clásico de la sección 5.6 no aísla el aporte del banco, porque aquel operador emplea otro radio y otro peso (r = 5, m = 1). Para aislarlo se fijaron r = 25 y m = 0,30 en seis brazos que comparten todo salvo la forma de combinar las respuestas morfológicas. La Tabla 13 recoge el rango medio de cada brazo.</w:t>
      </w:r>
    </w:p>
    <w:p>
      <w:pPr>
        <w:pStyle w:val="Normal"/>
        <w:spacing w:lineRule="auto" w:line="276"/>
        <w:rPr/>
      </w:pPr>
      <w:r>
        <w:rPr>
          <w:rFonts w:eastAsia="Times New Roman" w:cs="Times New Roman"/>
          <w:i/>
          <w:sz w:val="18"/>
        </w:rPr>
        <w:t xml:space="preserve">Tabla 13. Ablación del banco de elementos estructurantes con (r, m) = (25; 0,30) fijos en los seis brazos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Brazo (r = 25; m = 0,30 fijos)</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sin FE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Suma disco + promedio de líneas (propuesta)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Máximo entre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2,932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el disco B_r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3,153</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Promedio de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3,533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3,475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sin operador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las cuatro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3,756</w:t>
            </w:r>
          </w:p>
        </w:tc>
      </w:tr>
    </w:tbl>
    <w:p>
      <w:pPr>
        <w:pStyle w:val="Normal"/>
        <w:spacing w:lineRule="auto" w:line="360"/>
        <w:ind w:firstLine="709"/>
        <w:jc w:val="both"/>
        <w:rPr/>
      </w:pPr>
      <w:r>
        <w:rPr>
          <w:rFonts w:eastAsia="Times New Roman" w:cs="Times New Roman"/>
        </w:rPr>
        <w:t xml:space="preserve">Con las nueve métricas la suma de ramas —la combinación que adopta la propuesta— es la mejor de los seis brazos (3,222), por delante del máximo (3,311) y del disco único (3,367); las líneas solas y la imagen base empatan en el último lugar (3,783). Conviene, sin embargo, leer también la columna sin la eficiencia de fusión: como esa métrica duplica la entropía, y la entropía es donde la suma obtiene su mayor ventaja, al retirarla los seis brazos se comprimen en una banda de 3,444 a 3,631 y la suma desciende al cuarto lugar (3,500), por detrás del máximo y del disco (3,444 cada uno). La lectura prudente es entonces que el banco produce un perfil distinto del disco único —lo que sostiene H7— y que su ventaja en el recuento de nueve métricas se apoya en parte en que la entropía se cuenta dos veces; lo que sí queda firme en todas las composiciones es que el mérito no proviene de la imagen base. Con las diecisiete métricas, en cambio, el orden se invierte: encabeza el máximo (2,932), siguen el disco (3,153) y el promedio (3,179), y la suma desciende al cuarto lugar (3,621), mientras la base queda última (4,359). La dirección del aporte depende, una vez más, del criterio, exactamente como enuncia H2.</w:t>
      </w:r>
    </w:p>
    <w:p>
      <w:pPr>
        <w:pStyle w:val="Heading3"/>
        <w:spacing w:before="180" w:after="100"/>
        <w:jc w:val="start"/>
        <w:rPr/>
      </w:pPr>
      <w:r>
        <w:rPr>
          <w:rFonts w:eastAsia="Times New Roman" w:cs="Times New Roman"/>
          <w:b/>
          <w:bCs/>
          <w:i/>
          <w:iCs/>
          <w:color w:val="000000"/>
          <w:sz w:val="24"/>
          <w:szCs w:val="24"/>
        </w:rPr>
        <w:t xml:space="preserve">5.8.4 Robustez frente al ajuste simétrico de los comparativos</w:t>
      </w:r>
    </w:p>
    <w:p>
      <w:pPr>
        <w:pStyle w:val="Normal"/>
        <w:spacing w:lineRule="auto" w:line="360"/>
        <w:ind w:firstLine="709"/>
        <w:jc w:val="both"/>
        <w:rPr/>
      </w:pPr>
      <w:r>
        <w:rPr>
          <w:rFonts w:eastAsia="Times New Roman" w:cs="Times New Roman"/>
        </w:rPr>
        <w:t xml:space="preserve">El protocolo concede a la propuesta un paso de ajuste de hiperparámetros que no concede a los comparativos, los cuales se ejecutan con sus valores por defecto. Para acotar la ventaja que eso introduce se recalculó el ranking dando a cada método comparativo el mismo tipo de barrido. La Tabla 14 resume los tres escenarios; el de ajustar además la propuesta arroja cifras idénticas al segundo, porque su configuración ya era la óptima bajo este criterio.</w:t>
      </w:r>
    </w:p>
    <w:p>
      <w:pPr>
        <w:pStyle w:val="Normal"/>
        <w:spacing w:lineRule="auto" w:line="276"/>
        <w:rPr/>
      </w:pPr>
      <w:r>
        <w:rPr>
          <w:rFonts w:eastAsia="Times New Roman" w:cs="Times New Roman"/>
          <w:i/>
          <w:sz w:val="18"/>
        </w:rPr>
        <w:t xml:space="preserve">Tabla 14. Rango medio por escenario de ajuste: con los comparativos por defecto, con los comparativos ajustados, y con los comparativos ajustados sobre las diecisiete métricas (menor rango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Método</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A: todos por defecto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 comparativos ajustados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 con 17 métricas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4,028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4,574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4,638</w:t>
            </w:r>
          </w:p>
        </w:tc>
      </w:tr>
    </w:tbl>
    <w:p>
      <w:pPr>
        <w:pStyle w:val="Normal"/>
        <w:spacing w:lineRule="auto" w:line="360"/>
        <w:ind w:firstLine="709"/>
        <w:jc w:val="both"/>
        <w:rPr/>
      </w:pPr>
      <w:r>
        <w:rPr>
          <w:rFonts w:eastAsia="Times New Roman" w:cs="Times New Roman"/>
        </w:rPr>
        <w:t xml:space="preserve">Bajo el protocolo tal como está declarado —escenario A— la propuesta encabeza el benchmark con 3,394. Concediendo a los comparativos el mismo paso de ajuste, ninguna de las cinco configuraciones de referencia la alcanza, pero el Top-Hat clásico la supera por 0,061 (3,522 frente a 3,583); conviene precisar que lo hace con m = 1, más del triple del peso de la propuesta, de modo que la comparación a peso igualado sigue siendo la de la Tabla 13, donde la suma de ramas gana. Con las diecisiete métricas y los comparativos ajustados la propuesta desciende al tercer lugar (3,821), por detrás de la pirámide de Laplace (3,141) y de DTCWT (3,362). Y conviene añadir el contraste a peso igualado que la Tabla 14 no recoge: ejecutando el Top-Hat clásico con (r, m) = (25; 0,30) —los mismos valores de la propuesta— la propuesta conserva el primer lugar del ranking de nueve métricas con 3,528 frente a 3,694, de modo que la ventaja del clásico en el escenario B proviene de su peso m = 1 y no del operador. El primer lugar del escenario A es, entonces, un resultado sólido dentro del criterio del trabajo de referencia y no una propiedad independiente del criterio.</w:t>
      </w:r>
    </w:p>
    <w:p>
      <w:pPr>
        <w:pStyle w:val="Heading3"/>
        <w:spacing w:before="180" w:after="100"/>
        <w:jc w:val="start"/>
        <w:rPr/>
      </w:pPr>
      <w:r>
        <w:rPr>
          <w:rFonts w:eastAsia="Times New Roman" w:cs="Times New Roman"/>
          <w:b/>
          <w:bCs/>
          <w:i/>
          <w:iCs/>
          <w:color w:val="000000"/>
          <w:sz w:val="24"/>
          <w:szCs w:val="24"/>
        </w:rPr>
        <w:t xml:space="preserve">5.8.5 Alcance de la optimización y contraste con la tarea (H5, H6)</w:t>
      </w:r>
    </w:p>
    <w:p>
      <w:pPr>
        <w:pStyle w:val="Normal"/>
        <w:spacing w:lineRule="auto" w:line="360"/>
        <w:ind w:firstLine="709"/>
        <w:jc w:val="both"/>
        <w:rPr/>
      </w:pPr>
      <w:r>
        <w:rPr>
          <w:rFonts w:eastAsia="Times New Roman" w:cs="Times New Roman"/>
        </w:rPr>
        <w:t>La optimización no determina la configuración evaluada. El argmax de la aptitud dentro del rango publicado es r = 1 (Fo = 1,7350) y no r = 25 (1,7057), y el peso queda en m = 0,30 en las veinticinco configuraciones porque es el piso del rango: la aptitud decrece estrictamente en m, al estar dos de sus tres sumandos del lado de la fidelidad. El radio adoptado proviene, pues, de la batería de evaluación, y el peso del piso del rango publicado: se sostiene H5. El barrido determinista de la aptitud precisa el alcance de esa afirmación. Enumerando los veinticinco radios enteros por 200 pesos —la aptitud es determinista y el radio es entero, de modo que el espacio se puede recorrer sin muestreo— el máximo dentro del rango publicado está en r = 1 con Fo = 1,7350, pero con el peso libre está en r = 25, el radio que esta tesis adopta, con m = 0,070 y Fo = 1,7715; el rango heredado cuesta 0,0365 de aptitud. El orden de los radios se invierte: con el peso libre la aptitud decrece al bajar el radio y r = 1 pasa a ser el peor (1,7607). La discrepancia no está, por tanto, en el radio sino en el peso: el r = 25 adoptado es el óptimo de la aptitud del trabajo de referencia una vez que el peso no está atado al piso de un intervalo calibrado para otro operador. Y la equivalencia de energía cierra el cuadro: ese óptimo libre equivale a m = 0,294 sobre un disco único, esencialmente el piso 0,30 que la referencia publicó para su disco, que extrae 4,21 veces menos energía de detalle. El peso adoptado se sostiene, entonces, en los criterios independientes de la aptitud que se enumeran a continuación. El contraste con el trabajo de referencia delimita el alcance de esa afirmación. Con el disco único, y sobre el mismo rango y la misma aptitud, su barrido no converge al piso sino a valores interiores: la mediana del peso sobre sus 125 corridas —las 25 configuraciones de enjambre de cada una de sus cinco escenas— es 0,695, con recorrido [0,300; 2,000], y solo una escena (Reek) se ancla en el piso, en 17 de sus 25 configuraciones. El anclaje que aquí se observa es entonces una propiedad del operador —el banco extrae 4,21 veces la energía de detalle del disco— y no de la función de aptitud ni del intervalo. A la inversa, en aquel trabajo lo que queda determinado por una cota es el radio: r = 25, el límite superior del intervalo, aparece en 104 de sus 125 corridas. En ambos casos, por tanto, uno de los dos hiperparámetros lo fija una decisión de acotación y no la búsqueda, lo que es precisamente el objeto de esta auditoría. El peso sí admite justificación independiente de la aptitud. Con m = 0,30 la fracción de píxeles saturados por recorte es del 0,73 % en promedio sobre el corpus y no supera el 1,56 % en ninguna escena, mientras que con m = 1 asciende al 6,50 % en promedio y al 16,14 % en el peor caso. El valor adoptado mantiene el recorte por debajo del uno por ciento, lo que constituye un criterio físico y no métrico.</w:t>
      </w:r>
    </w:p>
    <w:p>
      <w:pPr>
        <w:pStyle w:val="Normal"/>
        <w:spacing w:lineRule="auto" w:line="360"/>
        <w:ind w:firstLine="709"/>
        <w:jc w:val="both"/>
        <w:rPr/>
      </w:pPr>
      <w:r>
        <w:rPr>
          <w:rFonts w:eastAsia="Times New Roman" w:cs="Times New Roman"/>
        </w:rPr>
        <w:t xml:space="preserve">El contraste con la tarea posterior cierra la auditoría. La correlación de Spearman entre el rango de calidad de los siete métodos y su mAP en LLVIP es ρ = +0,214 con p = 0,645: no hay asociación, y el signo es el contrario al esperado, puesto que un rango menor indica mejor calidad. En el conteo por escena sobre M3FD —232 escenas que contienen simultáneamente las dos clases complementarias— la propuesta recupera ambas en el 50,0 % de los casos, frente al 53,0 % del visible solo, con 8 escenas ganadas y 15 perdidas (McNemar exacto p = 0,2100), y resuelve 2 de las 90 escenas críticas. La mejor entrada del conteo es la pirámide de Laplace, con el 57,8 %. Se sostiene H6, y con muestra suficiente: la hipótesis de que la mejora en las métricas de imagen se traslade a la tarea de detección queda rechazada, no simplemente sin confirmar.</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La Propuesta Novedosa —con las respuestas lineales promediadas y sumadas a la del disco sobre una sola escala (PSO: r=25, m=0,30, seleccionado mediante un barrido de 25 configuraciones de enjambre)— logra el primer lugar del ranking agregado de nueve métricas (3,39, por delante de la pirámide de Laplace con 3,91 y del Top-Hat clásico con 3,94), liderando la entropía (EN=6,9855) y la eficiencia de fusión (FE=1,1047) y quedando segunda en contraste, gradiente medio y frecuencia espacial. Supera a la metodología clásica Top-Hat en seis de las nueve métricas —entropía, contraste, eficiencia de fusión, información mutua con ambas fuentes y similitud estructural— de forma estadísticamente significativa (Wilcoxon pareado con corrección de Holm: p ≤ 0,001; sección 5.6). En la evaluación de detección sobre LLVIP, toda fusión supera al visible solo (mAP@0,5 de 0,813 a 0,906–0,952) pero ninguna al infrarrojo solo (0,971), y la propuesta queda en el extremo inferior de la banda (mAP@0,5 = 0,906): su ventaja en las métricas de actividad no se traslada a la tarea de detección, cuya estrategia óptima depende de la aplicación. En el experimento de clases complementarias (M3FD), la fusión muestra su valor distintivo —detecta simultáneamente los objetos térmicos (personas) y los exclusivamente visibles (luces) que cada modalidad pierde por separado—, aunque el mejor promedio del par corresponde a la Ratio Pyramid (0,622) y la propuesta alcanza 0,564, al nivel del infrarrojo solo. Quedan así sostenidas H1 y H6: el operador desplaza su punto de operación en lugar de mejorar de manera uniforme, y la mejora en las métricas de imagen no se traslada a la tarea de detección —la hipótesis de traslación queda rechazada, no simplemente sin confirmar—, resultado que constituye en sí mismo un aporte metodológico.</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lidera la similitud estructural (SSIM = 0,7249), la pirámide de Laplace el contraste (SD = 0,1550)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propuesta presenta el mejor ranking global agregado (3,39 sobre los 7 métodos), sostenido por su liderazgo en el rango medio de entropía, contraste y eficiencia de fusión y por su segundo puesto en gradiente medio y frecuencia espacial, y penalizada por las métricas de fidelidad a las fuentes; la sigue la pirámide de Laplace (3,91), sostenida por su ventaja en información mutua con las fuentes y por el mayor contraste promedio del estudio.</w:t>
      </w:r>
    </w:p>
    <w:p>
      <w:pPr>
        <w:pStyle w:val="ListParagraph"/>
        <w:numPr>
          <w:ilvl w:val="0"/>
          <w:numId w:val="3"/>
        </w:numPr>
        <w:spacing w:lineRule="auto" w:line="360" w:before="0" w:after="100"/>
        <w:ind w:firstLine="709"/>
        <w:jc w:val="both"/>
        <w:rPr/>
      </w:pPr>
      <w:r>
        <w:rPr>
          <w:rFonts w:eastAsia="Times New Roman" w:cs="Times New Roman"/>
          <w:sz w:val="24"/>
          <w:szCs w:val="24"/>
        </w:rPr>
        <w:t>La información mutua premia la combinación lineal: en la ablación de la sección 5.8.3, el brazo sin operador —la imagen base (VIS + IR)/2— obtiene la mayor información mutua con ambas fuentes de los seis brazos (MI_vis = 1,3120 y MI_ir = 0,8537, frente a 0,8970 y 0,6003 de la suma de ramas) junto con el contraste más bajo (SD = 0,1055). Conviene por tanto reportar MI siempre junto a métricas de actividad y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forma de combinar las respuestas del banco introduce diferencias modestas. Con el radio y el peso igualados en (25; 0,30), la ablación de seis brazos ordena así el rango medio de las nueve métricas: suma de disco y promedio de líneas 3,222; máximo entre ambas ramas 3,311; disco único 3,367; promedio de ambas 3,533; y, últimas y empatadas, las líneas solas y la imagen base sin operador 3,783. No se compararon geometrías alternativas de elemento estructurante —cuadrado o cruz—, que no forman parte de la implementación.</w:t>
      </w:r>
    </w:p>
    <w:p>
      <w:pPr>
        <w:pStyle w:val="ListParagraph"/>
        <w:numPr>
          <w:ilvl w:val="0"/>
          <w:numId w:val="3"/>
        </w:numPr>
        <w:spacing w:lineRule="auto" w:line="360" w:before="0" w:after="100"/>
        <w:ind w:firstLine="709"/>
        <w:jc w:val="both"/>
        <w:rPr/>
      </w:pPr>
      <w:r>
        <w:rPr>
          <w:rFonts w:eastAsia="Times New Roman" w:cs="Times New Roman"/>
          <w:sz w:val="24"/>
          <w:szCs w:val="24"/>
        </w:rPr>
        <w:t>Los dos hiperparámetros del método son el radio r y el peso m; no hay profundidad de descomposición ni radio base, porque el operador es de una sola escala. Sus efectos son opuestos y bien delimitados: el radio gobierna la escala de las estructuras que el operador extrae —la aptitud del trabajo de referencia favorece r = 1 y la batería de evaluación r = 25— y el peso gobierna la intensidad del realce, con el recorte por saturación creciendo del 0,73 % en m = 0,30 al 6,50 % en m = 1.</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nueve métricas, y las comparaciones pareadas Wilcoxon con corrección de Holm corroboran las superioridades específicas reportadas (ganancia significativa en entropía, eficiencia de fusión, gradiente medio y frecuencia espacial frente a los cinco métodos del estado del arte).</w:t>
      </w:r>
    </w:p>
    <w:p>
      <w:pPr>
        <w:pStyle w:val="ListParagraph"/>
        <w:numPr>
          <w:ilvl w:val="0"/>
          <w:numId w:val="3"/>
        </w:numPr>
        <w:spacing w:lineRule="auto" w:line="360"/>
        <w:ind w:firstLine="709"/>
        <w:jc w:val="both"/>
        <w:rPr/>
      </w:pPr>
      <w:r>
        <w:rPr>
          <w:rFonts w:eastAsia="Times New Roman" w:cs="Times New Roman"/>
        </w:rPr>
        <w:t>El realce morfológico se paga en artefactos, y conviene declararlo: en Nabf —la única métrica del estudio que los mide, y que no integra la batería de nueve— los dos operadores morfológicos son los más agresivos del benchmark, con 0,374 la propuesta y 0,586 el Top-Hat clásico, frente a 0,114 de la pirámide de Laplace. No se evaluó una variante que prescinda de la rama Black Top-Hat: el esquema aditivo-sustractivo se emplea completo en todas las configuraciones, de modo que la contribución aislada de esa rama queda como trabajo futuro.</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atenuar los artefactos que el esquema WTH+BTH adoptado introduce: la propuesta es el operador con la tasa de artefactos más alta del benchmark después del Top-Hat clásico (Nabf = 0,374 frente a 0,586 del clásico y 0,114 de la pirámide de Laplace).</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riqueza informativa y el detalle de la imagen fusionada, emplear la Propuesta Novedosa (r = 25, m = 0,30), que lidera la entropía y la eficiencia de fusión del benchmark con un realce controlado; para aplicaciones donde prima la fidelidad a las fuentes, los métodos multiescala (DTCWT, CVT) siguen siendo preferibles, y la metodología clásica Top-Hat conserva su valor como referencia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 la imagen base sin operador de la sección 5.8.3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 https://doi.org/10.1016/j.aeue.2015.09.004</w:t>
      </w:r>
    </w:p>
    <w:p>
      <w:pPr>
        <w:pStyle w:val="Normal"/>
        <w:spacing w:lineRule="auto" w:line="360" w:before="0" w:after="160"/>
        <w:ind w:firstLine="709"/>
        <w:jc w:val="both"/>
        <w:rPr/>
      </w:pPr>
      <w:r>
        <w:rPr>
          <w:rFonts w:eastAsia="Times New Roman" w:cs="Times New Roman"/>
          <w:sz w:val="24"/>
          <w:szCs w:val="24"/>
        </w:rPr>
        <w:t xml:space="preserve">Bai, X. (2013). Morphological image fusion using the extracted image regions and details based on multi-scale top-hat transform and toggle contrast operator. Digital Signal Processing, 23(2), 542–554. https://doi.org/10.1016/j.dsp.2012.11.001</w:t>
      </w:r>
    </w:p>
    <w:p>
      <w:pPr>
        <w:pStyle w:val="Normal"/>
        <w:spacing w:lineRule="auto" w:line="360" w:before="0" w:after="160"/>
        <w:ind w:firstLine="709"/>
        <w:jc w:val="both"/>
        <w:rPr/>
      </w:pPr>
      <w:r>
        <w:rPr>
          <w:rFonts w:eastAsia="Times New Roman" w:cs="Times New Roman"/>
          <w:sz w:val="24"/>
          <w:szCs w:val="24"/>
        </w:rPr>
        <w:t xml:space="preserve">Bai, X., Zhou, F., y Xue, B. (2012). Image enhancement using multi scale image features extracted by top-hat transform. Optics &amp; Laser Technology, 44(2), 328–336. https://doi.org/10.1016/j.optlastec.2011.07.009</w:t>
      </w:r>
    </w:p>
    <w:p>
      <w:pPr>
        <w:pStyle w:val="Normal"/>
        <w:spacing w:lineRule="auto" w:line="360" w:before="0" w:after="160"/>
        <w:ind w:firstLine="709"/>
        <w:jc w:val="both"/>
        <w:rPr/>
      </w:pPr>
      <w:r>
        <w:rPr>
          <w:rFonts w:eastAsia="Times New Roman" w:cs="Times New Roman"/>
          <w:sz w:val="24"/>
          <w:szCs w:val="24"/>
        </w:rPr>
        <w:t xml:space="preserve">Bajac Figueredo, Y. C., Bazán, J. P., Mello-Román, J. C., Vázquez Noguera, J. L., y Legal-Ayala, H. (2024). Infrared and visible image fusion using the Top Hat transform. Proceeding Series of the Brazilian Society of Computational and Applied Mathematics (CNMAC 2024), Universidad Comunera y Facultad Politécnica, Universidad Nacional de Asunción.</w:t>
      </w:r>
    </w:p>
    <w:p>
      <w:pPr>
        <w:pStyle w:val="Normal"/>
        <w:spacing w:lineRule="auto" w:line="360" w:before="0" w:after="160"/>
        <w:ind w:firstLine="709"/>
        <w:jc w:val="both"/>
        <w:rPr/>
      </w:pPr>
      <w:commentRangeStart w:id="4"/>
      <w:r>
        <w:rPr>
          <w:rFonts w:eastAsia="Times New Roman" w:cs="Times New Roman"/>
          <w:sz w:val="24"/>
          <w:szCs w:val="24"/>
        </w:rPr>
        <w:t xml:space="preserve">Bala, A. A., Aruna Priya, P., y Maik, V. (2024). Hybrid technique for fundus image enhancement using modified morphological filter and denoising net. The Journal of Supercomputing, 80(9),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 xml:space="preserve">Flores, S., Bujaico, C., Mello-Román, J. C., Vázquez Noguera, J. L., y Legal-Ayala, H. (s. f.). Método de realce de contraste local y nitidez en imágenes mamográficas basado en la transformada top-hat multiescala con elementos estructurantes circulares y lineales [Manuscrito]. Digital Image Processing Research Group, Facultad Politécnica, Universidad Nacional de Asunción.</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 https://doi.org/10.1016/j.compeleceng.2011.07.012</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3489–3497. https://doi.org/10.1109/ICCVW54120.2021.00389</w:t>
      </w:r>
    </w:p>
    <w:p>
      <w:pPr>
        <w:pStyle w:val="Normal"/>
        <w:spacing w:lineRule="auto" w:line="360"/>
        <w:ind w:firstLine="709"/>
        <w:jc w:val="both"/>
        <w:rPr/>
      </w:pPr>
      <w:r>
        <w:rPr>
          <w:rFonts w:eastAsia="Times New Roman" w:cs="Times New Roman"/>
        </w:rPr>
        <w:t>Jocher, G., Chaurasia, A., y Qiu, J. (2023). Ultralytics YOLOv8 (versión 8.0.0) [software]. https://github.com/ultralytics/ultralytics</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ind w:firstLine="709"/>
        <w:jc w:val="both"/>
        <w:rPr/>
      </w:pPr>
      <w:r>
        <w:rPr>
          <w:rFonts w:eastAsia="Times New Roman" w:cs="Times New Roman"/>
        </w:rPr>
        <w:t xml:space="preserve">Kingsbury, N. (2001). Complex wavelets for shift invariant analysis and filtering of signals. Applied and Computational Harmonic Analysis, 10(3), 234–253. https://doi.org/10.1006/acha.2000.0343</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5792–5801. https://doi.org/10.1109/CVPR52688.2022.00571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 xml:space="preserve">Mukhopadhyay, S., y Chanda, B. (2000). A multiscale morphological approach to local contrast enhancement. Signal Processing, 80(4), 685–696. https://doi.org/10.1016/S0165-1684(99)00161-9</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 https://doi.org/10.1109/ICIP.2003.1247209</w:t>
      </w:r>
    </w:p>
    <w:p>
      <w:pPr>
        <w:pStyle w:val="Normal"/>
        <w:spacing w:lineRule="auto" w:line="360"/>
        <w:ind w:firstLine="709"/>
        <w:jc w:val="both"/>
        <w:rPr/>
      </w:pPr>
      <w:r>
        <w:rPr>
          <w:rFonts w:eastAsia="Times New Roman" w:cs="Times New Roman"/>
        </w:rPr>
        <w:t>Redmon, J., Divvala, S., Girshick, R., y Farhadi, A. (2016). You only look once: Unified, real-time object detection. Proceedings of the IEEE Conference on Computer Vision and Pattern Recognition (CVPR), 779–788. https://doi.org/10.1109/CVPR.2016.91</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 https://doi.org/10.1109/TIP.2005.859378</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 xml:space="preserve">Toet, A. (2017). The TNO multiband image data collection. Data in Brief, 15, 249–251. https://doi.org/10.1016/j.dib.2017.09.038</w:t>
      </w:r>
    </w:p>
    <w:p>
      <w:pPr>
        <w:pStyle w:val="Normal"/>
        <w:spacing w:lineRule="auto" w:line="360" w:before="0" w:after="160"/>
        <w:ind w:firstLine="709"/>
        <w:jc w:val="both"/>
        <w:rPr/>
      </w:pPr>
      <w:r>
        <w:rPr>
          <w:rFonts w:eastAsia="Times New Roman" w:cs="Times New Roman"/>
          <w:sz w:val="24"/>
          <w:szCs w:val="24"/>
        </w:rPr>
        <w:t xml:space="preserve">Wang, J., Peng, J., Feng, X., He, G., y Fan, J. (2014). Fusion method for infrared and visible images by using non-negative sparse representation. Infrared Physics &amp; Technology, 67, 477–489. https://doi.org/10.1016/j.infrared.2014.09.019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 https://doi.org/10.1109/TIP.2003.819861</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 https://doi.org/10.1049/el:20000267</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experiments/pso_grid_search_fo.py (barrido de 25 configuraciones del PSO con la aptitud Fo),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25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[0,30; 2,00].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experiments/results/pso/pso_grid_fo_propuesta_state.json y la tabla resumen en experiments/results/metrics_reports/pso_grid_search_fo_propuesta.csv.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99 contrastes Wilcoxon (la propuesta frente a los 5 métodos del estado del arte y frente al Top-Hat clásico, y el Top-Hat clásico frente a los mismos 5, en las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54 contrastes de la propuesta frente a sus seis rivales (9 métricas × 6 rivales: los cinco del estado del arte y el Top-Hat clásico,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0,30</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0,30.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distinción correcta separa las dos clases de capas: las de detalle se fusionan por máxima actividad local y la base por promedio simple. Conviene precisar el alcance: esto concierne a los métodos comparativos multiescala, no al operador propuesto, que es de una sola escala y no tiene capas —su única respuesta de detalle se combina por máximo entre fuentes y se reconstruye sobre I_base = (VIS + IR)/2, promedio simple de las dos fuentes por definición—.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(140 fusiones: 7 métodos × 20 pares)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