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comments.xml" ContentType="application/vnd.openxmlformats-officedocument.wordprocessingml.comments+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 xml:space="preserve">La fusión de imágenes visible (VIS) e infrarroja (IR) es clave para la percepción computacional en condiciones adversas (vigilancia, conducción nocturna,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doce métricas sin referencia bajo pruebas no paramétricas (Friedman y Wilcoxon con corrección de Holm). En su configuración óptima (PSO: r=25, m=0,070) la propuesta obtiene la menor tasa de artefactos del estudio (Nabf=0,041, 2,7 veces menos que el mejor rival) y la mayor similitud estructural (SSIM=0,782), quedando segunda en preservación de bordes, correlación y fidelidad visual (Qabf=0,500; SCD=1,450; VIF=0,368), a milésimas del líder de cada métrica; la metodología clásica Top-Hat solo la supera en métricas de actividad bruta al costo del mayor nivel de artefactos del estudio (Nabf=0,585). Como evaluación orientada a tarea, el reentrenamiento de un detector (YOLOv8n) sobre el conjunto etiquetado LLVIP muestra que toda fusión supera con claridad al visible solo (mAP@0,5 de 0,81 a 0,93–0,95), aunque el infrarrojo solo es la modalidad más fuerte (0,957) y la propuesta resulta competitiva (0,936) sin liderar, evidenciando que la superioridad en calidad de imagen no se traslada automáticamente a la detección. En un experimento complementario sobre M3FD, con dos clases de visibilidad opuesta (personas/IR y luces/VIS) y un único detector entrenado con ambas modalidades, la fusión detecta ambas clases en una sola imagen y la propuesta es la mejor fusión del estudio (mAP@0,5 = 0,239). Se concluye que la propuesta mejora la calidad de fusión —en particular la limpieza y la fidelidad estructural— frente a la metodología clásica Top-Hat y al estado del arte, manteniendo bajo costo computacional e interpretabilidad morfológica.</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 xml:space="preserve">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twelve no-reference metrics under non-parametric testing (Friedman, Wilcoxon with Holm correction). At its optimal configuration (PSO: r=25, m=0.070) the proposal attains the lowest artifact rate of the study (Nabf=0.041, 2.7 times less than the best rival) and the highest structural similarity (SSIM=0.782), ranking second in edge preservation, correlation and visual fidelity (Qabf=0.500; SCD=1.450; VIF=0.368), within thousandths of each metric leader; the classical Top-Hat only surpasses it in raw-activity metrics at the cost of the highest artifact level in the study (Nabf=0.585). As a task-oriented evaluation, retraining a detector (YOLOv8n) on the labeled LLVIP dataset shows that every fusion clearly outperforms the visible modality alone (mAP@0.5 from 0.81 to 0.93–0.95), although the infrared alone remains the strongest modality (0.957) and the proposal is competitive (0.936) without leading, evidencing that superiority in image quality does not automatically transfer to detection. In a complementary experiment on M3FD, with two classes of opposite visibility (people/IR and lamps/VIS) and a single detector trained on both modalities, fusion detects both classes in a single image and the proposal is the best fusion in the study (mAP@0.5 = 0.239). We conclude that the proposal improves fusion quality —particularly cleanliness and structural fidelity— over the classical Top-Hat methodology and the state of the art, while keeping low computational cost and morphological interpretability.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multi-scale,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17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24</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29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35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35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35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37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38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38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43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43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44</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(LLVIP y M3FD)</w:t>
        <w:tab/>
        <w:t>48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56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58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62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62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63</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(Xydeas-Petrovic)</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estándar de calidad (Qabf, Nabf, SSIM, SCD, VIF, SF) para métodos representativos (n = 20 pares VIS/IR).</w:t>
      </w:r>
    </w:p>
    <w:p>
      <w:pPr>
        <w:pStyle w:val="Normal"/>
        <w:spacing w:lineRule="auto" w:line="276" w:before="0" w:after="40"/>
        <w:jc w:val="both"/>
        <w:rPr/>
      </w:pPr>
      <w:r>
        <w:rPr>
          <w:rFonts w:eastAsia="Times New Roman" w:cs="Times New Roman"/>
          <w:sz w:val="21"/>
        </w:rPr>
        <w:t>Figura 8. Ranking global por método (promedio de rangos sobre las doce métricas, con la dirección de cada una corregida).</w:t>
      </w:r>
    </w:p>
    <w:p>
      <w:pPr>
        <w:pStyle w:val="Normal"/>
        <w:spacing w:lineRule="auto" w:line="276" w:before="0" w:after="40"/>
        <w:jc w:val="both"/>
        <w:rPr/>
      </w:pPr>
      <w:r>
        <w:rPr>
          <w:rFonts w:eastAsia="Times New Roman" w:cs="Times New Roman"/>
          <w:sz w:val="18"/>
        </w:rPr>
        <w:t xml:space="preserve">Figura 9. Detecciones del modelo único VIS+IR en dos escenas de M3FD: la fusión recupera las personas que el visible pierde y las luces que el infrarrojo pierde.</w:t>
      </w:r>
    </w:p>
    <w:p>
      <w:pPr>
        <w:pStyle w:val="Normal"/>
        <w:spacing w:lineRule="auto" w:line="276" w:before="0" w:after="40"/>
        <w:jc w:val="both"/>
        <w:rPr/>
      </w:pPr>
      <w:r>
        <w:rPr>
          <w:rFonts w:eastAsia="Times New Roman" w:cs="Times New Roman"/>
          <w:i/>
          <w:sz w:val="18"/>
        </w:rPr>
        <w:t>Figura 10. Propuesta Novedosa (PSO: r = 25, m = 0,070) frente a la metodología clásica Top-Hat y al estado del arte.</w:t>
      </w:r>
    </w:p>
    <w:p>
      <w:pPr>
        <w:pStyle w:val="Normal"/>
        <w:spacing w:lineRule="auto" w:line="276" w:before="0" w:after="40"/>
        <w:jc w:val="both"/>
        <w:rPr/>
      </w:pPr>
      <w:r>
        <w:rPr>
          <w:rFonts w:eastAsia="Times New Roman" w:cs="Times New Roman"/>
          <w:sz w:val="21"/>
        </w:rPr>
        <w:t>Figura 11. Convergencia del PSO según el número de partículas (izq.) y aptitud del barrido de configuraciones (der.), sobre tres escenas representativas.</w:t>
      </w:r>
    </w:p>
    <w:p>
      <w:pPr>
        <w:pStyle w:val="Normal"/>
        <w:spacing w:lineRule="auto" w:line="276" w:before="0" w:after="40"/>
        <w:jc w:val="both"/>
        <w:rPr/>
      </w:pPr>
      <w:r>
        <w:rPr>
          <w:rFonts w:eastAsia="Times New Roman" w:cs="Times New Roman"/>
          <w:sz w:val="21"/>
        </w:rPr>
        <w:t xml:space="preserve">Figura 12. Aptitud en función del peso de contraste m (r = 25): F_apt de la tesis y Fo del trabajo de referencia.</w:t>
      </w:r>
    </w:p>
    <w:p>
      <w:pPr>
        <w:pStyle w:val="Normal"/>
        <w:spacing w:lineRule="auto" w:line="276" w:before="0" w:after="40"/>
        <w:jc w:val="both"/>
        <w:rPr/>
      </w:pPr>
      <w:r>
        <w:rPr>
          <w:rFonts w:eastAsia="Times New Roman" w:cs="Times New Roman"/>
          <w:sz w:val="21"/>
        </w:rPr>
        <w:t xml:space="preserve">Figura 13. Efecto de la función de aptitud sobre el mismo operador: Fo (más textura) frente a F_apt (más limpia y estructural).</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las seis métricas estándar de calidad de fusión por método (n = 20 pares).</w:t>
      </w:r>
    </w:p>
    <w:p>
      <w:pPr>
        <w:pStyle w:val="Normal"/>
        <w:spacing w:lineRule="auto" w:line="276" w:before="0" w:after="40"/>
        <w:jc w:val="both"/>
        <w:rPr/>
      </w:pPr>
      <w:r>
        <w:rPr>
          <w:rFonts w:eastAsia="Times New Roman" w:cs="Times New Roman"/>
          <w:sz w:val="21"/>
        </w:rPr>
        <w:t>Tabla 6. Métricas adicionales del review (FMI y Piella Q0/QW/QE) por método — medias sobre 20 pares.</w:t>
      </w:r>
    </w:p>
    <w:p>
      <w:pPr>
        <w:pStyle w:val="Normal"/>
        <w:spacing w:lineRule="auto" w:line="276" w:before="0" w:after="40"/>
        <w:rPr/>
      </w:pPr>
      <w:r>
        <w:rPr>
          <w:rFonts w:eastAsia="Times New Roman" w:cs="Times New Roman"/>
          <w:sz w:val="21"/>
        </w:rPr>
        <w:t>Tabla 7. Prueba de Friedman por métrica (χ², p-valor; α = 0,05).</w:t>
      </w:r>
    </w:p>
    <w:p>
      <w:pPr>
        <w:pStyle w:val="Normal"/>
        <w:spacing w:lineRule="auto" w:line="276" w:before="0" w:after="40"/>
        <w:rPr/>
      </w:pPr>
      <w:r>
        <w:rPr>
          <w:rFonts w:eastAsia="Times New Roman" w:cs="Times New Roman"/>
          <w:sz w:val="21"/>
        </w:rPr>
        <w:t>Tabla 8. Ranking promedio por método y métrica (1 = mejor).</w:t>
      </w:r>
    </w:p>
    <w:p>
      <w:pPr>
        <w:pStyle w:val="Normal"/>
        <w:spacing w:lineRule="auto" w:line="276" w:before="0" w:after="40"/>
        <w:jc w:val="both"/>
        <w:rPr/>
      </w:pPr>
      <w:r>
        <w:rPr>
          <w:rFonts w:eastAsia="Times New Roman" w:cs="Times New Roman"/>
          <w:sz w:val="21"/>
        </w:rPr>
        <w:t>Tabla 9.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Tabla 10.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11. Barrido de configuraciones del PSO: mejor aptitud F por combinación de partículas (n) e iteraciones (T).</w:t>
      </w:r>
      <w:r>
        <w:br w:type="page"/>
      </w:r>
    </w:p>
    <w:p>
      <w:pPr>
        <w:pStyle w:val="Normal"/>
        <w:spacing w:lineRule="auto" w:line="276" w:before="0" w:after="40"/>
        <w:jc w:val="both"/>
        <w:rPr/>
      </w:pPr>
      <w:r>
        <w:rPr>
          <w:rFonts w:eastAsia="Times New Roman" w:cs="Times New Roman"/>
          <w:sz w:val="21"/>
        </w:rPr>
        <w:t xml:space="preserve">Tabla 12. Ablación de la función de aptitud: óptimos de F_apt y de Fo sobre los 20 pares.</w:t>
      </w:r>
    </w:p>
    <w:p>
      <w:pPr>
        <w:pStyle w:val="Normal"/>
        <w:spacing w:lineRule="auto" w:line="276" w:before="0" w:after="40"/>
        <w:jc w:val="both"/>
        <w:rPr/>
      </w:pPr>
      <w:r>
        <w:rPr>
          <w:rFonts w:eastAsia="Times New Roman" w:cs="Times New Roman"/>
          <w:sz w:val="21"/>
        </w:rPr>
        <w:t xml:space="preserve">Tabla 13. Clases complementarias en M3FD: AP@0,5 por clase y mAP global con un detector único VIS+IR.</w:t>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precisamente ese vacío empírico mediante un benchmark exhaustivo y la comparación con baselines clásicos.</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(SE, L, r₀)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Proponer y evaluar la Propuesta Novedosa, un método de fusión de imágenes visibles e infrarrojas basado en la transformada Top-Hat con elementos estructurantes circulares y lineales sobre una sola escala y parámetros optimizados por enjambre de partículas (PSO), comparándolo con la metodología clásica de fusión Top-Hat y con métodos representativos del estado del arte, y analizando su impacto en tareas posteriores de detección de objetos.</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la Propuesta Novedosa: sobre una sola escala, un banco de cinco elementos estructurantes (un disco y cuatro lineales a 0°, 45°, 90° y 135°) cuyas respuestas lineales se promedian y se confrontan por máximo con la del disco para obtener transformadas Top-Hat y Bottom-Hat óptimas, con reconstrucción aditivo–sustractiva ponderada, adaptada al esquema de fusión VIS/IR.</w:t>
      </w:r>
    </w:p>
    <w:p>
      <w:pPr>
        <w:pStyle w:val="ListParagraph"/>
        <w:numPr>
          <w:ilvl w:val="0"/>
          <w:numId w:val="3"/>
        </w:numPr>
        <w:spacing w:lineRule="auto" w:line="360" w:before="0" w:after="100"/>
        <w:ind w:firstLine="709"/>
        <w:jc w:val="both"/>
        <w:rPr/>
      </w:pPr>
      <w:r>
        <w:rPr>
          <w:rFonts w:eastAsia="Times New Roman" w:cs="Times New Roman"/>
        </w:rPr>
        <w:t xml:space="preserve">Optimizar automáticamente los hiperparámetros del método (el radio r del banco de elementos estructurantes y el peso de contraste m) mediante PSO con una función de aptitud orientada a la calidad de fusión.</w:t>
      </w:r>
    </w:p>
    <w:p>
      <w:pPr>
        <w:pStyle w:val="ListParagraph"/>
        <w:numPr>
          <w:ilvl w:val="0"/>
          <w:numId w:val="3"/>
        </w:numPr>
        <w:spacing w:lineRule="auto" w:line="360" w:before="0" w:after="100"/>
        <w:ind w:firstLine="709"/>
        <w:jc w:val="both"/>
        <w:rPr/>
      </w:pPr>
      <w:r>
        <w:rPr>
          <w:rFonts w:eastAsia="Times New Roman" w:cs="Times New Roman"/>
        </w:rPr>
        <w:t>Comparar el método óptimo con la metodología clásica de fusión Top-Hat y con cinco métodos representativos del estado del arte (LP, RP, DWT, DTCWT y CVT) sobre doce métricas sin referencia, con pruebas no paramétricas (Friedman y Wilcoxon con corrección de Holm).</w:t>
      </w:r>
    </w:p>
    <w:p>
      <w:pPr>
        <w:pStyle w:val="ListParagraph"/>
        <w:numPr>
          <w:ilvl w:val="0"/>
          <w:numId w:val="3"/>
        </w:numPr>
        <w:spacing w:lineRule="auto" w:line="360" w:before="0" w:after="100"/>
        <w:ind w:firstLine="709"/>
        <w:jc w:val="both"/>
        <w:rPr/>
      </w:pPr>
      <w:r>
        <w:rPr>
          <w:rFonts w:eastAsia="Times New Roman" w:cs="Times New Roman"/>
        </w:rPr>
        <w:t>Analizar el impacto de la fusión en una tarea posterior de detección de objetos (YOLO), evaluando la detectabilidad por modalidad de entrada.</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¿La Propuesta Novedosa de fusión VIS+IR basada en la transformada Top-Hat, con elementos estructurantes de disco y lineales sobre una sola escala e hiperparámetros optimizados por PSO, mejora la calidad de fusión —evaluada con métricas sin referencia y pruebas no paramétricas sobre el TNO Image Fusion Dataset— respecto de la metodología clásica de fusión Top-Hat y de los métodos del estado del arte, y qué efecto produce en el desempeño de una tarea posterior de detección de objetos?</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respuestas y regla de reconstrucción— para adaptar el realce morfológico multidireccional al esquema de fusión VIS/IR?</w:t>
      </w:r>
    </w:p>
    <w:p>
      <w:pPr>
        <w:pStyle w:val="ListParagraph"/>
        <w:numPr>
          <w:ilvl w:val="0"/>
          <w:numId w:val="4"/>
        </w:numPr>
        <w:spacing w:lineRule="auto" w:line="360" w:before="0" w:after="100"/>
        <w:ind w:firstLine="709"/>
        <w:jc w:val="both"/>
        <w:rPr/>
      </w:pPr>
      <w:r>
        <w:rPr>
          <w:rFonts w:eastAsia="Times New Roman" w:cs="Times New Roman"/>
        </w:rPr>
        <w:t xml:space="preserve">¿Qué valores del radio r y del peso de contraste m maximizan una aptitud orientada a la calidad de fusión, y puede el PSO hallarlos automáticamente de forma estable?</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y en qué métricas?</w:t>
      </w:r>
    </w:p>
    <w:p>
      <w:pPr>
        <w:pStyle w:val="ListParagraph"/>
        <w:numPr>
          <w:ilvl w:val="0"/>
          <w:numId w:val="4"/>
        </w:numPr>
        <w:spacing w:lineRule="auto" w:line="360" w:before="0" w:after="100"/>
        <w:ind w:firstLine="709"/>
        <w:jc w:val="both"/>
        <w:rPr/>
      </w:pPr>
      <w:r>
        <w:rPr>
          <w:rFonts w:eastAsia="Times New Roman" w:cs="Times New Roman"/>
        </w:rPr>
        <w:t>¿La fusión —y en particular el método propuesto— mejora el desempeño de un detector de objetos (mAP sobre LLVIP) respecto de las modalidades visible e infrarroja por separado?</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tres hipótesis de trabajo. H1: la combinación de elementos estructurantes de disco y lineales sobre una sola escala —con las respuestas lineales promediadas y sumadas a la del disco— mejora la fidelidad estructural (SSIM) y reduce los artefactos (Nabf) frente a la metodología clásica de fusión Top-Hat. H2: la optimización automática de los hiperparámetros (r, m) por PSO, con una función de aptitud orientada a la fusión, alcanza un perfil de calidad superior al de la parametrización manual del operador clásico. H3: una mejor calidad de fusión se traduce en un mejor desempeño de detección de objetos (mAP) que el de las modalidades individuales. Las hipótesis H1 y H2 se contrastan en las secciones 5.4 y 5.6; H3 se somete a prueba en la sección 5.5.</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(2001) introducen una de las primeras descomposiciones multiescala basadas en operadores Top-Hat para realce e interpretación de imágenes médicas. Bai (2013) extiende la idea a fusión VIS+IR, mostrando que la transformada Top-Hat puede capturar simultáneamente detalles brillantes y oscuros con bajo costo computacional. Trabajos posteriores, como los de Bai et al. (2015) y Wang et al. (2017), exploran combinaciones de Top-Hat con otras representaciones, pero rara vez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I_opt^top, I_opt^bot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suma de ramas (líneas +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2020):</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(Nabf) y degrada la similitud estructural,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0.05</m:t>
                </m:r>
                <m:r>
                  <m:t>,</m:t>
                </m:r>
                <m:r>
                  <m:t> </m:t>
                </m:r>
                <m:r>
                  <m:t>1.20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orientada a la fusión. </w:t>
      </w:r>
      <w:r>
        <w:rPr>
          <w:rFonts w:eastAsia="Times New Roman" w:cs="Times New Roman"/>
        </w:rPr>
        <w:t xml:space="preserve">A diferencia de una aptitud de fidelidad pura (SSIM + E + PSNR), que premia el realce conservador y conduce a óptimos triviales, aquí el PSO maximiza una aptitud orientada explícitamente a la calidad de fusión, definida en la ecuación (14), que recompensa la similitud estructural (SSIM; Wang et al., 2004), la preservación de bordes (QAB/F; Xydeas y Petrović, 2000) y la correlación de las diferencias (SCD; Aslantas y Bendes, 2015, con peso 0,5 que normaliza su rango [−2, 2] al de las demás), y penaliza los artefactos (NAB/F, del mismo marco de Xydeas y Petrović). La composición es una elaboración propia de esta tesis, siguiendo la práctica de las funciones objetivo multicriterio en la fusión optimizada por PSO (Tao et al., 2010; Malviya y Saxena, 2014; Ortega y Espinoza, 2025); su validez frente a la alternativa de fidelidad pura se contrasta empíricamente en la ablación del final de esta sección. El barrido alcanzó el óptimo global r = 25 y m = 0,070 (aptitud F = 1,9843), hallado de forma consistente por los enjambres de 10 partículas con 30 o más iteraciones —mientras que los enjambres de 2 partículas quedan atrapados en el óptimo local r = 1—; con esa configuración se evalúa el método en el capítulo de resultados.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 = SSIM + Qabf + 0,5·SCD − Nabf</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[0,05, 1,20]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0,0703 (F = 1,9843; mejor de 25 configuraciones)</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t>
                </m:r>
                <m:r>
                  <m:rPr>
                    <m:lit/>
                    <m:nor/>
                  </m:rPr>
                  <m:t xml:space="preserve">=</m:t>
                </m:r>
                <m:r>
                  <m:t xml:space="preserve">SSIM</m:t>
                </m:r>
                <m:r>
                  <m:rPr>
                    <m:lit/>
                    <m:nor/>
                  </m:rPr>
                  <m:t xml:space="preserve">+</m:t>
                </m:r>
                <m:sSup>
                  <m:e>
                    <m:r>
                      <m:t xml:space="preserve">Q</m:t>
                    </m:r>
                  </m:e>
                  <m:sup>
                    <m:r>
                      <m:t xml:space="preserve">a</m:t>
                    </m:r>
                    <m:f>
                      <m:fPr>
                        <m:type m:val="lin"/>
                      </m:fPr>
                      <m:num>
                        <m:r>
                          <m:t xml:space="preserve">b</m:t>
                        </m:r>
                      </m:num>
                      <m:den>
                        <m:r>
                          <m:t xml:space="preserve">f</m:t>
                        </m:r>
                      </m:den>
                    </m:f>
                  </m:sup>
                </m:sSup>
                <m:r>
                  <m:rPr>
                    <m:lit/>
                    <m:nor/>
                  </m:rPr>
                  <m:t xml:space="preserve">+</m:t>
                </m:r>
                <m:r>
                  <m:t>0.5SCD−</m:t>
                </m:r>
                <m:sSup>
                  <m:e>
                    <m:r>
                      <m:t xml:space="preserve">N</m:t>
                    </m:r>
                  </m:e>
                  <m:sup>
                    <m:r>
                      <m:t xml:space="preserve">a</m:t>
                    </m:r>
                    <m:f>
                      <m:fPr>
                        <m:type m:val="lin"/>
                      </m:fPr>
                      <m:num>
                        <m:r>
                          <m:t xml:space="preserve">b</m:t>
                        </m:r>
                      </m:num>
                      <m:den>
                        <m:r>
                          <m:t xml:space="preserve">f</m:t>
                        </m:r>
                      </m:den>
                    </m:f>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Kingsbury</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dieciséis métricas sin referencia, que computan el puntaje a partir de la imagen fusionada y de sus fuentes. Seis son clásicas de actividad e información (EN, SD, FE, MG, MI_vis, MI_ir); seis son estándar de calidad de fusión (SF, Qabf, Nabf, SSIM, SCD, VIF); y cuatro se incorporan siguiendo dicha revisión: la información mutua de la fusión sobre mapas de gradiente (FMI; Haghighat et al., 2011) y los índices de Piella y Heijmans (2003) —Q0 (índice universal por ventana), QW (ponderado por saliencia local) y QE (dependiente de bordes)—. Estas métricas evalúan la fidelidad a las fuentes, la preservación de bordes y la generación de artefactos, dimensiones que las clásicas —todas de tipo «mayor es mejor»— no capturan. Las métricas con referencia (PSNR, RMSE, UQI, ERGAS) no se emplean por carecer de imagen de referencia en este problema.</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(Xydeas–Petrović).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(Xydeas-Petrovic)</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se exploran SE de tipo disco, cuadrado y cruz, con radios de 2, 3 y 5 píxeles.</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En esta tesis se construye iterativamente aplicando WTH con SE de radio creciente.</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configuración Top-Hat contra cada baseline.</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una combinación orientada a la fusión, F = SSIM + Qabf + 0,5·SCD − Nabf, que premia la fidelidad estructural, la preservación de bordes y la correlación, y penaliza los artefactos.</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doce métricas sin referencia, base del análisis estadístico inter-método (las cuatro métricas complementarias del review —FMI, Q0, QW y QE— se reportan de forma descriptiva en la Tabla 6).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0,070) se compara sobre los 20 pares con las doce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7 métodos del benchmark (§4.3)</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1–25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0,05–1,20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Qabf, Nabf, SSIM, SCD, VIF; FMI, Q0, QW, QE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 (Nabf ↓)</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2014).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configuración Top-Hat (WTH y WTH+BTH) y cada baseline, así como entre la propuesta central (Propuesta Novedosa) y el método anterior y cada baseline, controlando por imagen; dado el elevado número de contrastes se aplica corrección de Holm por métrica y se reporta el tamaño de efecto rank-biserial. Tercero, se calcula el ranking promedio por método y métrica (1 = mejor), respetando la dirección de cada una (en Nabf, menor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0,070)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sus indicadores cuantitativos: la menor tasa de artefactos del estudio (Nabf = 0,041) y la mayor similitud estructural (SSIM = 0,782).</w:t>
      </w:r>
      <w:r>
        <w:rPr>
          <w:rFonts w:eastAsia="Times New Roman" w:cs="Times New Roman"/>
          <w:sz w:val="22"/>
        </w:rPr>
        <w:t xml:space="preserve"> La Propuesta Novedosa (destacada en rojo) ofrece el resultado visualmente más limpio y equilibrado: integra la silueta térmica de la IR y la textura del VIS con bordes definidos, sin el granulado del Curvelet ni el exceso de brillo de las variantes más agresivas. Esto es coherente con sus indicadores cuantitativos: una tasa de artefactos muy baja (Nabf = 0,035) y la mayor similitud estructural (SSIM = 0,783) entre los métodos reales.</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las seis métricas estándar de calidad, sobre los 20 pares para los siete métodos del benchmark. En las métricas clásicas la pirámide de Laplace lidera la desviación estándar y la información mutua, mientras que el Top-Hat clásico maximiza EN, MG y SF al inyectar la energía de detalle sin ponderación. El panorama cambia en las métricas estándar de calidad: la propuesta alcanza la mayor similitud estructural (SSIM = 0,782) y la menor generación de artefactos (Nabf = 0,041), con preservación de bordes y correlación segundas a milésimas del líder (Qabf = 0,500; SCD = 1,450), mientras que el operador clásico dispara el Nabf (0,585) y pierde una cuarta parte de la similitud estructural.</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6,8350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0,1548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1,0792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0,0248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2,1183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1,0717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6,8285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0,1304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0,0269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1,1698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0,8807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6,7002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0,1199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1,0586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1,2846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0,8809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6,7060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1,0596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1,2887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0,8908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6,6645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1,0529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0,0256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1,3038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0,8843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6,9334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0,1387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0,0473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0,8722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0,5864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6,6406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0,1173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1,0487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0,0194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1,3422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0,9088</w:t>
            </w:r>
          </w:p>
        </w:tc>
      </w:tr>
    </w:tbl>
    <w:p>
      <w:pPr>
        <w:pStyle w:val="Normal"/>
        <w:spacing w:lineRule="auto" w:line="276"/>
        <w:jc w:val="both"/>
        <w:rPr/>
      </w:pPr>
      <w:r>
        <w:rPr>
          <w:rFonts w:eastAsia="Times New Roman" w:cs="Times New Roman"/>
          <w:i/>
          <w:sz w:val="18"/>
        </w:rPr>
        <w:t>Tabla 5. Promedios de las seis métricas estándar de calidad de fusión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Qabf</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Nabf</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SCD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VIF</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0,4419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0,1080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0,7208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1,3217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0,4101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13,3376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0,4968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0,2119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0,7212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1,4677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0,3841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13,9341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0,4895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0,2286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0,7163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1,3218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13,0266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0,5011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0,1514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0,7386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1,3764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0,3600</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13,1510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0,4762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0,1915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0,7305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1,3208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0,3067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22,8554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0,5845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0,5781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1,3600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0,3336</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9,6441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0,4999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0,0406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0,7822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1,4498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0,3683</w:t>
            </w:r>
          </w:p>
        </w:tc>
      </w:tr>
    </w:tbl>
    <w:p>
      <w:pPr>
        <w:pStyle w:val="Normal"/>
        <w:spacing w:lineRule="auto" w:line="276"/>
        <w:jc w:val="both"/>
        <w:rPr/>
      </w:pPr>
      <w:r>
        <w:rPr>
          <w:rFonts w:eastAsia="Times New Roman" w:cs="Times New Roman"/>
          <w:i/>
          <w:sz w:val="18"/>
        </w:rPr>
        <w:t>Tabla 6. Métricas adicionales del review (FMI y Piella Q0/QW/QE) por método — medias sobre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600"/>
        <w:gridCol w:w="1600"/>
        <w:gridCol w:w="1600"/>
        <w:gridCol w:w="1600"/>
        <w:gridCol w:w="1600"/>
      </w:tblGrid>
      <w:tr>
        <w:trPr/>
        <w:tc>
          <w:tcPr>
            <w:tcW w:w="2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FMI</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Q0</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QW</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QE</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0,2761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0,7435</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0,8560</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0,4040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0,1900</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0,7158</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0,8294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0,3650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0,1993</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0,7201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0,8217</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0,3700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0,2356</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0,7574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0,8564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0,3993</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0,1971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0,7272</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0,8233</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0,3692</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0,1594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0,6125</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0,7454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0,3060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0,2081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0,7604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0,8133</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0,3770</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Pirámide de Laplace (LP) lidera FMI, Propuesta Novedosa lidera Q0, DTCWT lidera QW y Pirámide de Laplace (LP) lidera QE. La Propuesta Novedosa se mantiene competitiva en toda la familia, coherente con su perfil de fidelidad estructural y limpieza.</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estándar de calidad (Qabf, Nabf, SSIM, SCD, VIF, SF) para métodos representativos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7 reporta la prueba de Friedman aplicada de forma independiente a cada métrica, considerando los siete métodos del benchmark como tratamientos y los 20 pares como bloques. La hipótesis nula se rechaza con amplio margen en las doce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7.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85,96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2.08e-16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98,92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4.21e-19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85,96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2.08e-16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94,97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2.80e-18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2.59e-14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62,39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1.47e-11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90,16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2.80e-17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Qabf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69,84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4.42e-13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Nabf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6.44e-21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96,52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1.33e-18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SCD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64,41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5.68e-12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VIF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95,85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1.84e-18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doce métricas, con corrección de Holm y tamaño de efecto rank-biserial (120 contrastes; detalle en el Apéndice C), más el contraste directo entre la propuesta y el operador clásico. El hallazgo central: frente al Top-Hat clásico, la propuesta gana de forma estadísticamente significativa en las siete métricas de calidad e información (MI_vis, MI_ir, Qabf, Nabf, SSIM, SCD y VIF; p_Holm ≤ 0,001), cediendo solo las de actividad bruta. Frente a DWT y CVT gana en las siete métricas de calidad; frente a DTCWT gana en seis y cede Qabf por una milésima; frente a RP gana en Nabf, SSIM y MI_vis y empata en Qabf, SCD y VIF; y frente a LP gana en Nabf y SSIM, empata en Qabf y SCD, y cede VIF y las métricas de contraste.</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8 muestra el ranking promedio de cada método (1 = mejor) en seis métricas clave y el ranking global obtenido al promediar las doce métricas, respetando la dirección de cada una. La pirámide de Laplace encabeza el ranking global (3,17), seguida de RP (3,42) y DTCWT (3,58); la propuesta ocupa el cuarto lugar (4,08), penalizada por las métricas de actividad —que premian el realce agresivo: el Top-Hat clásico las lidera con el mayor Nabf del estudio—, pese a ser primera en Nabf y SSIM y segunda en Qabf, SCD y VIF. El ranking agregado, al mezclar familias de métricas con pesos iguales, debe leerse junto a los contrastes pareados de la sección anterior.</w:t>
      </w:r>
    </w:p>
    <w:p>
      <w:pPr>
        <w:pStyle w:val="Normal"/>
        <w:spacing w:lineRule="auto" w:line="276"/>
        <w:rPr/>
      </w:pPr>
      <w:r>
        <w:rPr>
          <w:rFonts w:eastAsia="Times New Roman" w:cs="Times New Roman"/>
          <w:i/>
          <w:sz w:val="18"/>
        </w:rPr>
        <w:t>Tabla 8.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Qabf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Nabf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VIF</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3,17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3,50</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3,58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3,92</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4,17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4,75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4,92</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doce métricas, con la dirección de cada una corregida).</w:t>
      </w:r>
    </w:p>
    <w:p>
      <w:pPr>
        <w:pStyle w:val="Heading2"/>
        <w:jc w:val="start"/>
        <w:rPr/>
      </w:pPr>
      <w:r>
        <w:rPr>
          <w:rFonts w:eastAsia="Times New Roman" w:cs="Times New Roman"/>
          <w:b/>
          <w:color w:val="000000"/>
          <w:sz w:val="24"/>
        </w:rPr>
        <w:t>5.5 Evaluación orientada a tarea: detección con YOLO (LLVIP y M3FD)</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9 reporta mAP@0,5 y mAP@0,5:0,95.</w:t>
      </w:r>
    </w:p>
    <w:p>
      <w:pPr>
        <w:pStyle w:val="Normal"/>
        <w:spacing w:lineRule="auto" w:line="276"/>
        <w:jc w:val="both"/>
        <w:rPr/>
      </w:pPr>
      <w:r>
        <w:rPr>
          <w:rFonts w:eastAsia="Times New Roman" w:cs="Times New Roman"/>
          <w:i/>
          <w:sz w:val="18"/>
        </w:rPr>
        <w:t>Tabla 9.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0,808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0,451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0,803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0,751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0,957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0,663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0,968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0,894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0,879</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0,926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0,538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0,866</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0,614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0,974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0,633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0,972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0,957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0,866</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 F_apt (r=25, m=0,070)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0,859</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 Fo (r=1, m=0,30)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0,922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0,619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0,801</w:t>
            </w:r>
          </w:p>
        </w:tc>
      </w:tr>
    </w:tbl>
    <w:p>
      <w:pPr>
        <w:pStyle w:val="Normal"/>
        <w:spacing w:lineRule="auto" w:line="360"/>
        <w:ind w:firstLine="709"/>
        <w:jc w:val="both"/>
        <w:rPr/>
      </w:pPr>
      <w:r>
        <w:rPr>
          <w:rFonts w:eastAsia="Times New Roman" w:cs="Times New Roman"/>
        </w:rPr>
        <w:t>La Tabla 9 admite tres lecturas. Primero, toda fusión mejora con claridad sobre el visible solo (mAP@0,5 de 0,808 a una banda de 0,926–0,949, es decir entre +0,12 y +0,14 puntos): cuando el canal visible es débil —escenas nocturnas—, fusionar aporta información decisiva. Segundo, el infrarrojo solo es la modalidad más fuerte (mAP@0,5 = 0,957; mAP@0,5:0,95 = 0,663) y ninguna fusión lo supera, coherente con que LLVIP es detección de peatones en baja luz, donde la firma térmica domina. Tercero, entre las siete fusiones las diferencias son pequeñas (mAP@0,5 en una banda estrecha de 0,926 a 0,949): la pirámide de Laplace encabeza (0,949), seguida de cerca por DTCWT (0,948) y DWT (0,946), mientras que las dos configuraciones de la Propuesta Novedosa resultan competitivas y prácticamente empatadas entre sí —la tunada con F_apt (0,936) y la tunada con la aptitud publicada Fo (0,922)—, ambas en la banda de las fusiones y a pocos puntos del mejor, sin ser líderes. La conclusión es matizada y relevante: la superioridad de la propuesta en las métricas de calidad de imagen (Nabf, SSIM) no se traslada automáticamente a la tarea de detección, donde la banda de fusiones es estrecha y la modalidad térmica domina; la elección del método depende del criterio operativo prioritario —en consonancia con lo señalado por Singh et al. (2023)—.</w:t>
      </w:r>
    </w:p>
    <w:p>
      <w:pPr>
        <w:pStyle w:val="Normal"/>
        <w:spacing w:lineRule="auto" w:line="360"/>
        <w:ind w:firstLine="709"/>
        <w:jc w:val="both"/>
        <w:rPr/>
      </w:pPr>
      <w:r>
        <w:rPr>
          <w:i/>
          <w:iCs/>
          <w:rFonts w:eastAsia="Times New Roman" w:cs="Times New Roman"/>
        </w:rPr>
        <w:t xml:space="preserve">Detección con clases complementarias (M3FD). </w:t>
      </w:r>
      <w:r>
        <w:rPr>
          <w:iCs/>
          <w:rFonts w:eastAsia="Times New Roman" w:cs="Times New Roman"/>
        </w:rPr>
        <w:t xml:space="preserve">Como complemento se diseñó un experimento de clases complementarias sobre el dataset M3FD (Liu et al., 2022): 2.000 pares de entrenamiento y 500 de validación con seis clases anotadas, dos de ellas de visibilidad opuesta —las personas dominan en el infrarrojo por su firma térmica y las luces (Lamp) son esencialmente visibles solo en el canal visible—. Un único detector YOLOv8n se entrenó con las imágenes de ambas modalidades mezcladas (4.000 imágenes, 40 épocas, etiquetas compartidas) y se evaluó por inferencia, sin reentrenar, sobre la validación de cada modalidad y de cada método de fusión, incluidos los dos óptimos del PSO de la sección 5.6.</w:t>
      </w:r>
    </w:p>
    <w:p>
      <w:pPr>
        <w:pStyle w:val="Normal"/>
        <w:spacing w:lineRule="auto" w:line="276"/>
        <w:jc w:val="both"/>
        <w:rPr/>
      </w:pPr>
      <w:r>
        <w:rPr>
          <w:rFonts w:eastAsia="Times New Roman" w:cs="Times New Roman"/>
          <w:i/>
          <w:sz w:val="18"/>
        </w:rPr>
        <w:t xml:space="preserve">Tabla 13. Clases complementarias en M3FD: AP@0,5 por clase y mAP global con un detector único entrenado sobre VIS+IR (medias sobre 500 imágenes de validación).</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560"/>
        <w:gridCol w:w="1560"/>
        <w:gridCol w:w="1560"/>
        <w:gridCol w:w="1560"/>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Entrada del detector</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People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Lamp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Promedio del par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mAP@0,5 ↑</w:t>
            </w:r>
          </w:p>
        </w:tc>
      </w:tr>
      <w:tr>
        <w:trPr/>
        <w:tc>
          <w:tcPr>
            <w:tcW w:w="3120" w:type="dxa"/>
            <w:tcBorders/>
          </w:tcPr>
          <w:p>
            <w:pPr>
              <w:pStyle w:val="Normal"/>
              <w:widowControl w:val="false"/>
              <w:spacing w:lineRule="auto" w:line="276" w:before="0" w:after="120"/>
              <w:rPr/>
            </w:pPr>
            <w:r>
              <w:rPr>
                <w:rFonts w:eastAsia="Times New Roman" w:cs="Times New Roman"/>
                <w:sz w:val="19"/>
              </w:rPr>
              <w:t>VIS (solo)</w:t>
            </w:r>
          </w:p>
        </w:tc>
        <w:tc>
          <w:tcPr>
            <w:tcW w:w="1560" w:type="dxa"/>
            <w:tcBorders/>
          </w:tcPr>
          <w:p>
            <w:pPr>
              <w:pStyle w:val="Normal"/>
              <w:widowControl w:val="false"/>
              <w:spacing w:lineRule="auto" w:line="276" w:before="0" w:after="120"/>
              <w:rPr/>
            </w:pPr>
            <w:r>
              <w:rPr>
                <w:rFonts w:eastAsia="Times New Roman" w:cs="Times New Roman"/>
                <w:sz w:val="19"/>
              </w:rPr>
              <w:t>0,178</w:t>
            </w:r>
          </w:p>
        </w:tc>
        <w:tc>
          <w:tcPr>
            <w:tcW w:w="1560" w:type="dxa"/>
            <w:tcBorders/>
          </w:tcPr>
          <w:p>
            <w:pPr>
              <w:pStyle w:val="Normal"/>
              <w:widowControl w:val="false"/>
              <w:spacing w:lineRule="auto" w:line="276" w:before="0" w:after="120"/>
              <w:rPr/>
            </w:pPr>
            <w:r>
              <w:rPr>
                <w:b/>
                <w:rFonts w:eastAsia="Times New Roman" w:cs="Times New Roman"/>
                <w:sz w:val="19"/>
              </w:rPr>
              <w:t>0,135</w:t>
            </w:r>
          </w:p>
        </w:tc>
        <w:tc>
          <w:tcPr>
            <w:tcW w:w="1560" w:type="dxa"/>
            <w:tcBorders/>
          </w:tcPr>
          <w:p>
            <w:pPr>
              <w:pStyle w:val="Normal"/>
              <w:widowControl w:val="false"/>
              <w:spacing w:lineRule="auto" w:line="276" w:before="0" w:after="120"/>
              <w:rPr/>
            </w:pPr>
            <w:r>
              <w:rPr>
                <w:rFonts w:eastAsia="Times New Roman" w:cs="Times New Roman"/>
                <w:sz w:val="19"/>
              </w:rPr>
              <w:t>0,157</w:t>
            </w:r>
          </w:p>
        </w:tc>
        <w:tc>
          <w:tcPr>
            <w:tcW w:w="1560" w:type="dxa"/>
            <w:tcBorders/>
          </w:tcPr>
          <w:p>
            <w:pPr>
              <w:pStyle w:val="Normal"/>
              <w:widowControl w:val="false"/>
              <w:spacing w:lineRule="auto" w:line="276" w:before="0" w:after="120"/>
              <w:rPr/>
            </w:pPr>
            <w:r>
              <w:rPr>
                <w:b/>
                <w:rFonts w:eastAsia="Times New Roman" w:cs="Times New Roman"/>
                <w:sz w:val="19"/>
              </w:rPr>
              <w:t>0,245</w:t>
            </w:r>
          </w:p>
        </w:tc>
      </w:tr>
      <w:tr>
        <w:trPr/>
        <w:tc>
          <w:tcPr>
            <w:tcW w:w="3120" w:type="dxa"/>
            <w:tcBorders/>
          </w:tcPr>
          <w:p>
            <w:pPr>
              <w:pStyle w:val="Normal"/>
              <w:widowControl w:val="false"/>
              <w:spacing w:lineRule="auto" w:line="276" w:before="0" w:after="120"/>
              <w:rPr/>
            </w:pPr>
            <w:r>
              <w:rPr>
                <w:rFonts w:eastAsia="Times New Roman" w:cs="Times New Roman"/>
                <w:sz w:val="19"/>
              </w:rPr>
              <w:t>IR (solo)</w:t>
            </w:r>
          </w:p>
        </w:tc>
        <w:tc>
          <w:tcPr>
            <w:tcW w:w="1560" w:type="dxa"/>
            <w:tcBorders/>
          </w:tcPr>
          <w:p>
            <w:pPr>
              <w:pStyle w:val="Normal"/>
              <w:widowControl w:val="false"/>
              <w:spacing w:lineRule="auto" w:line="276" w:before="0" w:after="120"/>
              <w:rPr/>
            </w:pPr>
            <w:r>
              <w:rPr>
                <w:b/>
                <w:rFonts w:eastAsia="Times New Roman" w:cs="Times New Roman"/>
                <w:sz w:val="19"/>
              </w:rPr>
              <w:t>0,220</w:t>
            </w:r>
          </w:p>
        </w:tc>
        <w:tc>
          <w:tcPr>
            <w:tcW w:w="1560" w:type="dxa"/>
            <w:tcBorders/>
          </w:tcPr>
          <w:p>
            <w:pPr>
              <w:pStyle w:val="Normal"/>
              <w:widowControl w:val="false"/>
              <w:spacing w:lineRule="auto" w:line="276" w:before="0" w:after="120"/>
              <w:rPr/>
            </w:pPr>
            <w:r>
              <w:rPr>
                <w:rFonts w:eastAsia="Times New Roman" w:cs="Times New Roman"/>
                <w:sz w:val="19"/>
              </w:rPr>
              <w:t>0,018</w:t>
            </w:r>
          </w:p>
        </w:tc>
        <w:tc>
          <w:tcPr>
            <w:tcW w:w="1560" w:type="dxa"/>
            <w:tcBorders/>
          </w:tcPr>
          <w:p>
            <w:pPr>
              <w:pStyle w:val="Normal"/>
              <w:widowControl w:val="false"/>
              <w:spacing w:lineRule="auto" w:line="276" w:before="0" w:after="120"/>
              <w:rPr/>
            </w:pPr>
            <w:r>
              <w:rPr>
                <w:rFonts w:eastAsia="Times New Roman" w:cs="Times New Roman"/>
                <w:sz w:val="19"/>
              </w:rPr>
              <w:t>0,119</w:t>
            </w:r>
          </w:p>
        </w:tc>
        <w:tc>
          <w:tcPr>
            <w:tcW w:w="1560" w:type="dxa"/>
            <w:tcBorders/>
          </w:tcPr>
          <w:p>
            <w:pPr>
              <w:pStyle w:val="Normal"/>
              <w:widowControl w:val="false"/>
              <w:spacing w:lineRule="auto" w:line="276" w:before="0" w:after="120"/>
              <w:rPr/>
            </w:pPr>
            <w:r>
              <w:rPr>
                <w:rFonts w:eastAsia="Times New Roman" w:cs="Times New Roman"/>
                <w:sz w:val="19"/>
              </w:rPr>
              <w:t>0,191</w:t>
            </w:r>
          </w:p>
        </w:tc>
      </w:tr>
      <w:tr>
        <w:trPr/>
        <w:tc>
          <w:tcPr>
            <w:tcW w:w="3120" w:type="dxa"/>
            <w:tcBorders/>
          </w:tcPr>
          <w:p>
            <w:pPr>
              <w:pStyle w:val="Normal"/>
              <w:widowControl w:val="false"/>
              <w:spacing w:lineRule="auto" w:line="276" w:before="0" w:after="120"/>
              <w:rPr/>
            </w:pPr>
            <w:r>
              <w:rPr>
                <w:rFonts w:eastAsia="Times New Roman" w:cs="Times New Roman"/>
                <w:sz w:val="19"/>
              </w:rPr>
              <w:t>Pirámide de Laplace (LP)</w:t>
            </w:r>
          </w:p>
        </w:tc>
        <w:tc>
          <w:tcPr>
            <w:tcW w:w="1560" w:type="dxa"/>
            <w:tcBorders/>
          </w:tcPr>
          <w:p>
            <w:pPr>
              <w:pStyle w:val="Normal"/>
              <w:widowControl w:val="false"/>
              <w:spacing w:lineRule="auto" w:line="276" w:before="0" w:after="120"/>
              <w:rPr/>
            </w:pPr>
            <w:r>
              <w:rPr>
                <w:rFonts w:eastAsia="Times New Roman" w:cs="Times New Roman"/>
                <w:sz w:val="19"/>
              </w:rPr>
              <w:t>0,147</w:t>
            </w:r>
          </w:p>
        </w:tc>
        <w:tc>
          <w:tcPr>
            <w:tcW w:w="1560" w:type="dxa"/>
            <w:tcBorders/>
          </w:tcPr>
          <w:p>
            <w:pPr>
              <w:pStyle w:val="Normal"/>
              <w:widowControl w:val="false"/>
              <w:spacing w:lineRule="auto" w:line="276" w:before="0" w:after="120"/>
              <w:rPr/>
            </w:pPr>
            <w:r>
              <w:rPr>
                <w:rFonts w:eastAsia="Times New Roman" w:cs="Times New Roman"/>
                <w:sz w:val="19"/>
              </w:rPr>
              <w:t>0,096</w:t>
            </w:r>
          </w:p>
        </w:tc>
        <w:tc>
          <w:tcPr>
            <w:tcW w:w="1560" w:type="dxa"/>
            <w:tcBorders/>
          </w:tcPr>
          <w:p>
            <w:pPr>
              <w:pStyle w:val="Normal"/>
              <w:widowControl w:val="false"/>
              <w:spacing w:lineRule="auto" w:line="276" w:before="0" w:after="120"/>
              <w:rPr/>
            </w:pPr>
            <w:r>
              <w:rPr>
                <w:rFonts w:eastAsia="Times New Roman" w:cs="Times New Roman"/>
                <w:sz w:val="19"/>
              </w:rPr>
              <w:t>0,122</w:t>
            </w:r>
          </w:p>
        </w:tc>
        <w:tc>
          <w:tcPr>
            <w:tcW w:w="1560" w:type="dxa"/>
            <w:tcBorders/>
          </w:tcPr>
          <w:p>
            <w:pPr>
              <w:pStyle w:val="Normal"/>
              <w:widowControl w:val="false"/>
              <w:spacing w:lineRule="auto" w:line="276" w:before="0" w:after="120"/>
              <w:rPr/>
            </w:pPr>
            <w:r>
              <w:rPr>
                <w:rFonts w:eastAsia="Times New Roman" w:cs="Times New Roman"/>
                <w:sz w:val="19"/>
              </w:rPr>
              <w:t>0,215</w:t>
            </w:r>
          </w:p>
        </w:tc>
      </w:tr>
      <w:tr>
        <w:trPr/>
        <w:tc>
          <w:tcPr>
            <w:tcW w:w="3120" w:type="dxa"/>
            <w:tcBorders/>
          </w:tcPr>
          <w:p>
            <w:pPr>
              <w:pStyle w:val="Normal"/>
              <w:widowControl w:val="false"/>
              <w:spacing w:lineRule="auto" w:line="276" w:before="0" w:after="120"/>
              <w:rPr/>
            </w:pPr>
            <w:r>
              <w:rPr>
                <w:rFonts w:eastAsia="Times New Roman" w:cs="Times New Roman"/>
                <w:sz w:val="19"/>
              </w:rPr>
              <w:t>Ratio Pyramid (RP)</w:t>
            </w:r>
          </w:p>
        </w:tc>
        <w:tc>
          <w:tcPr>
            <w:tcW w:w="1560" w:type="dxa"/>
            <w:tcBorders/>
          </w:tcPr>
          <w:p>
            <w:pPr>
              <w:pStyle w:val="Normal"/>
              <w:widowControl w:val="false"/>
              <w:spacing w:lineRule="auto" w:line="276" w:before="0" w:after="120"/>
              <w:rPr/>
            </w:pPr>
            <w:r>
              <w:rPr>
                <w:rFonts w:eastAsia="Times New Roman" w:cs="Times New Roman"/>
                <w:sz w:val="19"/>
              </w:rPr>
              <w:t>0,198</w:t>
            </w:r>
          </w:p>
        </w:tc>
        <w:tc>
          <w:tcPr>
            <w:tcW w:w="1560" w:type="dxa"/>
            <w:tcBorders/>
          </w:tcPr>
          <w:p>
            <w:pPr>
              <w:pStyle w:val="Normal"/>
              <w:widowControl w:val="false"/>
              <w:spacing w:lineRule="auto" w:line="276" w:before="0" w:after="120"/>
              <w:rPr/>
            </w:pPr>
            <w:r>
              <w:rPr>
                <w:rFonts w:eastAsia="Times New Roman" w:cs="Times New Roman"/>
                <w:sz w:val="19"/>
              </w:rPr>
              <w:t>0,133</w:t>
            </w:r>
          </w:p>
        </w:tc>
        <w:tc>
          <w:tcPr>
            <w:tcW w:w="1560" w:type="dxa"/>
            <w:tcBorders/>
          </w:tcPr>
          <w:p>
            <w:pPr>
              <w:pStyle w:val="Normal"/>
              <w:widowControl w:val="false"/>
              <w:spacing w:lineRule="auto" w:line="276" w:before="0" w:after="120"/>
              <w:rPr/>
            </w:pPr>
            <w:r>
              <w:rPr>
                <w:b/>
                <w:rFonts w:eastAsia="Times New Roman" w:cs="Times New Roman"/>
                <w:sz w:val="19"/>
              </w:rPr>
              <w:t>0,165</w:t>
            </w:r>
          </w:p>
        </w:tc>
        <w:tc>
          <w:tcPr>
            <w:tcW w:w="1560" w:type="dxa"/>
            <w:tcBorders/>
          </w:tcPr>
          <w:p>
            <w:pPr>
              <w:pStyle w:val="Normal"/>
              <w:widowControl w:val="false"/>
              <w:spacing w:lineRule="auto" w:line="276" w:before="0" w:after="120"/>
              <w:rPr/>
            </w:pPr>
            <w:r>
              <w:rPr>
                <w:rFonts w:eastAsia="Times New Roman" w:cs="Times New Roman"/>
                <w:sz w:val="19"/>
              </w:rPr>
              <w:t>0,231</w:t>
            </w:r>
          </w:p>
        </w:tc>
      </w:tr>
      <w:tr>
        <w:trPr/>
        <w:tc>
          <w:tcPr>
            <w:tcW w:w="3120" w:type="dxa"/>
            <w:tcBorders/>
          </w:tcPr>
          <w:p>
            <w:pPr>
              <w:pStyle w:val="Normal"/>
              <w:widowControl w:val="false"/>
              <w:spacing w:lineRule="auto" w:line="276" w:before="0" w:after="120"/>
              <w:rPr/>
            </w:pPr>
            <w:r>
              <w:rPr>
                <w:rFonts w:eastAsia="Times New Roman" w:cs="Times New Roman"/>
                <w:sz w:val="19"/>
              </w:rPr>
              <w:t>Wavelet discreta (DWT)</w:t>
            </w:r>
          </w:p>
        </w:tc>
        <w:tc>
          <w:tcPr>
            <w:tcW w:w="1560" w:type="dxa"/>
            <w:tcBorders/>
          </w:tcPr>
          <w:p>
            <w:pPr>
              <w:pStyle w:val="Normal"/>
              <w:widowControl w:val="false"/>
              <w:spacing w:lineRule="auto" w:line="276" w:before="0" w:after="120"/>
              <w:rPr/>
            </w:pPr>
            <w:r>
              <w:rPr>
                <w:rFonts w:eastAsia="Times New Roman" w:cs="Times New Roman"/>
                <w:sz w:val="19"/>
              </w:rPr>
              <w:t>0,165</w:t>
            </w:r>
          </w:p>
        </w:tc>
        <w:tc>
          <w:tcPr>
            <w:tcW w:w="1560" w:type="dxa"/>
            <w:tcBorders/>
          </w:tcPr>
          <w:p>
            <w:pPr>
              <w:pStyle w:val="Normal"/>
              <w:widowControl w:val="false"/>
              <w:spacing w:lineRule="auto" w:line="276" w:before="0" w:after="120"/>
              <w:rPr/>
            </w:pPr>
            <w:r>
              <w:rPr>
                <w:rFonts w:eastAsia="Times New Roman" w:cs="Times New Roman"/>
                <w:sz w:val="19"/>
              </w:rPr>
              <w:t>0,110</w:t>
            </w:r>
          </w:p>
        </w:tc>
        <w:tc>
          <w:tcPr>
            <w:tcW w:w="1560" w:type="dxa"/>
            <w:tcBorders/>
          </w:tcPr>
          <w:p>
            <w:pPr>
              <w:pStyle w:val="Normal"/>
              <w:widowControl w:val="false"/>
              <w:spacing w:lineRule="auto" w:line="276" w:before="0" w:after="120"/>
              <w:rPr/>
            </w:pPr>
            <w:r>
              <w:rPr>
                <w:rFonts w:eastAsia="Times New Roman" w:cs="Times New Roman"/>
                <w:sz w:val="19"/>
              </w:rPr>
              <w:t>0,137</w:t>
            </w:r>
          </w:p>
        </w:tc>
        <w:tc>
          <w:tcPr>
            <w:tcW w:w="1560" w:type="dxa"/>
            <w:tcBorders/>
          </w:tcPr>
          <w:p>
            <w:pPr>
              <w:pStyle w:val="Normal"/>
              <w:widowControl w:val="false"/>
              <w:spacing w:lineRule="auto" w:line="276" w:before="0" w:after="120"/>
              <w:rPr/>
            </w:pPr>
            <w:r>
              <w:rPr>
                <w:rFonts w:eastAsia="Times New Roman" w:cs="Times New Roman"/>
                <w:sz w:val="19"/>
              </w:rPr>
              <w:t>0,228</w:t>
            </w:r>
          </w:p>
        </w:tc>
      </w:tr>
      <w:tr>
        <w:trPr/>
        <w:tc>
          <w:tcPr>
            <w:tcW w:w="3120" w:type="dxa"/>
            <w:tcBorders/>
          </w:tcPr>
          <w:p>
            <w:pPr>
              <w:pStyle w:val="Normal"/>
              <w:widowControl w:val="false"/>
              <w:spacing w:lineRule="auto" w:line="276" w:before="0" w:after="120"/>
              <w:rPr/>
            </w:pPr>
            <w:r>
              <w:rPr>
                <w:rFonts w:eastAsia="Times New Roman" w:cs="Times New Roman"/>
                <w:sz w:val="19"/>
              </w:rPr>
              <w:t>Dual-Tree Complex Wavelet (DTCWT)</w:t>
            </w:r>
          </w:p>
        </w:tc>
        <w:tc>
          <w:tcPr>
            <w:tcW w:w="1560" w:type="dxa"/>
            <w:tcBorders/>
          </w:tcPr>
          <w:p>
            <w:pPr>
              <w:pStyle w:val="Normal"/>
              <w:widowControl w:val="false"/>
              <w:spacing w:lineRule="auto" w:line="276" w:before="0" w:after="120"/>
              <w:rPr/>
            </w:pPr>
            <w:r>
              <w:rPr>
                <w:rFonts w:eastAsia="Times New Roman" w:cs="Times New Roman"/>
                <w:sz w:val="19"/>
              </w:rPr>
              <w:t>0,159</w:t>
            </w:r>
          </w:p>
        </w:tc>
        <w:tc>
          <w:tcPr>
            <w:tcW w:w="1560" w:type="dxa"/>
            <w:tcBorders/>
          </w:tcPr>
          <w:p>
            <w:pPr>
              <w:pStyle w:val="Normal"/>
              <w:widowControl w:val="false"/>
              <w:spacing w:lineRule="auto" w:line="276" w:before="0" w:after="120"/>
              <w:rPr/>
            </w:pPr>
            <w:r>
              <w:rPr>
                <w:rFonts w:eastAsia="Times New Roman" w:cs="Times New Roman"/>
                <w:sz w:val="19"/>
              </w:rPr>
              <w:t>0,114</w:t>
            </w:r>
          </w:p>
        </w:tc>
        <w:tc>
          <w:tcPr>
            <w:tcW w:w="1560" w:type="dxa"/>
            <w:tcBorders/>
          </w:tcPr>
          <w:p>
            <w:pPr>
              <w:pStyle w:val="Normal"/>
              <w:widowControl w:val="false"/>
              <w:spacing w:lineRule="auto" w:line="276" w:before="0" w:after="120"/>
              <w:rPr/>
            </w:pPr>
            <w:r>
              <w:rPr>
                <w:rFonts w:eastAsia="Times New Roman" w:cs="Times New Roman"/>
                <w:sz w:val="19"/>
              </w:rPr>
              <w:t>0,137</w:t>
            </w:r>
          </w:p>
        </w:tc>
        <w:tc>
          <w:tcPr>
            <w:tcW w:w="1560" w:type="dxa"/>
            <w:tcBorders/>
          </w:tcPr>
          <w:p>
            <w:pPr>
              <w:pStyle w:val="Normal"/>
              <w:widowControl w:val="false"/>
              <w:spacing w:lineRule="auto" w:line="276" w:before="0" w:after="120"/>
              <w:rPr/>
            </w:pPr>
            <w:r>
              <w:rPr>
                <w:rFonts w:eastAsia="Times New Roman" w:cs="Times New Roman"/>
                <w:sz w:val="19"/>
              </w:rPr>
              <w:t>0,229</w:t>
            </w:r>
          </w:p>
        </w:tc>
      </w:tr>
      <w:tr>
        <w:trPr/>
        <w:tc>
          <w:tcPr>
            <w:tcW w:w="3120" w:type="dxa"/>
            <w:tcBorders/>
          </w:tcPr>
          <w:p>
            <w:pPr>
              <w:pStyle w:val="Normal"/>
              <w:widowControl w:val="false"/>
              <w:spacing w:lineRule="auto" w:line="276" w:before="0" w:after="120"/>
              <w:rPr/>
            </w:pPr>
            <w:r>
              <w:rPr>
                <w:rFonts w:eastAsia="Times New Roman" w:cs="Times New Roman"/>
                <w:sz w:val="19"/>
              </w:rPr>
              <w:t>Curvelet (CVT)</w:t>
            </w:r>
          </w:p>
        </w:tc>
        <w:tc>
          <w:tcPr>
            <w:tcW w:w="1560" w:type="dxa"/>
            <w:tcBorders/>
          </w:tcPr>
          <w:p>
            <w:pPr>
              <w:pStyle w:val="Normal"/>
              <w:widowControl w:val="false"/>
              <w:spacing w:lineRule="auto" w:line="276" w:before="0" w:after="120"/>
              <w:rPr/>
            </w:pPr>
            <w:r>
              <w:rPr>
                <w:rFonts w:eastAsia="Times New Roman" w:cs="Times New Roman"/>
                <w:sz w:val="19"/>
              </w:rPr>
              <w:t>0,167</w:t>
            </w:r>
          </w:p>
        </w:tc>
        <w:tc>
          <w:tcPr>
            <w:tcW w:w="1560" w:type="dxa"/>
            <w:tcBorders/>
          </w:tcPr>
          <w:p>
            <w:pPr>
              <w:pStyle w:val="Normal"/>
              <w:widowControl w:val="false"/>
              <w:spacing w:lineRule="auto" w:line="276" w:before="0" w:after="120"/>
              <w:rPr/>
            </w:pPr>
            <w:r>
              <w:rPr>
                <w:rFonts w:eastAsia="Times New Roman" w:cs="Times New Roman"/>
                <w:sz w:val="19"/>
              </w:rPr>
              <w:t>0,100</w:t>
            </w:r>
          </w:p>
        </w:tc>
        <w:tc>
          <w:tcPr>
            <w:tcW w:w="1560" w:type="dxa"/>
            <w:tcBorders/>
          </w:tcPr>
          <w:p>
            <w:pPr>
              <w:pStyle w:val="Normal"/>
              <w:widowControl w:val="false"/>
              <w:spacing w:lineRule="auto" w:line="276" w:before="0" w:after="120"/>
              <w:rPr/>
            </w:pPr>
            <w:r>
              <w:rPr>
                <w:rFonts w:eastAsia="Times New Roman" w:cs="Times New Roman"/>
                <w:sz w:val="19"/>
              </w:rPr>
              <w:t>0,133</w:t>
            </w:r>
          </w:p>
        </w:tc>
        <w:tc>
          <w:tcPr>
            <w:tcW w:w="1560" w:type="dxa"/>
            <w:tcBorders/>
          </w:tcPr>
          <w:p>
            <w:pPr>
              <w:pStyle w:val="Normal"/>
              <w:widowControl w:val="false"/>
              <w:spacing w:lineRule="auto" w:line="276" w:before="0" w:after="120"/>
              <w:rPr/>
            </w:pPr>
            <w:r>
              <w:rPr>
                <w:rFonts w:eastAsia="Times New Roman" w:cs="Times New Roman"/>
                <w:sz w:val="19"/>
              </w:rPr>
              <w:t>0,228</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(r = 5; m = 1)</w:t>
            </w:r>
          </w:p>
        </w:tc>
        <w:tc>
          <w:tcPr>
            <w:tcW w:w="1560" w:type="dxa"/>
            <w:tcBorders/>
          </w:tcPr>
          <w:p>
            <w:pPr>
              <w:pStyle w:val="Normal"/>
              <w:widowControl w:val="false"/>
              <w:spacing w:lineRule="auto" w:line="276" w:before="0" w:after="120"/>
              <w:rPr/>
            </w:pPr>
            <w:r>
              <w:rPr>
                <w:rFonts w:eastAsia="Times New Roman" w:cs="Times New Roman"/>
                <w:sz w:val="19"/>
              </w:rPr>
              <w:t>0,125</w:t>
            </w:r>
          </w:p>
        </w:tc>
        <w:tc>
          <w:tcPr>
            <w:tcW w:w="1560" w:type="dxa"/>
            <w:tcBorders/>
          </w:tcPr>
          <w:p>
            <w:pPr>
              <w:pStyle w:val="Normal"/>
              <w:widowControl w:val="false"/>
              <w:spacing w:lineRule="auto" w:line="276" w:before="0" w:after="120"/>
              <w:rPr/>
            </w:pPr>
            <w:r>
              <w:rPr>
                <w:rFonts w:eastAsia="Times New Roman" w:cs="Times New Roman"/>
                <w:sz w:val="19"/>
              </w:rPr>
              <w:t>0,054</w:t>
            </w:r>
          </w:p>
        </w:tc>
        <w:tc>
          <w:tcPr>
            <w:tcW w:w="1560" w:type="dxa"/>
            <w:tcBorders/>
          </w:tcPr>
          <w:p>
            <w:pPr>
              <w:pStyle w:val="Normal"/>
              <w:widowControl w:val="false"/>
              <w:spacing w:lineRule="auto" w:line="276" w:before="0" w:after="120"/>
              <w:rPr/>
            </w:pPr>
            <w:r>
              <w:rPr>
                <w:rFonts w:eastAsia="Times New Roman" w:cs="Times New Roman"/>
                <w:sz w:val="19"/>
              </w:rPr>
              <w:t>0,090</w:t>
            </w:r>
          </w:p>
        </w:tc>
        <w:tc>
          <w:tcPr>
            <w:tcW w:w="1560" w:type="dxa"/>
            <w:tcBorders/>
          </w:tcPr>
          <w:p>
            <w:pPr>
              <w:pStyle w:val="Normal"/>
              <w:widowControl w:val="false"/>
              <w:spacing w:lineRule="auto" w:line="276" w:before="0" w:after="120"/>
              <w:rPr/>
            </w:pPr>
            <w:r>
              <w:rPr>
                <w:rFonts w:eastAsia="Times New Roman" w:cs="Times New Roman"/>
                <w:sz w:val="19"/>
              </w:rPr>
              <w:t>0,198</w:t>
            </w:r>
          </w:p>
        </w:tc>
      </w:tr>
      <w:tr>
        <w:trPr/>
        <w:tc>
          <w:tcPr>
            <w:tcW w:w="3120" w:type="dxa"/>
            <w:tcBorders/>
          </w:tcPr>
          <w:p>
            <w:pPr>
              <w:pStyle w:val="Normal"/>
              <w:widowControl w:val="false"/>
              <w:spacing w:lineRule="auto" w:line="276" w:before="0" w:after="120"/>
              <w:rPr/>
            </w:pPr>
            <w:r>
              <w:rPr>
                <w:rFonts w:eastAsia="Times New Roman" w:cs="Times New Roman"/>
                <w:sz w:val="19"/>
              </w:rPr>
              <w:t>PSO del trabajo de referencia (clásico + Fo)</w:t>
            </w:r>
          </w:p>
        </w:tc>
        <w:tc>
          <w:tcPr>
            <w:tcW w:w="1560" w:type="dxa"/>
            <w:tcBorders/>
          </w:tcPr>
          <w:p>
            <w:pPr>
              <w:pStyle w:val="Normal"/>
              <w:widowControl w:val="false"/>
              <w:spacing w:lineRule="auto" w:line="276" w:before="0" w:after="120"/>
              <w:rPr/>
            </w:pPr>
            <w:r>
              <w:rPr>
                <w:rFonts w:eastAsia="Times New Roman" w:cs="Times New Roman"/>
                <w:sz w:val="19"/>
              </w:rPr>
              <w:t>0,174</w:t>
            </w:r>
          </w:p>
        </w:tc>
        <w:tc>
          <w:tcPr>
            <w:tcW w:w="1560" w:type="dxa"/>
            <w:tcBorders/>
          </w:tcPr>
          <w:p>
            <w:pPr>
              <w:pStyle w:val="Normal"/>
              <w:widowControl w:val="false"/>
              <w:spacing w:lineRule="auto" w:line="276" w:before="0" w:after="120"/>
              <w:rPr/>
            </w:pPr>
            <w:r>
              <w:rPr>
                <w:rFonts w:eastAsia="Times New Roman" w:cs="Times New Roman"/>
                <w:sz w:val="19"/>
              </w:rPr>
              <w:t>0,118</w:t>
            </w:r>
          </w:p>
        </w:tc>
        <w:tc>
          <w:tcPr>
            <w:tcW w:w="1560" w:type="dxa"/>
            <w:tcBorders/>
          </w:tcPr>
          <w:p>
            <w:pPr>
              <w:pStyle w:val="Normal"/>
              <w:widowControl w:val="false"/>
              <w:spacing w:lineRule="auto" w:line="276" w:before="0" w:after="120"/>
              <w:rPr/>
            </w:pPr>
            <w:r>
              <w:rPr>
                <w:rFonts w:eastAsia="Times New Roman" w:cs="Times New Roman"/>
                <w:sz w:val="19"/>
              </w:rPr>
              <w:t>0,146</w:t>
            </w:r>
          </w:p>
        </w:tc>
        <w:tc>
          <w:tcPr>
            <w:tcW w:w="1560" w:type="dxa"/>
            <w:tcBorders/>
          </w:tcPr>
          <w:p>
            <w:pPr>
              <w:pStyle w:val="Normal"/>
              <w:widowControl w:val="false"/>
              <w:spacing w:lineRule="auto" w:line="276" w:before="0" w:after="120"/>
              <w:rPr/>
            </w:pPr>
            <w:r>
              <w:rPr>
                <w:rFonts w:eastAsia="Times New Roman" w:cs="Times New Roman"/>
                <w:sz w:val="19"/>
              </w:rPr>
              <w:t>0,229</w:t>
            </w:r>
          </w:p>
        </w:tc>
      </w:tr>
      <w:tr>
        <w:trPr/>
        <w:tc>
          <w:tcPr>
            <w:tcW w:w="3120" w:type="dxa"/>
            <w:tcBorders/>
          </w:tcPr>
          <w:p>
            <w:pPr>
              <w:pStyle w:val="Normal"/>
              <w:widowControl w:val="false"/>
              <w:spacing w:lineRule="auto" w:line="276" w:before="0" w:after="120"/>
              <w:rPr/>
            </w:pPr>
            <w:r>
              <w:rPr>
                <w:rFonts w:eastAsia="Times New Roman" w:cs="Times New Roman"/>
                <w:sz w:val="19"/>
              </w:rPr>
              <w:t>Propuesta + Fo (r = 1; m = 0,30)</w:t>
            </w:r>
          </w:p>
        </w:tc>
        <w:tc>
          <w:tcPr>
            <w:tcW w:w="1560" w:type="dxa"/>
            <w:tcBorders/>
          </w:tcPr>
          <w:p>
            <w:pPr>
              <w:pStyle w:val="Normal"/>
              <w:widowControl w:val="false"/>
              <w:spacing w:lineRule="auto" w:line="276" w:before="0" w:after="120"/>
              <w:rPr/>
            </w:pPr>
            <w:r>
              <w:rPr>
                <w:rFonts w:eastAsia="Times New Roman" w:cs="Times New Roman"/>
                <w:sz w:val="19"/>
              </w:rPr>
              <w:t>0,200</w:t>
            </w:r>
          </w:p>
        </w:tc>
        <w:tc>
          <w:tcPr>
            <w:tcW w:w="1560" w:type="dxa"/>
            <w:tcBorders/>
          </w:tcPr>
          <w:p>
            <w:pPr>
              <w:pStyle w:val="Normal"/>
              <w:widowControl w:val="false"/>
              <w:spacing w:lineRule="auto" w:line="276" w:before="0" w:after="120"/>
              <w:rPr/>
            </w:pPr>
            <w:r>
              <w:rPr>
                <w:rFonts w:eastAsia="Times New Roman" w:cs="Times New Roman"/>
                <w:sz w:val="19"/>
              </w:rPr>
              <w:t>0,110</w:t>
            </w:r>
          </w:p>
        </w:tc>
        <w:tc>
          <w:tcPr>
            <w:tcW w:w="1560" w:type="dxa"/>
            <w:tcBorders/>
          </w:tcPr>
          <w:p>
            <w:pPr>
              <w:pStyle w:val="Normal"/>
              <w:widowControl w:val="false"/>
              <w:spacing w:lineRule="auto" w:line="276" w:before="0" w:after="120"/>
              <w:rPr/>
            </w:pPr>
            <w:r>
              <w:rPr>
                <w:rFonts w:eastAsia="Times New Roman" w:cs="Times New Roman"/>
                <w:sz w:val="19"/>
              </w:rPr>
              <w:t>0,155</w:t>
            </w:r>
          </w:p>
        </w:tc>
        <w:tc>
          <w:tcPr>
            <w:tcW w:w="1560" w:type="dxa"/>
            <w:tcBorders/>
          </w:tcPr>
          <w:p>
            <w:pPr>
              <w:pStyle w:val="Normal"/>
              <w:widowControl w:val="false"/>
              <w:spacing w:lineRule="auto" w:line="276" w:before="0" w:after="120"/>
              <w:rPr/>
            </w:pPr>
            <w:r>
              <w:rPr>
                <w:rFonts w:eastAsia="Times New Roman" w:cs="Times New Roman"/>
                <w:sz w:val="19"/>
              </w:rPr>
              <w:t>0,238</w:t>
            </w:r>
          </w:p>
        </w:tc>
      </w:tr>
      <w:tr>
        <w:trPr/>
        <w:tc>
          <w:tcPr>
            <w:tcW w:w="3120" w:type="dxa"/>
            <w:tcBorders/>
          </w:tcPr>
          <w:p>
            <w:pPr>
              <w:pStyle w:val="Normal"/>
              <w:widowControl w:val="false"/>
              <w:spacing w:lineRule="auto" w:line="276" w:before="0" w:after="120"/>
              <w:rPr/>
            </w:pPr>
            <w:r>
              <w:rPr>
                <w:b/>
                <w:rFonts w:eastAsia="Times New Roman" w:cs="Times New Roman"/>
                <w:sz w:val="19"/>
              </w:rPr>
              <w:t>Propuesta + F_apt (r = 25; m = 0,070)</w:t>
            </w:r>
          </w:p>
        </w:tc>
        <w:tc>
          <w:tcPr>
            <w:tcW w:w="1560" w:type="dxa"/>
            <w:tcBorders/>
          </w:tcPr>
          <w:p>
            <w:pPr>
              <w:pStyle w:val="Normal"/>
              <w:widowControl w:val="false"/>
              <w:spacing w:lineRule="auto" w:line="276" w:before="0" w:after="120"/>
              <w:rPr/>
            </w:pPr>
            <w:r>
              <w:rPr>
                <w:rFonts w:eastAsia="Times New Roman" w:cs="Times New Roman"/>
                <w:sz w:val="19"/>
              </w:rPr>
              <w:t>0,207</w:t>
            </w:r>
          </w:p>
        </w:tc>
        <w:tc>
          <w:tcPr>
            <w:tcW w:w="1560" w:type="dxa"/>
            <w:tcBorders/>
          </w:tcPr>
          <w:p>
            <w:pPr>
              <w:pStyle w:val="Normal"/>
              <w:widowControl w:val="false"/>
              <w:spacing w:lineRule="auto" w:line="276" w:before="0" w:after="120"/>
              <w:rPr/>
            </w:pPr>
            <w:r>
              <w:rPr>
                <w:rFonts w:eastAsia="Times New Roman" w:cs="Times New Roman"/>
                <w:sz w:val="19"/>
              </w:rPr>
              <w:t>0,117</w:t>
            </w:r>
          </w:p>
        </w:tc>
        <w:tc>
          <w:tcPr>
            <w:tcW w:w="1560" w:type="dxa"/>
            <w:tcBorders/>
          </w:tcPr>
          <w:p>
            <w:pPr>
              <w:pStyle w:val="Normal"/>
              <w:widowControl w:val="false"/>
              <w:spacing w:lineRule="auto" w:line="276" w:before="0" w:after="120"/>
              <w:rPr/>
            </w:pPr>
            <w:r>
              <w:rPr>
                <w:rFonts w:eastAsia="Times New Roman" w:cs="Times New Roman"/>
                <w:sz w:val="19"/>
              </w:rPr>
              <w:t>0,162</w:t>
            </w:r>
          </w:p>
        </w:tc>
        <w:tc>
          <w:tcPr>
            <w:tcW w:w="1560" w:type="dxa"/>
            <w:tcBorders/>
          </w:tcPr>
          <w:p>
            <w:pPr>
              <w:pStyle w:val="Normal"/>
              <w:widowControl w:val="false"/>
              <w:spacing w:lineRule="auto" w:line="276" w:before="0" w:after="120"/>
              <w:rPr/>
            </w:pPr>
            <w:r>
              <w:rPr>
                <w:rFonts w:eastAsia="Times New Roman" w:cs="Times New Roman"/>
                <w:sz w:val="19"/>
              </w:rPr>
              <w:t>0,239</w:t>
            </w:r>
          </w:p>
        </w:tc>
      </w:tr>
    </w:tbl>
    <w:p>
      <w:pPr>
        <w:pStyle w:val="Normal"/>
        <w:spacing w:lineRule="auto" w:line="360"/>
        <w:ind w:firstLine="709"/>
        <w:jc w:val="both"/>
        <w:rPr/>
      </w:pPr>
      <w:r>
        <w:rPr>
          <w:iCs/>
          <w:rFonts w:eastAsia="Times New Roman" w:cs="Times New Roman"/>
        </w:rPr>
        <w:t xml:space="preserve">La Tabla 13 confirma la complementariedad de forma extrema: el infrarrojo domina en personas (AP@0,5 = 0,220) pero es prácticamente ciego a las luces (0,018), y el visible presenta el patrón espejo (0,178 y 0,135). Las mejores fusiones superan en el promedio del par a ambas modalidades individuales —algo que ninguna logra por separado—, con la Propuesta Novedosa como la mejor fusión del estudio tanto en mAP global (0,239) como en personas (0,207, cerca del infrarrojo puro), manteniendo las luces cerca del visible; el óptimo de F_apt supera además al de Fo en las dos clases clave. El visible solo conserva el mejor mAP global de seis clases (0,245) por la abundancia de vehículos diurnos, y los valores absolutos son moderados (subconjunto de 500 imágenes y modelo nano): el experimento no busca récords, sino aislar el escenario donde la fusión es insustituible —detectar en una sola imagen objetos que cada modalidad pierde por separado—. La Figura 9 ilustra el fenómeno sobre dos escenas de la validación: el visible no ve a las personas que la fusión recupera y el infrarrojo no ve las luces que la fusión conserva.</w:t>
      </w:r>
    </w:p>
    <w:p>
      <w:pPr>
        <w:pStyle w:val="Normal"/>
        <w:spacing w:lineRule="auto" w:line="276"/>
        <w:jc w:val="center"/>
        <w:rPr/>
      </w:pPr>
      <w:r>
        <w:rPr/>
        <w:drawing>
          <wp:inline distT="0" distB="0" distL="0" distR="0">
            <wp:extent cx="5760720" cy="3714197"/>
            <wp:effectExtent l="0" t="0" r="0" b="0"/>
            <wp:docPr id="9912" name="fig_m3fd_detec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2"/>
                    <a:stretch>
                      <a:fillRect/>
                    </a:stretch>
                  </pic:blipFill>
                  <pic:spPr bwMode="auto">
                    <a:xfrm>
                      <a:off x="0" y="0"/>
                      <a:ext cx="5760720" cy="3714197"/>
                    </a:xfrm>
                    <a:prstGeom prst="rect">
                      <a:avLst/>
                    </a:prstGeom>
                    <a:noFill/>
                  </pic:spPr>
                </pic:pic>
              </a:graphicData>
            </a:graphic>
          </wp:inline>
        </w:drawing>
      </w:r>
    </w:p>
    <w:p>
      <w:pPr>
        <w:pStyle w:val="Normal"/>
        <w:spacing w:lineRule="auto" w:line="276"/>
        <w:jc w:val="both"/>
        <w:rPr/>
      </w:pPr>
      <w:r>
        <w:rPr>
          <w:rFonts w:eastAsia="Times New Roman" w:cs="Times New Roman"/>
          <w:sz w:val="18"/>
        </w:rPr>
        <w:t xml:space="preserve">Figura 9. Detecciones del modelo único VIS+IR en dos escenas de la validación de M3FD (personas en recuadro granate, luces en azul): en la escena superior el visible no detecta ninguna persona y la fusión las recupera; en la inferior el infrarrojo no detecta ninguna luz y la fusión las recupera.</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 xml:space="preserve">La Propuesta Novedosa —método central de esta tesis— se optimizó con PSO sobre un subconjunto representativo de escenas, maximizando una aptitud orientada a la fusión (F = SSIM + Qabf + 0,5·SCD − Nabf). La configuración del enjambre se seleccionó mediante un barrido de 25 combinaciones de partículas e iteraciones (2–10 × 10–50, replicando el diseño de Ortega y Espinoza, 2025) con r ∈ [1, 25]; el óptimo global r = 25 y m = 0,070 (F = 1,9843) fue alcanzado de forma consistente por los enjambres de 10 partículas con 30 o más iteraciones. Esta aptitud premia simultáneamente la similitud estructural, la preservación de bordes y la correlación de las diferencias, y penaliza los artefactos, evitando el realce trivial al que conduce una aptitud de fidelidad pura.</w:t>
      </w:r>
    </w:p>
    <w:p>
      <w:pPr>
        <w:pStyle w:val="Normal"/>
        <w:spacing w:lineRule="auto" w:line="360"/>
        <w:ind w:firstLine="709"/>
        <w:jc w:val="both"/>
        <w:rPr/>
      </w:pPr>
      <w:r>
        <w:rPr>
          <w:rFonts w:eastAsia="Times New Roman" w:cs="Times New Roman"/>
        </w:rPr>
        <w:t xml:space="preserve">La Tabla 10 compara la propuesta, en su configuración óptima (r = 25, m = 0,070), con la metodología clásica Top-Hat y con métodos representativos del estado del arte (LP, RP y DTCWT; los valores de DWT y CVT, del mismo orden, se detallan en el material complementario) sobre las métricas estándar de calidad. La propuesta registra la menor tasa de artefactos del estudio (Nabf = 0,041, frente a 0,108 de LP y 0,585 del Top-Hat clásico) y la mayor similitud estructural (SSIM = 0,782), quedando segunda en preservación de bordes (Qabf = 0,500, a una milésima del líder DTCWT), correlación (SCD = 1,450, tras RP) y fidelidad visual (VIF = 0,368, tras LP). Reúne así limpieza, fidelidad estructural y fuerza de bordes en un mismo operador, perfil adecuado para una fusión de propósito general.</w:t>
      </w:r>
    </w:p>
    <w:p>
      <w:pPr>
        <w:pStyle w:val="Normal"/>
        <w:spacing w:lineRule="auto" w:line="360" w:before="0" w:after="160"/>
        <w:ind w:firstLine="709"/>
        <w:jc w:val="both"/>
        <w:rPr/>
      </w:pPr>
      <w:r>
        <w:rPr>
          <w:rFonts w:eastAsia="Times New Roman" w:cs="Times New Roman"/>
        </w:rPr>
        <w:t xml:space="preserve">La significación de estas diferencias se verificó con la prueba de Wilcoxon pareada (n = 20, corrección de Holm por métrica; detalle completo en el Apéndice C). Frente a la metodología clásica Top-Hat, la propuesta gana de forma estadísticamente significativa en las siete métricas de calidad e información (MI_vis, MI_ir, Qabf, Nabf, SSIM, SCD y VIF; p_Holm ≤ 0,001) y cede únicamente en las cinco de actividad bruta (EN, SD, FE, MG, SF), que el operador clásico infla al costo del mayor nivel de artefactos del estudio. Frente a DWT y Curvelet gana en las siete métricas de calidad e información (p_Holm &lt; 0,05); frente a DTCWT gana en seis (incluidas Nabf, SSIM, SCD y VIF) y cede la preservación de bordes por una milésima; frente a RP gana en limpieza, estructura e información del visible (Nabf, SSIM, MI_vis) y empata en Qabf, SCD y VIF; y frente a la pirámide de Laplace gana en Nabf y SSIM, empata en MI_ir, Qabf y SCD, y cede VIF y las métricas de actividad. Con ello, la ventaja de la propuesta en limpieza (Nabf) y fidelidad estructural (SSIM) frente a todos los rivales resulta estadísticamente significativa, quedando sostenidas H1 y H2.</w:t>
      </w:r>
    </w:p>
    <w:p>
      <w:pPr>
        <w:pStyle w:val="Normal"/>
        <w:spacing w:lineRule="auto" w:line="360"/>
        <w:ind w:firstLine="709"/>
        <w:jc w:val="both"/>
        <w:rPr/>
      </w:pPr>
      <w:r>
        <w:rPr>
          <w:rFonts w:eastAsia="Times New Roman" w:cs="Times New Roman"/>
        </w:rPr>
        <w:t xml:space="preserve">La elección de la configuración es robusta: en el barrido de 25 combinaciones, seis configuraciones independientes alcanzaron el mismo óptimo global (r = 25, m = 0,070) y todos los enjambres de 10 partículas con 30 o más iteraciones convergieron a él, mientras que los enjambres de 2 partículas quedaron atrapados en el óptimo local r = 1. La aptitud crece con el radio hasta el tope del rango explorado, lo que indica que el operador aprovecha vecindarios amplios para capturar los objetivos térmicos completos, con el peso m compensando a la baja la mayor energía de detalle que inyecta la suma de ramas.</w:t>
      </w:r>
    </w:p>
    <w:p>
      <w:pPr>
        <w:pStyle w:val="Normal"/>
        <w:spacing w:lineRule="auto" w:line="276"/>
        <w:jc w:val="both"/>
        <w:rPr/>
      </w:pPr>
      <w:commentRangeStart w:id="3"/>
      <w:r>
        <w:rPr>
          <w:rFonts w:eastAsia="Times New Roman" w:cs="Times New Roman"/>
          <w:i/>
          <w:sz w:val="18"/>
        </w:rPr>
        <w:t>Tabla 10. Propuesta Novedosa frente a la metodología clásica Top-Hat y al estado del arte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cPr>
          <w:p>
            <w:pPr>
              <w:pStyle w:val="Normal"/>
              <w:widowControl w:val="false"/>
              <w:spacing w:lineRule="auto" w:line="276" w:before="0" w:after="120"/>
              <w:rPr/>
            </w:pPr>
            <w:r>
              <w:rPr>
                <w:rFonts w:eastAsia="Times New Roman" w:cs="Times New Roman"/>
                <w:b/>
                <w:color w:val="FFFFFF"/>
                <w:sz w:val="19"/>
              </w:rPr>
              <w:t>Propuesta Novedosa (r=25, m=0,070)</w:t>
            </w:r>
          </w:p>
        </w:tc>
        <w:tc>
          <w:tcPr>
            <w:tcW w:w="1518" w:type="dxa"/>
            <w:tcBorders/>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cPr>
          <w:p>
            <w:pPr>
              <w:pStyle w:val="Normal"/>
              <w:widowControl w:val="false"/>
              <w:spacing w:lineRule="auto" w:line="276" w:before="0" w:after="120"/>
              <w:rPr/>
            </w:pPr>
            <w:r>
              <w:rPr>
                <w:rFonts w:eastAsia="Times New Roman" w:cs="Times New Roman"/>
                <w:sz w:val="19"/>
              </w:rPr>
              <w:t>SSIM ↑</w:t>
            </w:r>
          </w:p>
        </w:tc>
        <w:tc>
          <w:tcPr>
            <w:tcW w:w="1516" w:type="dxa"/>
            <w:tcBorders/>
          </w:tcPr>
          <w:p>
            <w:pPr>
              <w:pStyle w:val="Normal"/>
              <w:widowControl w:val="false"/>
              <w:spacing w:lineRule="auto" w:line="276" w:before="0" w:after="120"/>
              <w:rPr/>
            </w:pPr>
            <w:r>
              <w:rPr>
                <w:rFonts w:eastAsia="Times New Roman" w:cs="Times New Roman"/>
                <w:b/>
                <w:sz w:val="19"/>
              </w:rPr>
              <w:t>0,782</w:t>
            </w:r>
          </w:p>
        </w:tc>
        <w:tc>
          <w:tcPr>
            <w:tcW w:w="1518" w:type="dxa"/>
            <w:tcBorders/>
          </w:tcPr>
          <w:p>
            <w:pPr>
              <w:pStyle w:val="Normal"/>
              <w:widowControl w:val="false"/>
              <w:spacing w:lineRule="auto" w:line="276" w:before="0" w:after="120"/>
              <w:rPr/>
            </w:pPr>
            <w:r>
              <w:rPr>
                <w:rFonts w:eastAsia="Times New Roman" w:cs="Times New Roman"/>
                <w:sz w:val="19"/>
              </w:rPr>
              <w:t>0,578</w:t>
            </w:r>
          </w:p>
        </w:tc>
        <w:tc>
          <w:tcPr>
            <w:tcW w:w="1517" w:type="dxa"/>
            <w:tcBorders/>
          </w:tcPr>
          <w:p>
            <w:pPr>
              <w:pStyle w:val="Normal"/>
              <w:widowControl w:val="false"/>
              <w:spacing w:lineRule="auto" w:line="276" w:before="0" w:after="120"/>
              <w:rPr/>
            </w:pPr>
            <w:r>
              <w:rPr>
                <w:rFonts w:eastAsia="Times New Roman" w:cs="Times New Roman"/>
                <w:sz w:val="19"/>
              </w:rPr>
              <w:t>0,721</w:t>
            </w:r>
          </w:p>
        </w:tc>
        <w:tc>
          <w:tcPr>
            <w:tcW w:w="1516" w:type="dxa"/>
            <w:tcBorders/>
          </w:tcPr>
          <w:p>
            <w:pPr>
              <w:pStyle w:val="Normal"/>
              <w:widowControl w:val="false"/>
              <w:spacing w:lineRule="auto" w:line="276" w:before="0" w:after="120"/>
              <w:rPr/>
            </w:pPr>
            <w:r>
              <w:rPr>
                <w:rFonts w:eastAsia="Times New Roman" w:cs="Times New Roman"/>
                <w:sz w:val="19"/>
              </w:rPr>
              <w:t>0,721</w:t>
            </w:r>
          </w:p>
        </w:tc>
        <w:tc>
          <w:tcPr>
            <w:tcW w:w="1518" w:type="dxa"/>
            <w:tcBorders/>
          </w:tcPr>
          <w:p>
            <w:pPr>
              <w:pStyle w:val="Normal"/>
              <w:widowControl w:val="false"/>
              <w:spacing w:lineRule="auto" w:line="276" w:before="0" w:after="120"/>
              <w:rPr/>
            </w:pPr>
            <w:r>
              <w:rPr>
                <w:rFonts w:eastAsia="Times New Roman" w:cs="Times New Roman"/>
                <w:sz w:val="19"/>
              </w:rPr>
              <w:t>0,739</w:t>
            </w:r>
          </w:p>
        </w:tc>
      </w:tr>
      <w:tr>
        <w:trPr/>
        <w:tc>
          <w:tcPr>
            <w:tcW w:w="1517" w:type="dxa"/>
            <w:tcBorders/>
          </w:tcPr>
          <w:p>
            <w:pPr>
              <w:pStyle w:val="Normal"/>
              <w:widowControl w:val="false"/>
              <w:spacing w:lineRule="auto" w:line="276" w:before="0" w:after="120"/>
              <w:rPr/>
            </w:pPr>
            <w:r>
              <w:rPr>
                <w:rFonts w:eastAsia="Times New Roman" w:cs="Times New Roman"/>
                <w:sz w:val="19"/>
              </w:rPr>
              <w:t>SCD ↑</w:t>
            </w:r>
          </w:p>
        </w:tc>
        <w:tc>
          <w:tcPr>
            <w:tcW w:w="1516" w:type="dxa"/>
            <w:tcBorders/>
          </w:tcPr>
          <w:p>
            <w:pPr>
              <w:pStyle w:val="Normal"/>
              <w:widowControl w:val="false"/>
              <w:spacing w:lineRule="auto" w:line="276" w:before="0" w:after="120"/>
              <w:rPr/>
            </w:pPr>
            <w:r>
              <w:rPr>
                <w:rFonts w:eastAsia="Times New Roman" w:cs="Times New Roman"/>
                <w:b/>
                <w:sz w:val="19"/>
              </w:rPr>
              <w:t>1,450</w:t>
            </w:r>
          </w:p>
        </w:tc>
        <w:tc>
          <w:tcPr>
            <w:tcW w:w="1518" w:type="dxa"/>
            <w:tcBorders/>
          </w:tcPr>
          <w:p>
            <w:pPr>
              <w:pStyle w:val="Normal"/>
              <w:widowControl w:val="false"/>
              <w:spacing w:lineRule="auto" w:line="276" w:before="0" w:after="120"/>
              <w:rPr/>
            </w:pPr>
            <w:r>
              <w:rPr>
                <w:rFonts w:eastAsia="Times New Roman" w:cs="Times New Roman"/>
                <w:sz w:val="19"/>
              </w:rPr>
              <w:t>1,360</w:t>
            </w:r>
          </w:p>
        </w:tc>
        <w:tc>
          <w:tcPr>
            <w:tcW w:w="1517" w:type="dxa"/>
            <w:tcBorders/>
          </w:tcPr>
          <w:p>
            <w:pPr>
              <w:pStyle w:val="Normal"/>
              <w:widowControl w:val="false"/>
              <w:spacing w:lineRule="auto" w:line="276" w:before="0" w:after="120"/>
              <w:rPr/>
            </w:pPr>
            <w:r>
              <w:rPr>
                <w:rFonts w:eastAsia="Times New Roman" w:cs="Times New Roman"/>
                <w:sz w:val="19"/>
              </w:rPr>
              <w:t>1,322</w:t>
            </w:r>
          </w:p>
        </w:tc>
        <w:tc>
          <w:tcPr>
            <w:tcW w:w="1516" w:type="dxa"/>
            <w:tcBorders/>
          </w:tcPr>
          <w:p>
            <w:pPr>
              <w:pStyle w:val="Normal"/>
              <w:widowControl w:val="false"/>
              <w:spacing w:lineRule="auto" w:line="276" w:before="0" w:after="120"/>
              <w:rPr/>
            </w:pPr>
            <w:r>
              <w:rPr>
                <w:rFonts w:eastAsia="Times New Roman" w:cs="Times New Roman"/>
                <w:sz w:val="19"/>
              </w:rPr>
              <w:t>1,468</w:t>
            </w:r>
          </w:p>
        </w:tc>
        <w:tc>
          <w:tcPr>
            <w:tcW w:w="1518" w:type="dxa"/>
            <w:tcBorders/>
          </w:tcPr>
          <w:p>
            <w:pPr>
              <w:pStyle w:val="Normal"/>
              <w:widowControl w:val="false"/>
              <w:spacing w:lineRule="auto" w:line="276" w:before="0" w:after="120"/>
              <w:rPr/>
            </w:pPr>
            <w:r>
              <w:rPr>
                <w:rFonts w:eastAsia="Times New Roman" w:cs="Times New Roman"/>
                <w:sz w:val="19"/>
              </w:rPr>
              <w:t>1,376</w:t>
            </w:r>
          </w:p>
        </w:tc>
      </w:tr>
      <w:tr>
        <w:trPr/>
        <w:tc>
          <w:tcPr>
            <w:tcW w:w="1517" w:type="dxa"/>
            <w:tcBorders/>
          </w:tcPr>
          <w:p>
            <w:pPr>
              <w:pStyle w:val="Normal"/>
              <w:widowControl w:val="false"/>
              <w:spacing w:lineRule="auto" w:line="276" w:before="0" w:after="120"/>
              <w:rPr/>
            </w:pPr>
            <w:r>
              <w:rPr>
                <w:rFonts w:eastAsia="Times New Roman" w:cs="Times New Roman"/>
                <w:sz w:val="19"/>
              </w:rPr>
              <w:t>Qabf ↑</w:t>
            </w:r>
          </w:p>
        </w:tc>
        <w:tc>
          <w:tcPr>
            <w:tcW w:w="1516" w:type="dxa"/>
            <w:tcBorders/>
          </w:tcPr>
          <w:p>
            <w:pPr>
              <w:pStyle w:val="Normal"/>
              <w:widowControl w:val="false"/>
              <w:spacing w:lineRule="auto" w:line="276" w:before="0" w:after="120"/>
              <w:rPr/>
            </w:pPr>
            <w:r>
              <w:rPr>
                <w:rFonts w:eastAsia="Times New Roman" w:cs="Times New Roman"/>
                <w:b/>
                <w:sz w:val="19"/>
              </w:rPr>
              <w:t>0,500</w:t>
            </w:r>
          </w:p>
        </w:tc>
        <w:tc>
          <w:tcPr>
            <w:tcW w:w="1518" w:type="dxa"/>
            <w:tcBorders/>
          </w:tcPr>
          <w:p>
            <w:pPr>
              <w:pStyle w:val="Normal"/>
              <w:widowControl w:val="false"/>
              <w:spacing w:lineRule="auto" w:line="276" w:before="0" w:after="120"/>
              <w:rPr/>
            </w:pPr>
            <w:r>
              <w:rPr>
                <w:rFonts w:eastAsia="Times New Roman" w:cs="Times New Roman"/>
                <w:sz w:val="19"/>
              </w:rPr>
              <w:t>0,305</w:t>
            </w:r>
          </w:p>
        </w:tc>
        <w:tc>
          <w:tcPr>
            <w:tcW w:w="1517" w:type="dxa"/>
            <w:tcBorders/>
          </w:tcPr>
          <w:p>
            <w:pPr>
              <w:pStyle w:val="Normal"/>
              <w:widowControl w:val="false"/>
              <w:spacing w:lineRule="auto" w:line="276" w:before="0" w:after="120"/>
              <w:rPr/>
            </w:pPr>
            <w:r>
              <w:rPr>
                <w:rFonts w:eastAsia="Times New Roman" w:cs="Times New Roman"/>
                <w:sz w:val="19"/>
              </w:rPr>
              <w:t>0,442</w:t>
            </w:r>
          </w:p>
        </w:tc>
        <w:tc>
          <w:tcPr>
            <w:tcW w:w="1516" w:type="dxa"/>
            <w:tcBorders/>
          </w:tcPr>
          <w:p>
            <w:pPr>
              <w:pStyle w:val="Normal"/>
              <w:widowControl w:val="false"/>
              <w:spacing w:lineRule="auto" w:line="276" w:before="0" w:after="120"/>
              <w:rPr/>
            </w:pPr>
            <w:r>
              <w:rPr>
                <w:rFonts w:eastAsia="Times New Roman" w:cs="Times New Roman"/>
                <w:sz w:val="19"/>
              </w:rPr>
              <w:t>0,497</w:t>
            </w:r>
          </w:p>
        </w:tc>
        <w:tc>
          <w:tcPr>
            <w:tcW w:w="1518" w:type="dxa"/>
            <w:tcBorders/>
          </w:tcPr>
          <w:p>
            <w:pPr>
              <w:pStyle w:val="Normal"/>
              <w:widowControl w:val="false"/>
              <w:spacing w:lineRule="auto" w:line="276" w:before="0" w:after="120"/>
              <w:rPr/>
            </w:pPr>
            <w:r>
              <w:rPr>
                <w:rFonts w:eastAsia="Times New Roman" w:cs="Times New Roman"/>
                <w:sz w:val="19"/>
              </w:rPr>
              <w:t>0,501</w:t>
            </w:r>
          </w:p>
        </w:tc>
      </w:tr>
      <w:tr>
        <w:trPr/>
        <w:tc>
          <w:tcPr>
            <w:tcW w:w="1517" w:type="dxa"/>
            <w:tcBorders/>
          </w:tcPr>
          <w:p>
            <w:pPr>
              <w:pStyle w:val="Normal"/>
              <w:widowControl w:val="false"/>
              <w:spacing w:lineRule="auto" w:line="276" w:before="0" w:after="120"/>
              <w:rPr/>
            </w:pPr>
            <w:r>
              <w:rPr>
                <w:rFonts w:eastAsia="Times New Roman" w:cs="Times New Roman"/>
                <w:sz w:val="19"/>
              </w:rPr>
              <w:t>Nabf ↓</w:t>
            </w:r>
          </w:p>
        </w:tc>
        <w:tc>
          <w:tcPr>
            <w:tcW w:w="1516" w:type="dxa"/>
            <w:tcBorders/>
          </w:tcPr>
          <w:p>
            <w:pPr>
              <w:pStyle w:val="Normal"/>
              <w:widowControl w:val="false"/>
              <w:spacing w:lineRule="auto" w:line="276" w:before="0" w:after="120"/>
              <w:rPr/>
            </w:pPr>
            <w:r>
              <w:rPr>
                <w:rFonts w:eastAsia="Times New Roman" w:cs="Times New Roman"/>
                <w:b/>
                <w:sz w:val="19"/>
              </w:rPr>
              <w:t>0,041</w:t>
            </w:r>
          </w:p>
        </w:tc>
        <w:tc>
          <w:tcPr>
            <w:tcW w:w="1518" w:type="dxa"/>
            <w:tcBorders/>
          </w:tcPr>
          <w:p>
            <w:pPr>
              <w:pStyle w:val="Normal"/>
              <w:widowControl w:val="false"/>
              <w:spacing w:lineRule="auto" w:line="276" w:before="0" w:after="120"/>
              <w:rPr/>
            </w:pPr>
            <w:r>
              <w:rPr>
                <w:rFonts w:eastAsia="Times New Roman" w:cs="Times New Roman"/>
                <w:sz w:val="19"/>
              </w:rPr>
              <w:t>0,585</w:t>
            </w:r>
          </w:p>
        </w:tc>
        <w:tc>
          <w:tcPr>
            <w:tcW w:w="1517" w:type="dxa"/>
            <w:tcBorders/>
          </w:tcPr>
          <w:p>
            <w:pPr>
              <w:pStyle w:val="Normal"/>
              <w:widowControl w:val="false"/>
              <w:spacing w:lineRule="auto" w:line="276" w:before="0" w:after="120"/>
              <w:rPr/>
            </w:pPr>
            <w:r>
              <w:rPr>
                <w:rFonts w:eastAsia="Times New Roman" w:cs="Times New Roman"/>
                <w:sz w:val="19"/>
              </w:rPr>
              <w:t>0,108</w:t>
            </w:r>
          </w:p>
        </w:tc>
        <w:tc>
          <w:tcPr>
            <w:tcW w:w="1516" w:type="dxa"/>
            <w:tcBorders/>
          </w:tcPr>
          <w:p>
            <w:pPr>
              <w:pStyle w:val="Normal"/>
              <w:widowControl w:val="false"/>
              <w:spacing w:lineRule="auto" w:line="276" w:before="0" w:after="120"/>
              <w:rPr/>
            </w:pPr>
            <w:r>
              <w:rPr>
                <w:rFonts w:eastAsia="Times New Roman" w:cs="Times New Roman"/>
                <w:sz w:val="19"/>
              </w:rPr>
              <w:t>0,212</w:t>
            </w:r>
          </w:p>
        </w:tc>
        <w:tc>
          <w:tcPr>
            <w:tcW w:w="1518" w:type="dxa"/>
            <w:tcBorders/>
          </w:tcPr>
          <w:p>
            <w:pPr>
              <w:pStyle w:val="Normal"/>
              <w:widowControl w:val="false"/>
              <w:spacing w:lineRule="auto" w:line="276" w:before="0" w:after="120"/>
              <w:rPr/>
            </w:pPr>
            <w:r>
              <w:rPr>
                <w:rFonts w:eastAsia="Times New Roman" w:cs="Times New Roman"/>
                <w:sz w:val="19"/>
              </w:rPr>
              <w:t>0,151</w:t>
            </w:r>
          </w:p>
        </w:tc>
      </w:tr>
      <w:tr>
        <w:trPr/>
        <w:tc>
          <w:tcPr>
            <w:tcW w:w="1517" w:type="dxa"/>
            <w:tcBorders/>
          </w:tcPr>
          <w:p>
            <w:pPr>
              <w:pStyle w:val="Normal"/>
              <w:widowControl w:val="false"/>
              <w:spacing w:lineRule="auto" w:line="276" w:before="0" w:after="120"/>
              <w:rPr/>
            </w:pPr>
            <w:r>
              <w:rPr>
                <w:rFonts w:eastAsia="Times New Roman" w:cs="Times New Roman"/>
                <w:sz w:val="19"/>
              </w:rPr>
              <w:t>VIF ↑</w:t>
            </w:r>
          </w:p>
        </w:tc>
        <w:tc>
          <w:tcPr>
            <w:tcW w:w="1516" w:type="dxa"/>
            <w:tcBorders/>
          </w:tcPr>
          <w:p>
            <w:pPr>
              <w:pStyle w:val="Normal"/>
              <w:widowControl w:val="false"/>
              <w:spacing w:lineRule="auto" w:line="276" w:before="0" w:after="120"/>
              <w:rPr/>
            </w:pPr>
            <w:r>
              <w:rPr>
                <w:rFonts w:eastAsia="Times New Roman" w:cs="Times New Roman"/>
                <w:b/>
                <w:sz w:val="19"/>
              </w:rPr>
              <w:t>0,368</w:t>
            </w:r>
          </w:p>
        </w:tc>
        <w:tc>
          <w:tcPr>
            <w:tcW w:w="1518" w:type="dxa"/>
            <w:tcBorders/>
          </w:tcPr>
          <w:p>
            <w:pPr>
              <w:pStyle w:val="Normal"/>
              <w:widowControl w:val="false"/>
              <w:spacing w:lineRule="auto" w:line="276" w:before="0" w:after="120"/>
              <w:rPr/>
            </w:pPr>
            <w:r>
              <w:rPr>
                <w:rFonts w:eastAsia="Times New Roman" w:cs="Times New Roman"/>
                <w:sz w:val="19"/>
              </w:rPr>
              <w:t>0,334</w:t>
            </w:r>
          </w:p>
        </w:tc>
        <w:tc>
          <w:tcPr>
            <w:tcW w:w="1517" w:type="dxa"/>
            <w:tcBorders/>
          </w:tcPr>
          <w:p>
            <w:pPr>
              <w:pStyle w:val="Normal"/>
              <w:widowControl w:val="false"/>
              <w:spacing w:lineRule="auto" w:line="276" w:before="0" w:after="120"/>
              <w:rPr/>
            </w:pPr>
            <w:r>
              <w:rPr>
                <w:rFonts w:eastAsia="Times New Roman" w:cs="Times New Roman"/>
                <w:sz w:val="19"/>
              </w:rPr>
              <w:t>0,410</w:t>
            </w:r>
          </w:p>
        </w:tc>
        <w:tc>
          <w:tcPr>
            <w:tcW w:w="1516" w:type="dxa"/>
            <w:tcBorders/>
          </w:tcPr>
          <w:p>
            <w:pPr>
              <w:pStyle w:val="Normal"/>
              <w:widowControl w:val="false"/>
              <w:spacing w:lineRule="auto" w:line="276" w:before="0" w:after="120"/>
              <w:rPr/>
            </w:pPr>
            <w:r>
              <w:rPr>
                <w:rFonts w:eastAsia="Times New Roman" w:cs="Times New Roman"/>
                <w:sz w:val="19"/>
              </w:rPr>
              <w:t>0,384</w:t>
            </w:r>
          </w:p>
        </w:tc>
        <w:tc>
          <w:tcPr>
            <w:tcW w:w="1518" w:type="dxa"/>
            <w:tcBorders/>
          </w:tcPr>
          <w:p>
            <w:pPr>
              <w:pStyle w:val="Normal"/>
              <w:widowControl w:val="false"/>
              <w:spacing w:lineRule="auto" w:line="276" w:before="0" w:after="120"/>
              <w:rPr/>
            </w:pPr>
            <w:r>
              <w:rPr>
                <w:rFonts w:eastAsia="Times New Roman" w:cs="Times New Roman"/>
                <w:sz w:val="19"/>
              </w:rPr>
              <w:t>0,360</w:t>
            </w:r>
          </w:p>
        </w:tc>
      </w:tr>
      <w:tr>
        <w:trPr/>
        <w:tc>
          <w:tcPr>
            <w:tcW w:w="1517" w:type="dxa"/>
            <w:tcBorders/>
          </w:tcPr>
          <w:p>
            <w:pPr>
              <w:pStyle w:val="Normal"/>
              <w:widowControl w:val="false"/>
              <w:spacing w:lineRule="auto" w:line="276" w:before="0" w:after="120"/>
              <w:rPr/>
            </w:pPr>
            <w:r>
              <w:rPr>
                <w:rFonts w:eastAsia="Times New Roman" w:cs="Times New Roman"/>
                <w:sz w:val="19"/>
              </w:rPr>
              <w:t>SD ↑</w:t>
            </w:r>
          </w:p>
        </w:tc>
        <w:tc>
          <w:tcPr>
            <w:tcW w:w="1516" w:type="dxa"/>
            <w:tcBorders/>
          </w:tcPr>
          <w:p>
            <w:pPr>
              <w:pStyle w:val="Normal"/>
              <w:widowControl w:val="false"/>
              <w:spacing w:lineRule="auto" w:line="276" w:before="0" w:after="120"/>
              <w:rPr/>
            </w:pPr>
            <w:r>
              <w:rPr>
                <w:rFonts w:eastAsia="Times New Roman" w:cs="Times New Roman"/>
                <w:b/>
                <w:sz w:val="19"/>
              </w:rPr>
              <w:t>0,117</w:t>
            </w:r>
          </w:p>
        </w:tc>
        <w:tc>
          <w:tcPr>
            <w:tcW w:w="1518" w:type="dxa"/>
            <w:tcBorders/>
          </w:tcPr>
          <w:p>
            <w:pPr>
              <w:pStyle w:val="Normal"/>
              <w:widowControl w:val="false"/>
              <w:spacing w:lineRule="auto" w:line="276" w:before="0" w:after="120"/>
              <w:rPr/>
            </w:pPr>
            <w:r>
              <w:rPr>
                <w:rFonts w:eastAsia="Times New Roman" w:cs="Times New Roman"/>
                <w:sz w:val="19"/>
              </w:rPr>
              <w:t>0,139</w:t>
            </w:r>
          </w:p>
        </w:tc>
        <w:tc>
          <w:tcPr>
            <w:tcW w:w="1517" w:type="dxa"/>
            <w:tcBorders/>
          </w:tcPr>
          <w:p>
            <w:pPr>
              <w:pStyle w:val="Normal"/>
              <w:widowControl w:val="false"/>
              <w:spacing w:lineRule="auto" w:line="276" w:before="0" w:after="120"/>
              <w:rPr/>
            </w:pPr>
            <w:r>
              <w:rPr>
                <w:rFonts w:eastAsia="Times New Roman" w:cs="Times New Roman"/>
                <w:sz w:val="19"/>
              </w:rPr>
              <w:t>0,155</w:t>
            </w:r>
          </w:p>
        </w:tc>
        <w:tc>
          <w:tcPr>
            <w:tcW w:w="1516" w:type="dxa"/>
            <w:tcBorders/>
          </w:tcPr>
          <w:p>
            <w:pPr>
              <w:pStyle w:val="Normal"/>
              <w:widowControl w:val="false"/>
              <w:spacing w:lineRule="auto" w:line="276" w:before="0" w:after="120"/>
              <w:rPr/>
            </w:pPr>
            <w:r>
              <w:rPr>
                <w:rFonts w:eastAsia="Times New Roman" w:cs="Times New Roman"/>
                <w:sz w:val="19"/>
              </w:rPr>
              <w:t>0,130</w:t>
            </w:r>
          </w:p>
        </w:tc>
        <w:tc>
          <w:tcPr>
            <w:tcW w:w="1518" w:type="dxa"/>
            <w:tcBorders/>
          </w:tcPr>
          <w:p>
            <w:pPr>
              <w:pStyle w:val="Normal"/>
              <w:widowControl w:val="false"/>
              <w:spacing w:lineRule="auto" w:line="276" w:before="0" w:after="120"/>
              <w:rPr/>
            </w:pPr>
            <w:r>
              <w:rPr>
                <w:rFonts w:eastAsia="Times New Roman" w:cs="Times New Roman"/>
                <w:sz w:val="19"/>
              </w:rPr>
              <w:t>0,120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Propuesta Novedosa (PSO: r = 25, m = 0,070) frente a la metodología clásica Top-Hat y al estado del arte en las métricas estándar de calidad.</w:t>
      </w:r>
    </w:p>
    <w:p>
      <w:pPr>
        <w:pStyle w:val="Normal"/>
        <w:spacing w:lineRule="auto" w:line="360"/>
        <w:ind w:firstLine="709"/>
        <w:jc w:val="both"/>
        <w:rPr/>
      </w:pPr>
      <w:r>
        <w:rPr>
          <w:rFonts w:eastAsia="Times New Roman" w:cs="Times New Roman"/>
        </w:rPr>
        <w:t xml:space="preserve">La Figura 11 resume la optimización del método. El panel izquierdo muestra la convergencia del mejor global según el número de partículas (Tmax = 50): los enjambres grandes escapan del óptimo local r = 1 y alcanzan la aptitud máxima F = 1,9843. El panel derecho y la Tabla 11 sintetizan el barrido de 25 configuraciones: el óptimo global (r = 25, m = 0,070) es alcanzado por seis configuraciones y de forma consistente por los enjambres de 10 partículas con 30 o más iteraciones; la contribución de los elementos estructurantes lineales sobre el disco reside en la cobertura de orientaciones.</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11. Convergencia del PSO según el número de partículas (izq.) y aptitud del barrido de configuraciones (der.), sobre tres escenas representativas.</w:t>
      </w:r>
    </w:p>
    <w:p>
      <w:pPr>
        <w:pStyle w:val="Normal"/>
        <w:spacing w:lineRule="auto" w:line="276"/>
        <w:jc w:val="both"/>
        <w:rPr/>
      </w:pPr>
      <w:r>
        <w:rPr>
          <w:rFonts w:eastAsia="Times New Roman" w:cs="Times New Roman"/>
          <w:i/>
          <w:sz w:val="18"/>
        </w:rPr>
        <w:t>Tabla 11. Barrido de configuraciones del PSO: mejor aptitud F por combinación de partículas (n) e iteraciones (T).</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1,9686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1,9287</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1,9723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1,9728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1,9464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1,9799</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1,9839</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1,9822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r>
    </w:tbl>
    <w:p>
      <w:pPr>
        <w:pStyle w:val="Normal"/>
        <w:spacing w:lineRule="auto" w:line="276"/>
        <w:rPr/>
      </w:pPr>
      <w:r>
        <w:rPr/>
      </w:r>
    </w:p>
    <w:p>
      <w:pPr>
        <w:pStyle w:val="Normal"/>
        <w:spacing w:lineRule="auto" w:line="360"/>
        <w:ind w:firstLine="709"/>
        <w:jc w:val="both"/>
        <w:rPr/>
      </w:pPr>
      <w:r>
        <w:rPr>
          <w:i/>
          <w:iCs/>
          <w:rFonts w:eastAsia="Times New Roman" w:cs="Times New Roman"/>
        </w:rPr>
        <w:t xml:space="preserve">Ablación de la función de aptitud. </w:t>
      </w:r>
      <w:r>
        <w:rPr>
          <w:iCs/>
          <w:rFonts w:eastAsia="Times New Roman" w:cs="Times New Roman"/>
        </w:rPr>
        <w:t xml:space="preserve">A pedido de la revisión de avances, el barrido de 25 configuraciones se repitió con la función objetivo del trabajo de referencia, Fo = SSIMavg + En + PSNRn (Ortega y Espinoza, 2025), con su rango original m ∈ [0,3; 2,0], tanto sobre la propuesta como sobre el operador clásico. En las 50 corridas el peso óptimo se ubicó en el límite inferior del rango (m* = 0,30): los dos términos de fidelidad de Fo dominan a la entropía y empujan el realce al mínimo permitido. Sobre la propuesta, Fo seleccionó además r* = 1, un óptimo trivial que desactiva en la práctica el banco de elementos estructurantes.</w:t>
      </w:r>
    </w:p>
    <w:p>
      <w:pPr>
        <w:pStyle w:val="Normal"/>
        <w:spacing w:lineRule="auto" w:line="360"/>
        <w:ind w:firstLine="709"/>
        <w:jc w:val="both"/>
        <w:rPr/>
      </w:pPr>
      <w:r>
        <w:rPr>
          <w:iCs/>
          <w:rFonts w:eastAsia="Times New Roman" w:cs="Times New Roman"/>
        </w:rPr>
        <w:t xml:space="preserve">La Figura 12 muestra el paisaje de aptitud en función de m (con r = 25) sin restricciones de rango: ambas funciones decrecen monótonamente para m ≥ 0,2, de modo que ningún tamaño de enjambre ni número de iteraciones puede converger dentro de [0,5; 2,0]; y el máximo real de Fo sobre la propuesta se ubica en m ≈ 0,07, coincidente con el óptimo de la aptitud orientada a la fusión (m = 0,0703): ambas formulaciones acuerdan el peso adecuado para el operador con suma de ramas.</w:t>
      </w:r>
    </w:p>
    <w:p>
      <w:pPr>
        <w:pStyle w:val="Normal"/>
        <w:spacing w:lineRule="auto" w:line="276"/>
        <w:jc w:val="center"/>
        <w:rPr/>
      </w:pPr>
      <w:r>
        <w:rPr/>
        <w:drawing>
          <wp:inline distT="0" distB="0" distL="0" distR="0">
            <wp:extent cx="5760720" cy="3023475"/>
            <wp:effectExtent l="0" t="0" r="0" b="0"/>
            <wp:docPr id="9911" name="fig_aptitud_vs_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1"/>
                    <a:stretch>
                      <a:fillRect/>
                    </a:stretch>
                  </pic:blipFill>
                  <pic:spPr bwMode="auto">
                    <a:xfrm>
                      <a:off x="0" y="0"/>
                      <a:ext cx="5760720" cy="3023475"/>
                    </a:xfrm>
                    <a:prstGeom prst="rect">
                      <a:avLst/>
                    </a:prstGeom>
                    <a:noFill/>
                  </pic:spPr>
                </pic:pic>
              </a:graphicData>
            </a:graphic>
          </wp:inline>
        </w:drawing>
      </w:r>
    </w:p>
    <w:p>
      <w:pPr>
        <w:pStyle w:val="Normal"/>
        <w:spacing w:lineRule="auto" w:line="276"/>
        <w:jc w:val="both"/>
        <w:rPr/>
      </w:pPr>
      <w:r>
        <w:rPr>
          <w:rFonts w:eastAsia="Times New Roman" w:cs="Times New Roman"/>
          <w:i/>
          <w:sz w:val="18"/>
        </w:rPr>
        <w:t xml:space="preserve">Figura 12. Aptitud en función del peso de contraste m (r = 25), sin restricciones de rango: F_apt de la tesis y Fo del trabajo de referencia sobre ambos operadores.</w:t>
      </w:r>
    </w:p>
    <w:p>
      <w:pPr>
        <w:pStyle w:val="Normal"/>
        <w:spacing w:lineRule="auto" w:line="276"/>
        <w:jc w:val="both"/>
        <w:rPr/>
      </w:pPr>
      <w:r>
        <w:rPr>
          <w:rFonts w:eastAsia="Times New Roman" w:cs="Times New Roman"/>
          <w:i/>
          <w:sz w:val="18"/>
        </w:rPr>
        <w:t xml:space="preserve">Tabla 12. Ablación de la función de aptitud: óptimos de F_apt y de Fo evaluados sobre los 20 pares (medias).</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248"/>
        <w:gridCol w:w="1248"/>
        <w:gridCol w:w="1248"/>
        <w:gridCol w:w="1248"/>
        <w:gridCol w:w="1248"/>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Variante</w:t>
            </w:r>
          </w:p>
        </w:tc>
        <w:tc>
          <w:tcPr>
            <w:tcW w:w="1248" w:type="dxa"/>
            <w:tcBorders/>
            <w:shd w:val="clear" w:fill="F2F2F2"/>
          </w:tcPr>
          <w:p>
            <w:pPr>
              <w:pStyle w:val="Normal"/>
              <w:widowControl w:val="false"/>
              <w:spacing w:lineRule="auto" w:line="276" w:before="0" w:after="120"/>
              <w:rPr/>
            </w:pPr>
            <w:r>
              <w:rPr>
                <w:rFonts w:eastAsia="Times New Roman" w:cs="Times New Roman"/>
                <w:b/>
                <w:sz w:val="19"/>
              </w:rPr>
              <w:t>Qabf ↑</w:t>
            </w:r>
          </w:p>
        </w:tc>
        <w:tc>
          <w:tcPr>
            <w:tcW w:w="1248" w:type="dxa"/>
            <w:tcBorders/>
            <w:shd w:val="clear" w:fill="F2F2F2"/>
          </w:tcPr>
          <w:p>
            <w:pPr>
              <w:pStyle w:val="Normal"/>
              <w:widowControl w:val="false"/>
              <w:spacing w:lineRule="auto" w:line="276" w:before="0" w:after="120"/>
              <w:rPr/>
            </w:pPr>
            <w:r>
              <w:rPr>
                <w:rFonts w:eastAsia="Times New Roman" w:cs="Times New Roman"/>
                <w:b/>
                <w:sz w:val="19"/>
              </w:rPr>
              <w:t>Nabf ↓</w:t>
            </w:r>
          </w:p>
        </w:tc>
        <w:tc>
          <w:tcPr>
            <w:tcW w:w="1248" w:type="dxa"/>
            <w:tcBorders/>
            <w:shd w:val="clear" w:fill="F2F2F2"/>
          </w:tcPr>
          <w:p>
            <w:pPr>
              <w:pStyle w:val="Normal"/>
              <w:widowControl w:val="false"/>
              <w:spacing w:lineRule="auto" w:line="276" w:before="0" w:after="120"/>
              <w:rPr/>
            </w:pPr>
            <w:r>
              <w:rPr>
                <w:rFonts w:eastAsia="Times New Roman" w:cs="Times New Roman"/>
                <w:b/>
                <w:sz w:val="19"/>
              </w:rPr>
              <w:t>SSIM ↑</w:t>
            </w:r>
          </w:p>
        </w:tc>
        <w:tc>
          <w:tcPr>
            <w:tcW w:w="1248" w:type="dxa"/>
            <w:tcBorders/>
            <w:shd w:val="clear" w:fill="F2F2F2"/>
          </w:tcPr>
          <w:p>
            <w:pPr>
              <w:pStyle w:val="Normal"/>
              <w:widowControl w:val="false"/>
              <w:spacing w:lineRule="auto" w:line="276" w:before="0" w:after="120"/>
              <w:rPr/>
            </w:pPr>
            <w:r>
              <w:rPr>
                <w:rFonts w:eastAsia="Times New Roman" w:cs="Times New Roman"/>
                <w:b/>
                <w:sz w:val="19"/>
              </w:rPr>
              <w:t>SCD ↑</w:t>
            </w:r>
          </w:p>
        </w:tc>
        <w:tc>
          <w:tcPr>
            <w:tcW w:w="1248" w:type="dxa"/>
            <w:tcBorders/>
            <w:shd w:val="clear" w:fill="F2F2F2"/>
          </w:tcPr>
          <w:p>
            <w:pPr>
              <w:pStyle w:val="Normal"/>
              <w:widowControl w:val="false"/>
              <w:spacing w:lineRule="auto" w:line="276" w:before="0" w:after="120"/>
              <w:rPr/>
            </w:pPr>
            <w:r>
              <w:rPr>
                <w:rFonts w:eastAsia="Times New Roman" w:cs="Times New Roman"/>
                <w:b/>
                <w:sz w:val="19"/>
              </w:rPr>
              <w:t>VIF ↑</w:t>
            </w:r>
          </w:p>
        </w:tc>
      </w:tr>
      <w:tr>
        <w:trPr/>
        <w:tc>
          <w:tcPr>
            <w:tcW w:w="3120" w:type="dxa"/>
            <w:tcBorders/>
          </w:tcPr>
          <w:p>
            <w:pPr>
              <w:pStyle w:val="Normal"/>
              <w:widowControl w:val="false"/>
              <w:spacing w:lineRule="auto" w:line="276" w:before="0" w:after="120"/>
              <w:rPr/>
            </w:pPr>
            <w:r>
              <w:rPr>
                <w:b/>
                <w:rFonts w:eastAsia="Times New Roman" w:cs="Times New Roman"/>
                <w:sz w:val="19"/>
              </w:rPr>
              <w:t>Propuesta + F_apt (r = 25; m = 0,070)</w:t>
            </w:r>
          </w:p>
        </w:tc>
        <w:tc>
          <w:tcPr>
            <w:tcW w:w="1248" w:type="dxa"/>
            <w:tcBorders/>
          </w:tcPr>
          <w:p>
            <w:pPr>
              <w:pStyle w:val="Normal"/>
              <w:widowControl w:val="false"/>
              <w:spacing w:lineRule="auto" w:line="276" w:before="0" w:after="120"/>
              <w:rPr/>
            </w:pPr>
            <w:r>
              <w:rPr>
                <w:rFonts w:eastAsia="Times New Roman" w:cs="Times New Roman"/>
                <w:sz w:val="19"/>
              </w:rPr>
              <w:t>0,500</w:t>
            </w:r>
          </w:p>
        </w:tc>
        <w:tc>
          <w:tcPr>
            <w:tcW w:w="1248" w:type="dxa"/>
            <w:tcBorders/>
          </w:tcPr>
          <w:p>
            <w:pPr>
              <w:pStyle w:val="Normal"/>
              <w:widowControl w:val="false"/>
              <w:spacing w:lineRule="auto" w:line="276" w:before="0" w:after="120"/>
              <w:rPr/>
            </w:pPr>
            <w:r>
              <w:rPr>
                <w:b/>
                <w:rFonts w:eastAsia="Times New Roman" w:cs="Times New Roman"/>
                <w:sz w:val="19"/>
              </w:rPr>
              <w:t>0,041</w:t>
            </w:r>
          </w:p>
        </w:tc>
        <w:tc>
          <w:tcPr>
            <w:tcW w:w="1248" w:type="dxa"/>
            <w:tcBorders/>
          </w:tcPr>
          <w:p>
            <w:pPr>
              <w:pStyle w:val="Normal"/>
              <w:widowControl w:val="false"/>
              <w:spacing w:lineRule="auto" w:line="276" w:before="0" w:after="120"/>
              <w:rPr/>
            </w:pPr>
            <w:r>
              <w:rPr>
                <w:b/>
                <w:rFonts w:eastAsia="Times New Roman" w:cs="Times New Roman"/>
                <w:sz w:val="19"/>
              </w:rPr>
              <w:t>0,782</w:t>
            </w:r>
          </w:p>
        </w:tc>
        <w:tc>
          <w:tcPr>
            <w:tcW w:w="1248" w:type="dxa"/>
            <w:tcBorders/>
          </w:tcPr>
          <w:p>
            <w:pPr>
              <w:pStyle w:val="Normal"/>
              <w:widowControl w:val="false"/>
              <w:spacing w:lineRule="auto" w:line="276" w:before="0" w:after="120"/>
              <w:rPr/>
            </w:pPr>
            <w:r>
              <w:rPr>
                <w:rFonts w:eastAsia="Times New Roman" w:cs="Times New Roman"/>
                <w:sz w:val="19"/>
              </w:rPr>
              <w:t>1,450</w:t>
            </w:r>
          </w:p>
        </w:tc>
        <w:tc>
          <w:tcPr>
            <w:tcW w:w="1248" w:type="dxa"/>
            <w:tcBorders/>
          </w:tcPr>
          <w:p>
            <w:pPr>
              <w:pStyle w:val="Normal"/>
              <w:widowControl w:val="false"/>
              <w:spacing w:lineRule="auto" w:line="276" w:before="0" w:after="120"/>
              <w:rPr/>
            </w:pPr>
            <w:r>
              <w:rPr>
                <w:rFonts w:eastAsia="Times New Roman" w:cs="Times New Roman"/>
                <w:sz w:val="19"/>
              </w:rPr>
              <w:t>0,368</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 Fo (r = 25; m = 0,30)</w:t>
            </w:r>
          </w:p>
        </w:tc>
        <w:tc>
          <w:tcPr>
            <w:tcW w:w="1248" w:type="dxa"/>
            <w:tcBorders/>
          </w:tcPr>
          <w:p>
            <w:pPr>
              <w:pStyle w:val="Normal"/>
              <w:widowControl w:val="false"/>
              <w:spacing w:lineRule="auto" w:line="276" w:before="0" w:after="120"/>
              <w:rPr/>
            </w:pPr>
            <w:r>
              <w:rPr>
                <w:b/>
                <w:rFonts w:eastAsia="Times New Roman" w:cs="Times New Roman"/>
                <w:sz w:val="19"/>
              </w:rPr>
              <w:t>0,534</w:t>
            </w:r>
          </w:p>
        </w:tc>
        <w:tc>
          <w:tcPr>
            <w:tcW w:w="1248" w:type="dxa"/>
            <w:tcBorders/>
          </w:tcPr>
          <w:p>
            <w:pPr>
              <w:pStyle w:val="Normal"/>
              <w:widowControl w:val="false"/>
              <w:spacing w:lineRule="auto" w:line="276" w:before="0" w:after="120"/>
              <w:rPr/>
            </w:pPr>
            <w:r>
              <w:rPr>
                <w:rFonts w:eastAsia="Times New Roman" w:cs="Times New Roman"/>
                <w:sz w:val="19"/>
              </w:rPr>
              <w:t>0,184</w:t>
            </w:r>
          </w:p>
        </w:tc>
        <w:tc>
          <w:tcPr>
            <w:tcW w:w="1248" w:type="dxa"/>
            <w:tcBorders/>
          </w:tcPr>
          <w:p>
            <w:pPr>
              <w:pStyle w:val="Normal"/>
              <w:widowControl w:val="false"/>
              <w:spacing w:lineRule="auto" w:line="276" w:before="0" w:after="120"/>
              <w:rPr/>
            </w:pPr>
            <w:r>
              <w:rPr>
                <w:rFonts w:eastAsia="Times New Roman" w:cs="Times New Roman"/>
                <w:sz w:val="19"/>
              </w:rPr>
              <w:t>0,745</w:t>
            </w:r>
          </w:p>
        </w:tc>
        <w:tc>
          <w:tcPr>
            <w:tcW w:w="1248" w:type="dxa"/>
            <w:tcBorders/>
          </w:tcPr>
          <w:p>
            <w:pPr>
              <w:pStyle w:val="Normal"/>
              <w:widowControl w:val="false"/>
              <w:spacing w:lineRule="auto" w:line="276" w:before="0" w:after="120"/>
              <w:rPr/>
            </w:pPr>
            <w:r>
              <w:rPr>
                <w:b/>
                <w:rFonts w:eastAsia="Times New Roman" w:cs="Times New Roman"/>
                <w:sz w:val="19"/>
              </w:rPr>
              <w:t>1,504</w:t>
            </w:r>
          </w:p>
        </w:tc>
        <w:tc>
          <w:tcPr>
            <w:tcW w:w="1248" w:type="dxa"/>
            <w:tcBorders/>
          </w:tcPr>
          <w:p>
            <w:pPr>
              <w:pStyle w:val="Normal"/>
              <w:widowControl w:val="false"/>
              <w:spacing w:lineRule="auto" w:line="276" w:before="0" w:after="120"/>
              <w:rPr/>
            </w:pPr>
            <w:r>
              <w:rPr>
                <w:b/>
                <w:rFonts w:eastAsia="Times New Roman" w:cs="Times New Roman"/>
                <w:sz w:val="19"/>
              </w:rPr>
              <w:t>0,395</w:t>
            </w:r>
          </w:p>
        </w:tc>
      </w:tr>
      <w:tr>
        <w:trPr/>
        <w:tc>
          <w:tcPr>
            <w:tcW w:w="3120" w:type="dxa"/>
            <w:tcBorders/>
          </w:tcPr>
          <w:p>
            <w:pPr>
              <w:pStyle w:val="Normal"/>
              <w:widowControl w:val="false"/>
              <w:spacing w:lineRule="auto" w:line="276" w:before="0" w:after="120"/>
              <w:rPr/>
            </w:pPr>
            <w:r>
              <w:rPr>
                <w:rFonts w:eastAsia="Times New Roman" w:cs="Times New Roman"/>
                <w:sz w:val="19"/>
              </w:rPr>
              <w:t>Propuesta + Fo (r = 1; m = 0,30)</w:t>
            </w:r>
          </w:p>
        </w:tc>
        <w:tc>
          <w:tcPr>
            <w:tcW w:w="1248" w:type="dxa"/>
            <w:tcBorders/>
          </w:tcPr>
          <w:p>
            <w:pPr>
              <w:pStyle w:val="Normal"/>
              <w:widowControl w:val="false"/>
              <w:spacing w:lineRule="auto" w:line="276" w:before="0" w:after="120"/>
              <w:rPr/>
            </w:pPr>
            <w:r>
              <w:rPr>
                <w:rFonts w:eastAsia="Times New Roman" w:cs="Times New Roman"/>
                <w:sz w:val="19"/>
              </w:rPr>
              <w:t>0,448</w:t>
            </w:r>
          </w:p>
        </w:tc>
        <w:tc>
          <w:tcPr>
            <w:tcW w:w="1248" w:type="dxa"/>
            <w:tcBorders/>
          </w:tcPr>
          <w:p>
            <w:pPr>
              <w:pStyle w:val="Normal"/>
              <w:widowControl w:val="false"/>
              <w:spacing w:lineRule="auto" w:line="276" w:before="0" w:after="120"/>
              <w:rPr/>
            </w:pPr>
            <w:r>
              <w:rPr>
                <w:rFonts w:eastAsia="Times New Roman" w:cs="Times New Roman"/>
                <w:sz w:val="19"/>
              </w:rPr>
              <w:t>0,121</w:t>
            </w:r>
          </w:p>
        </w:tc>
        <w:tc>
          <w:tcPr>
            <w:tcW w:w="1248" w:type="dxa"/>
            <w:tcBorders/>
          </w:tcPr>
          <w:p>
            <w:pPr>
              <w:pStyle w:val="Normal"/>
              <w:widowControl w:val="false"/>
              <w:spacing w:lineRule="auto" w:line="276" w:before="0" w:after="120"/>
              <w:rPr/>
            </w:pPr>
            <w:r>
              <w:rPr>
                <w:rFonts w:eastAsia="Times New Roman" w:cs="Times New Roman"/>
                <w:sz w:val="19"/>
              </w:rPr>
              <w:t>0,761</w:t>
            </w:r>
          </w:p>
        </w:tc>
        <w:tc>
          <w:tcPr>
            <w:tcW w:w="1248" w:type="dxa"/>
            <w:tcBorders/>
          </w:tcPr>
          <w:p>
            <w:pPr>
              <w:pStyle w:val="Normal"/>
              <w:widowControl w:val="false"/>
              <w:spacing w:lineRule="auto" w:line="276" w:before="0" w:after="120"/>
              <w:rPr/>
            </w:pPr>
            <w:r>
              <w:rPr>
                <w:rFonts w:eastAsia="Times New Roman" w:cs="Times New Roman"/>
                <w:sz w:val="19"/>
              </w:rPr>
              <w:t>1,353</w:t>
            </w:r>
          </w:p>
        </w:tc>
        <w:tc>
          <w:tcPr>
            <w:tcW w:w="1248" w:type="dxa"/>
            <w:tcBorders/>
          </w:tcPr>
          <w:p>
            <w:pPr>
              <w:pStyle w:val="Normal"/>
              <w:widowControl w:val="false"/>
              <w:spacing w:lineRule="auto" w:line="276" w:before="0" w:after="120"/>
              <w:rPr/>
            </w:pPr>
            <w:r>
              <w:rPr>
                <w:rFonts w:eastAsia="Times New Roman" w:cs="Times New Roman"/>
                <w:sz w:val="19"/>
              </w:rPr>
              <w:t>0,322</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manual (r = 5; m = 1)</w:t>
            </w:r>
          </w:p>
        </w:tc>
        <w:tc>
          <w:tcPr>
            <w:tcW w:w="1248" w:type="dxa"/>
            <w:tcBorders/>
          </w:tcPr>
          <w:p>
            <w:pPr>
              <w:pStyle w:val="Normal"/>
              <w:widowControl w:val="false"/>
              <w:spacing w:lineRule="auto" w:line="276" w:before="0" w:after="120"/>
              <w:rPr/>
            </w:pPr>
            <w:r>
              <w:rPr>
                <w:rFonts w:eastAsia="Times New Roman" w:cs="Times New Roman"/>
                <w:sz w:val="19"/>
              </w:rPr>
              <w:t>0,305</w:t>
            </w:r>
          </w:p>
        </w:tc>
        <w:tc>
          <w:tcPr>
            <w:tcW w:w="1248" w:type="dxa"/>
            <w:tcBorders/>
          </w:tcPr>
          <w:p>
            <w:pPr>
              <w:pStyle w:val="Normal"/>
              <w:widowControl w:val="false"/>
              <w:spacing w:lineRule="auto" w:line="276" w:before="0" w:after="120"/>
              <w:rPr/>
            </w:pPr>
            <w:r>
              <w:rPr>
                <w:rFonts w:eastAsia="Times New Roman" w:cs="Times New Roman"/>
                <w:sz w:val="19"/>
              </w:rPr>
              <w:t>0,585</w:t>
            </w:r>
          </w:p>
        </w:tc>
        <w:tc>
          <w:tcPr>
            <w:tcW w:w="1248" w:type="dxa"/>
            <w:tcBorders/>
          </w:tcPr>
          <w:p>
            <w:pPr>
              <w:pStyle w:val="Normal"/>
              <w:widowControl w:val="false"/>
              <w:spacing w:lineRule="auto" w:line="276" w:before="0" w:after="120"/>
              <w:rPr/>
            </w:pPr>
            <w:r>
              <w:rPr>
                <w:rFonts w:eastAsia="Times New Roman" w:cs="Times New Roman"/>
                <w:sz w:val="19"/>
              </w:rPr>
              <w:t>0,578</w:t>
            </w:r>
          </w:p>
        </w:tc>
        <w:tc>
          <w:tcPr>
            <w:tcW w:w="1248" w:type="dxa"/>
            <w:tcBorders/>
          </w:tcPr>
          <w:p>
            <w:pPr>
              <w:pStyle w:val="Normal"/>
              <w:widowControl w:val="false"/>
              <w:spacing w:lineRule="auto" w:line="276" w:before="0" w:after="120"/>
              <w:rPr/>
            </w:pPr>
            <w:r>
              <w:rPr>
                <w:rFonts w:eastAsia="Times New Roman" w:cs="Times New Roman"/>
                <w:sz w:val="19"/>
              </w:rPr>
              <w:t>1,360</w:t>
            </w:r>
          </w:p>
        </w:tc>
        <w:tc>
          <w:tcPr>
            <w:tcW w:w="1248" w:type="dxa"/>
            <w:tcBorders/>
          </w:tcPr>
          <w:p>
            <w:pPr>
              <w:pStyle w:val="Normal"/>
              <w:widowControl w:val="false"/>
              <w:spacing w:lineRule="auto" w:line="276" w:before="0" w:after="120"/>
              <w:rPr/>
            </w:pPr>
            <w:r>
              <w:rPr>
                <w:rFonts w:eastAsia="Times New Roman" w:cs="Times New Roman"/>
                <w:sz w:val="19"/>
              </w:rPr>
              <w:t>0,334</w:t>
            </w:r>
          </w:p>
        </w:tc>
      </w:tr>
    </w:tbl>
    <w:p>
      <w:pPr>
        <w:pStyle w:val="Normal"/>
        <w:spacing w:lineRule="auto" w:line="360"/>
        <w:ind w:firstLine="709"/>
        <w:jc w:val="both"/>
        <w:rPr/>
      </w:pPr>
      <w:r>
        <w:rPr>
          <w:iCs/>
          <w:rFonts w:eastAsia="Times New Roman" w:cs="Times New Roman"/>
        </w:rPr>
        <w:t xml:space="preserve">La propuesta optimizada con la aptitud orientada a la fusión conserva el mejor perfil de limpieza y estructura (Nabf = 0,041; SSIM = 0,782). El óptimo de Fo sobre el operador clásico (r = 25; m = 0,30) resulta competitivo en bordes y correlación al costo de 4,5 veces más artefactos, y el óptimo de Fo sobre la propuesta confirma su carácter trivial. Sobre los 20 pares, un contraste de Wilcoxon pareado entre ambos óptimos de la propuesta favorece a F_apt de forma significativa en 8 de las 12 métricas —las de fidelidad estructural y artefactos (Nabf, SSIM, Qabf, SCD, VIF)—, mientras que Fo solo supera en las de actividad de alta frecuencia (SF, MG, MI). La función de aptitud define el perfil del resultado: la orientada a la fusión es la adecuada para los objetivos de esta tesis, lo que refuerza H2.</w:t>
      </w:r>
    </w:p>
    <w:p>
      <w:pPr>
        <w:pStyle w:val="Normal"/>
        <w:spacing w:lineRule="auto" w:line="276"/>
        <w:jc w:val="center"/>
        <w:rPr/>
      </w:pPr>
      <w:r>
        <w:rPr/>
        <w:drawing>
          <wp:inline distT="0" distB="0" distL="0" distR="0">
            <wp:extent cx="5760720" cy="4536000"/>
            <wp:effectExtent l="0" t="0" r="0" b="0"/>
            <wp:docPr id="9913" name="comparacion_aptitu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3"/>
                    <a:stretch>
                      <a:fillRect/>
                    </a:stretch>
                  </pic:blipFill>
                  <pic:spPr bwMode="auto">
                    <a:xfrm>
                      <a:off x="0" y="0"/>
                      <a:ext cx="5760720" cy="4536000"/>
                    </a:xfrm>
                    <a:prstGeom prst="rect">
                      <a:avLst/>
                    </a:prstGeom>
                    <a:noFill/>
                  </pic:spPr>
                </pic:pic>
              </a:graphicData>
            </a:graphic>
          </wp:inline>
        </w:drawing>
      </w:r>
    </w:p>
    <w:p>
      <w:pPr>
        <w:pStyle w:val="Normal"/>
        <w:spacing w:lineRule="auto" w:line="276"/>
        <w:jc w:val="both"/>
        <w:rPr/>
      </w:pPr>
      <w:r>
        <w:rPr>
          <w:rFonts w:eastAsia="Times New Roman" w:cs="Times New Roman"/>
          <w:sz w:val="18"/>
        </w:rPr>
        <w:t xml:space="preserve">Figura 13. Efecto de la función de aptitud sobre el mismo operador (tres escenas): la tunada con Fo (r=1, m=0,30) inyecta más textura de alta frecuencia; la tunada con F_apt (r=25, m=0,070) es más limpia y estructuralmente fiel.</w:t>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 xml:space="preserve">Los hallazgos cuantitativos pueden sintetizarse en seis observaciones. Primero, la Propuesta Novedosa (r = 25, m = 0,070) exhibe el mejor perfil de calidad del benchmark: la menor tasa de artefactos (Nabf = 0,041, 2,7 veces menos que el mejor rival) y la mayor similitud estructural (SSIM = 0,782), quedando segunda en preservación de bordes (Qabf = 0,500), correlación (SCD = 1,450) y fidelidad visual (VIF = 0,368), a milésimas del líder de cada métrica, a costa de ceder contraste (SD, EN, SF). Segundo, no existe un método universalmente dominante: DTCWT lidera la preservación de bordes por una milésima, RP la correlación de diferencias y la pirámide de Laplace el contraste y la fidelidad perceptual (VIF); son óptimos de criterios distintos y complementarios. Tercero, la metodología clásica de la transformada Top-Hat evidencia el aporte de la propuesta: gana únicamente en las métricas de actividad bruta (EN, MG, SF) al costo del mayor nivel de artefactos del estudio (Nabf = 0,585) y la peor similitud estructural (SSIM = 0,578); la diferencia entre ambas aísla la contribución del banco disco + líneas y del ajuste (r, m) por PSO. Cuarto, las métricas de actividad e información premian el realce agresivo y deben reportarse junto a las de preservación de bordes y artefactos, pues por sí solas favorecerían al operador más ruidoso. Quinto, la evaluación orientada a tarea (detección sobre LLVIP) constituye un criterio complementario: toda fusión supera netamente al visible solo (+0,12 a +0,14 en mAP@0,5), el infrarrojo solo es la modalidad más fuerte (0,957) y entre las fusiones —en una banda estrecha de 0,926 a 0,949— la propuesta es competitiva (0,936) sin ser líder, lo que confirma que la superioridad en calidad de imagen no se traslada automáticamente a la detección. Sexto, el experimento de clases complementarias sobre M3FD delimita el escenario donde la fusión es insustituible: cuando la escena contiene objetos térmicos (personas) y objetos exclusivamente visibles (luces), las mejores fusiones superan en el par complementario a ambas modalidades individuales y la propuesta es la mejor fusión del estudio, detectando ambas clases en una sola imagen.</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 xml:space="preserve">La Propuesta Novedosa —con las respuestas lineales promediadas y sumadas a la del disco sobre una sola escala (PSO: r=25, m=0,070, seleccionado mediante un barrido de 25 configuraciones de enjambre)— logra el mejor perfil de calidad del benchmark: la menor tasa de artefactos (Nabf=0,041) y la mayor similitud estructural (SSIM=0,782), con preservación de bordes y correlación destacadas (Qabf=0,500; SCD=1,450). Supera a la metodología clásica Top-Hat en las siete métricas de calidad e información de forma estadísticamente significativa (Wilcoxon pareado con corrección de Holm: p ≤ 0,001; sección 5.6). En la evaluación de detección sobre LLVIP, toda fusión supera al visible solo (mAP@0,5 de 0,808 a 0,926–0,949) pero ninguna al infrarrojo solo (0,957), y la propuesta resulta competitiva (mAP@0,5 = 0,936), dentro de una banda estrecha de fusiones, sin ser la mejor: su ventaja en calidad de imagen no se traslada directamente a la tarea de detección, cuya estrategia óptima depende de la aplicación. En el experimento de clases complementarias (M3FD), en cambio, la fusión muestra su valor distintivo: detecta simultáneamente los objetos térmicos (personas) y los exclusivamente visibles (luces) que cada modalidad pierde por separado, con la propuesta como la mejor fusión del estudio (mAP@0,5 = 0,239). Quedan así sostenidas las hipótesis H1 y H2, y solo parcialmente H3.</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es el rival más equilibrado (Qabf=0,501; SSIM=0,739), RP lidera la correlación de diferencias (SCD=1,468) y la pirámide de Laplace conserva la ventaja en contraste y fidelidad perceptual (VIF=0,410);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pirámide de Laplace presenta el mejor ranking global agregado (3,17 sobre los 7 métodos), sostenido por su ventaja en contraste (SD) y fidelidad perceptual (VIF); no domina, en cambio, en limpieza ni en fidelidad estructural, donde la propuesta la supera de forma estadísticamente significativa. Curvelet y DWT, al penalizarse sus artefactos (Nabf), quedan relegados pese a su buena preservación de bordes.</w:t>
      </w:r>
    </w:p>
    <w:p>
      <w:pPr>
        <w:pStyle w:val="ListParagraph"/>
        <w:numPr>
          <w:ilvl w:val="0"/>
          <w:numId w:val="3"/>
        </w:numPr>
        <w:spacing w:lineRule="auto" w:line="360" w:before="0" w:after="100"/>
        <w:ind w:firstLine="709"/>
        <w:jc w:val="both"/>
        <w:rPr/>
      </w:pPr>
      <w:r>
        <w:rPr>
          <w:rFonts w:eastAsia="Times New Roman" w:cs="Times New Roman"/>
          <w:sz w:val="24"/>
          <w:szCs w:val="24"/>
        </w:rPr>
        <w:t>La métrica de información mutua (MI) está sesgada a favor del promedio simple, dado que la combinación lineal preserva trivialmente contenido de ambas fuentes. Este hallazgo invita a reportar MI siempre acompañada de métricas de calidad global y a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geometría del elemento estructurante introduce diferencias modestas: el disco tiende a maximizar EN, SD y FE; la cruz preserva ligeramente mejor la información mutua entre las configuraciones morfológicas; el cuadrado se sitúa en una posición intermedia.</w:t>
      </w:r>
    </w:p>
    <w:p>
      <w:pPr>
        <w:pStyle w:val="ListParagraph"/>
        <w:numPr>
          <w:ilvl w:val="0"/>
          <w:numId w:val="3"/>
        </w:numPr>
        <w:spacing w:lineRule="auto" w:line="360" w:before="0" w:after="100"/>
        <w:ind w:firstLine="709"/>
        <w:jc w:val="both"/>
        <w:rPr/>
      </w:pPr>
      <w:r>
        <w:rPr>
          <w:rFonts w:eastAsia="Times New Roman" w:cs="Times New Roman"/>
          <w:sz w:val="24"/>
          <w:szCs w:val="24"/>
        </w:rPr>
        <w:t>La profundidad de descomposición (L) y el radio base (r₀) tienen efectos complementarios: mayor profundidad incrementa entropía y contraste; menor radio preserva mejor el gradiente.</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es altamente significativa (p &lt; 0,001) en las doce métricas, y las comparaciones pareadas Wilcoxon con corrección de Holm corroboran las superioridades específicas reportadas (ganancia en SSIM y SCD frente a Laplace, paridad en Qabf y Nabf).</w:t>
      </w:r>
    </w:p>
    <w:p>
      <w:pPr>
        <w:pStyle w:val="ListParagraph"/>
        <w:numPr>
          <w:ilvl w:val="0"/>
          <w:numId w:val="3"/>
        </w:numPr>
        <w:spacing w:lineRule="auto" w:line="360"/>
        <w:ind w:firstLine="709"/>
        <w:jc w:val="both"/>
        <w:rPr/>
      </w:pPr>
      <w:r>
        <w:rPr>
          <w:rFonts w:eastAsia="Times New Roman" w:cs="Times New Roman"/>
        </w:rPr>
        <w:t>La variante con Black Top-Hat no se recomienda como configuración por defecto: aunque incrementa el contraste y la actividad (EN, SD, SF, MG), degrada significativamente la calidad de la fusión (Qabf, SSIM, VIF, MI) y multiplica los artefactos (Nabf ×5). El detalle oscuro que añade es en gran parte ruido no presente en las fuentes.</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capturar valles oscuros sin introducir los artefactos observados en la variante WTH+BTH directa.</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priman la fidelidad estructural, la preservación de bordes y la ausencia de artefactos, emplear la Propuesta Novedosa (r = 25, m = 0,070), que registra la menor tasa de artefactos (Nabf) y la mayor similitud estructural (SSIM) del benchmark; para un balance que privilegie el contraste global, la pirámide de Laplace sigue siendo una opción sólida; y la metodología clásica Top-Hat ofrece un punto de partida interpretable y de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del promedio simple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w:t>
      </w:r>
    </w:p>
    <w:p>
      <w:pPr>
        <w:pStyle w:val="Normal"/>
        <w:spacing w:lineRule="auto" w:line="360" w:before="0" w:after="160"/>
        <w:ind w:firstLine="709"/>
        <w:jc w:val="both"/>
        <w:rPr/>
      </w:pPr>
      <w:r>
        <w:rPr>
          <w:rFonts w:eastAsia="Times New Roman" w:cs="Times New Roman"/>
          <w:sz w:val="24"/>
          <w:szCs w:val="24"/>
        </w:rPr>
        <w:t>Bai, X. (2013). Morphological image fusion using the extracted image regions and details based on multi-scale top-hat transform and toggle contrast operator. Digital Signal Processing, 23(1), 244–263.</w:t>
      </w:r>
    </w:p>
    <w:p>
      <w:pPr>
        <w:pStyle w:val="Normal"/>
        <w:spacing w:lineRule="auto" w:line="360" w:before="0" w:after="160"/>
        <w:ind w:firstLine="709"/>
        <w:jc w:val="both"/>
        <w:rPr/>
      </w:pPr>
      <w:r>
        <w:rPr>
          <w:rFonts w:eastAsia="Times New Roman" w:cs="Times New Roman"/>
          <w:sz w:val="24"/>
          <w:szCs w:val="24"/>
        </w:rPr>
        <w:t>Bai, X., Zhou, F., y Xue, B. (2015). Image enhancement using multi-scale image features extracted by top-hat transform. Optics &amp; Laser Technology, 65, 145–150.</w:t>
      </w:r>
    </w:p>
    <w:p>
      <w:pPr>
        <w:pStyle w:val="Normal"/>
        <w:spacing w:lineRule="auto" w:line="360" w:before="0" w:after="160"/>
        <w:ind w:firstLine="709"/>
        <w:jc w:val="both"/>
        <w:rPr/>
      </w:pPr>
      <w:commentRangeStart w:id="4"/>
      <w:r>
        <w:rPr>
          <w:rFonts w:eastAsia="Times New Roman" w:cs="Times New Roman"/>
          <w:sz w:val="24"/>
          <w:szCs w:val="24"/>
        </w:rPr>
        <w:t>Bala, A. A., Aruna Priya, P., y Maik, V. (2024). Hybrid technique for fundus image enhancement using modified morphological filter and denoising net. The Journal of Supercomputing, 80,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3496–3504.</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 xml:space="preserve">Liu, J., Fan, X., Huang, Z., Wu, G., Liu, R., Zhong, W., y Luo, Z. (2022). Target-aware dual adversarial learning and a multi-scenario multi-modality benchmark to fuse infrared and visible for object detection. Proceedings of the IEEE/CVF Conference on Computer Vision and Pattern Recognition (CVPR), 5802–5811.</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Mukhopadhyay, S., y Chanda, B. (2001). A multi-scale morphological approach to local contrast enhancement. Signal Processing, 80(4), 685–696.</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w:t>
      </w:r>
    </w:p>
    <w:p>
      <w:pPr>
        <w:pStyle w:val="Normal"/>
        <w:spacing w:lineRule="auto" w:line="360"/>
        <w:ind w:firstLine="709"/>
        <w:jc w:val="both"/>
        <w:rPr/>
      </w:pPr>
      <w:r>
        <w:rPr>
          <w:rFonts w:eastAsia="Times New Roman" w:cs="Times New Roman"/>
        </w:rPr>
        <w:t xml:space="preserve">Román, J. C. M., Vázquez Noguera, J. L., y Legal-Ayala, H. (2020). A multiscale morphological method for visible and infrared images fusion. Proceedings of the 2020 XLVI Latin American Computing Conference (CLEI), 488–495. IEEE.</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 xml:space="preserve">Toet, A. (1989). Image fusion by a ratio of low-pass pyramid. Pattern Recognition Letters, 9(4), 245–253.</w:t>
      </w:r>
    </w:p>
    <w:p>
      <w:pPr>
        <w:pStyle w:val="Normal"/>
        <w:spacing w:lineRule="auto" w:line="360" w:before="0" w:after="160"/>
        <w:ind w:firstLine="709"/>
        <w:jc w:val="both"/>
        <w:rPr/>
      </w:pPr>
      <w:r>
        <w:rPr>
          <w:rFonts w:eastAsia="Times New Roman" w:cs="Times New Roman"/>
          <w:sz w:val="24"/>
          <w:szCs w:val="24"/>
        </w:rPr>
        <w:t>Toet, A. (2014). The TNO multiband image data collection. Data in Brief, 4, 187–192.</w:t>
      </w:r>
    </w:p>
    <w:p>
      <w:pPr>
        <w:pStyle w:val="Normal"/>
        <w:spacing w:lineRule="auto" w:line="360" w:before="0" w:after="160"/>
        <w:ind w:firstLine="709"/>
        <w:jc w:val="both"/>
        <w:rPr/>
      </w:pPr>
      <w:r>
        <w:rPr>
          <w:rFonts w:eastAsia="Times New Roman" w:cs="Times New Roman"/>
          <w:sz w:val="24"/>
          <w:szCs w:val="24"/>
        </w:rPr>
        <w:t>Wang, J., Peng, J., Feng, X., He, G., y Fan, J. (2017). Fusion method for infrared and visible images by using non-negative sparse representation. Infrared Physics &amp; Technology, 80, 1–9.</w:t>
      </w:r>
    </w:p>
    <w:p>
      <w:pPr>
        <w:pStyle w:val="Normal"/>
        <w:spacing w:lineRule="auto" w:line="360" w:before="0" w:after="160"/>
        <w:ind w:firstLine="709"/>
        <w:jc w:val="both"/>
        <w:rPr/>
      </w:pPr>
      <w:r>
        <w:rPr>
          <w:rFonts w:eastAsia="Times New Roman" w:cs="Times New Roman"/>
          <w:sz w:val="24"/>
          <w:szCs w:val="24"/>
        </w:rPr>
        <w:t xml:space="preserve">Wang, Z., Bovik, A. C., Sheikh, H. R., y Simoncelli, E. P. (2004). Image quality assessment: From error visibility to structural similarity. IEEE Transactions on Image Processing, 13(4), 600–612.</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dieciséis métricas), src/utils/ (entrada/salida y visualización), experiments/run_all_fusions.py (benchmark inter-método), experiments/run_stats_analysis.py (Friedman, Wilcoxon con Holm y ranking), experiments/pso_grid_search.py (barrido de 25 configuraciones del PSO), experiments/detection_llvip/ (preparación y entrenamiento mAP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36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[0,05; 1,20].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experiments/results/pso/pso_grid_state.json y la tabla resumen en experiments/results/metrics_reports/pso_grid_search.csv.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120 contrastes Wilcoxon (2 métodos morfológicos × 5 métodos del estado del arte × 12 métricas), más el contraste directo entre la propuesta y el operador clásico,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48 contrastes de la propuesta central frente al método anterior y a los baselines (12 métricas × 4 rivales,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0,0703</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0,0703.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versión definitiva, reportada en los resultados de esta tesis, distingue las dos clases de capas: las L capas de detalle WTH se fusionan por máxima actividad local; la capa base se fusiona por promedio simple.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exhaustivo (720 fusiones)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11"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17.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