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en LLVIP</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i/>
          <w:sz w:val="18"/>
        </w:rPr>
        <w:t>Figura 9.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10. Convergencia del PSO según el número de partículas (izq.) y aptitud del barrido de configuraciones (der.), sobre tres escenas representativas.</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5b. Métricas adicionales del review (FMI y Piella Q0/QW/QE) por método — medias sobre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9.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10. Barrido de configuraciones del PSO: mejor aptitud F por combinación de partículas (n) e iteraciones (T).</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WTH_M, WTHS_M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máx(líneas,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2024):</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la preservación de bordes y la correlación de las diferencias, y penaliza los artefactos.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5b).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Tipo de SE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Geometría del elemento estructurante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disco, cuadrado, cruz</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Niveles (L)</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Profundidad de la torre Top-Hat</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2, 3, 4, 5</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Radio base (r₀)</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Radio del SE en el primer nivel</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2, 3, 5 píxeles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11 métodos (§4.3) + Propuesta Novedosa</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1–12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5b.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en LLVIP</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9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9.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9.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10 resume la optimización del método. El panel izquierdo muestra la convergencia del mejor global según el número de partículas (Tmax = 50): los enjambres grandes escapan del óptimo local r = 1 y alcanzan la aptitud máxima F = 1,9843. El panel derecho y la Tabla 10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10.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cinco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Román, J. C. M., Vázquez Noguera, J. L., y Legal-Ayala, H. (2024). Algoritmo de realce para mamografías basado en Top-Hat multiescala con elementos estructurantes circulares y lineales. (Realce de contraste local y nitidez en imágenes mamográficas).</w:t>
      </w:r>
      <w:r>
        <w:rPr>
          <w:rFonts w:eastAsia="Times New Roman" w:cs="Times New Roman"/>
          <w:sz w:val="24"/>
          <w:szCs w:val="24"/>
        </w:rPr>
        <w:t xml:space="preserve"> [COMPLETAR revista/actas, volumen(número), páginas o DOI].</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