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(r=25 por diseño; m=0,30, el piso del rango de búsqueda)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(r=25 by design; m=0.30, the floor of the search range)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74</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(r = 25 por diseño; m = 0,30, piso del rango)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 El esquema es ilustrativo: las posiciones de las partículas y las curvas de nivel no son datos de una corrida. El gbest que rotula corresponde al óptimo de la aptitud paralela F_apt (r = 25; m = 0,0703); el peso que esta tesis adopta es m = 0,30, el piso del rango de búsqueda heredado, por las razones que se desarrollan en la sección 5.2.</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 Es la única de las nueve que se evalúa sobre la escala de niveles de gris 0–255 y no sobre el rango normalizado [0, 1] en el que se cargan las imágenes: así se reporta habitualmente en la literatura de fusión, y así la calcula el evaluador de este trabajo. Aplicar la ecuación (17) directamente a una imagen en [0, 1] devuelve el mismo valor dividido por 255.</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Tabla 9. Clases complementarias en M3FD: AP@0,5 por clase y mAP global con un detector único entrenado sobre VIS+IR (medias sobre las 499 imágenes de la partición de prueba, disjunta de las de entrenamiento y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prueba y modelo nano): el experimento no busca récords, sino delimitar el escenario donde la fusión aporta algo que ninguna modalidad sola aporta. La Figura 9 ilustra el fenómeno sobre dos escenas de la prueba: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Figura 9. Detecciones del modelo único VIS+IR en dos escenas de la partición de prueba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(r = 25 por diseño; m = 0,30, piso del rango)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(r=25 adoptado como decisión de diseño sobre la batería de evaluación; m=0,30, el piso del rango heredado, al que converge el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