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Normal"/>
        <w:spacing w:lineRule="auto" w:line="276" w:before="0" w:after="40"/>
        <w:jc w:val="both"/>
        <w:rPr/>
      </w:pPr>
      <w:r>
        <w:rPr>
          <w:rFonts w:eastAsia="Times New Roman" w:cs="Times New Roman"/>
          <w:sz w:val="21"/>
        </w:rPr>
        <w:t xml:space="preserve">Figura 11. Aptitud en función del peso de contraste m (r = 25): F_apt de la tesis y Fo del trabajo de referencia.</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12. Ablación de la función de aptitud: óptimos de F_apt y de Fo sobre los 20 pares.</w:t>
      </w:r>
    </w:p>
    <w:p>
      <w:pPr>
        <w:pStyle w:val="Normal"/>
        <w:spacing w:lineRule="auto" w:line="276" w:before="0" w:after="40"/>
        <w:jc w:val="both"/>
        <w:rPr/>
      </w:pPr>
      <w:r>
        <w:rPr>
          <w:rFonts w:eastAsia="Times New Roman" w:cs="Times New Roman"/>
          <w:sz w:val="21"/>
        </w:rPr>
        <w:t xml:space="preserve">Tabla 13. Clases complementarias en M3FD: AP@0,5 por clase y mAP global con un detector único VIS+IR.</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(SSIM; Wang et al., 2004), la preservación de bordes (QAB/F; Xydeas y Petrović, 2000) y la correlación de las diferencias (SCD; Aslantas y Bendes, 2015, con peso 0,5 que normaliza su rango [−2, 2] al de las demás), y penaliza los artefactos (NAB/F, del mismo marco de Xydeas y Petrović). La composición es una elaboración propia de esta tesis, siguiendo la práctica de las funciones objetivo multicriterio en la fusión optimizada por PSO (Tao et al., 2010; Malviya y Saxena, 2014; Ortega y Espinoza, 2025); su validez frente a la alternativa de fidelidad pura se contrasta empíricamente en la ablación del final de esta sección.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13.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560" w:type="dxa"/>
            <w:tcBorders/>
          </w:tcPr>
          <w:p>
            <w:pPr>
              <w:pStyle w:val="Normal"/>
              <w:widowControl w:val="false"/>
              <w:spacing w:lineRule="auto" w:line="276" w:before="0" w:after="120"/>
              <w:rPr/>
            </w:pPr>
            <w:r>
              <w:rPr>
                <w:rFonts w:eastAsia="Times New Roman" w:cs="Times New Roman"/>
                <w:sz w:val="19"/>
              </w:rPr>
              <w:t>0,200</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0,155</w:t>
            </w:r>
          </w:p>
        </w:tc>
        <w:tc>
          <w:tcPr>
            <w:tcW w:w="1560" w:type="dxa"/>
            <w:tcBorders/>
          </w:tcPr>
          <w:p>
            <w:pPr>
              <w:pStyle w:val="Normal"/>
              <w:widowControl w:val="false"/>
              <w:spacing w:lineRule="auto" w:line="276" w:before="0" w:after="120"/>
              <w:rPr/>
            </w:pPr>
            <w:r>
              <w:rPr>
                <w:rFonts w:eastAsia="Times New Roman" w:cs="Times New Roman"/>
                <w:sz w:val="19"/>
              </w:rPr>
              <w:t>0,238</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13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óptimo de F_apt supera además al de Fo en las dos clases clave.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Normal"/>
        <w:spacing w:lineRule="auto" w:line="360"/>
        <w:ind w:firstLine="709"/>
        <w:jc w:val="both"/>
        <w:rPr/>
      </w:pPr>
      <w:r>
        <w:rPr>
          <w:i/>
          <w:iCs/>
          <w:rFonts w:eastAsia="Times New Roman" w:cs="Times New Roman"/>
        </w:rPr>
        <w:t xml:space="preserve">Ablación de la función de aptitud. </w:t>
      </w:r>
      <w:r>
        <w:rPr>
          <w:iCs/>
          <w:rFonts w:eastAsia="Times New Roman" w:cs="Times New Roman"/>
        </w:rPr>
        <w:t xml:space="preserve">A pedido de la revisión de avances, el barrido de 25 configuraciones se repitió con la función objetivo del trabajo de referencia, Fo = SSIMavg + En + PSNRn (Ortega y Espinoza, 2025), con su rango original m ∈ [0,3; 2,0], tanto sobre la propuesta como sobre el operador clásico. En las 50 corridas el peso óptimo se ubicó en el límite inferior del rango (m* = 0,30): los dos términos de fidelidad de Fo dominan a la entropía y empujan el realce al mínimo permitido. Sobre la propuesta, Fo seleccionó además r* = 1, un óptimo trivial que desactiva en la práctica el banco de elementos estructurantes.</w:t>
      </w:r>
    </w:p>
    <w:p>
      <w:pPr>
        <w:pStyle w:val="Normal"/>
        <w:spacing w:lineRule="auto" w:line="360"/>
        <w:ind w:firstLine="709"/>
        <w:jc w:val="both"/>
        <w:rPr/>
      </w:pPr>
      <w:r>
        <w:rPr>
          <w:iCs/>
          <w:rFonts w:eastAsia="Times New Roman" w:cs="Times New Roman"/>
        </w:rPr>
        <w:t xml:space="preserve">La Figura 11 muestra el paisaje de aptitud en función de m (con r = 25) sin restricciones de rango: ambas funciones decrecen monótonamente para m ≥ 0,2, de modo que ningún tamaño de enjambre ni número de iteraciones puede converger dentro de [0,5; 2,0]; y el máximo real de Fo sobre la propuesta se ubica en m ≈ 0,07, coincidente con el óptimo de la aptitud orientada a la fusión (m = 0,0703): ambas formulaciones acuerdan el peso adecuado para el operador con suma de ramas.</w:t>
      </w:r>
    </w:p>
    <w:p>
      <w:pPr>
        <w:pStyle w:val="Normal"/>
        <w:spacing w:lineRule="auto" w:line="276"/>
        <w:jc w:val="center"/>
        <w:rPr/>
      </w:pPr>
      <w:r>
        <w:rPr/>
        <w:drawing>
          <wp:inline distT="0" distB="0" distL="0" distR="0">
            <wp:extent cx="5760720" cy="3023475"/>
            <wp:effectExtent l="0" t="0" r="0" b="0"/>
            <wp:docPr id="9911" name="fig_aptitud_vs_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1"/>
                    <a:stretch>
                      <a:fillRect/>
                    </a:stretch>
                  </pic:blipFill>
                  <pic:spPr bwMode="auto">
                    <a:xfrm>
                      <a:off x="0" y="0"/>
                      <a:ext cx="5760720" cy="3023475"/>
                    </a:xfrm>
                    <a:prstGeom prst="rect">
                      <a:avLst/>
                    </a:prstGeom>
                    <a:noFill/>
                  </pic:spPr>
                </pic:pic>
              </a:graphicData>
            </a:graphic>
          </wp:inline>
        </w:drawing>
      </w:r>
    </w:p>
    <w:p>
      <w:pPr>
        <w:pStyle w:val="Normal"/>
        <w:spacing w:lineRule="auto" w:line="276"/>
        <w:jc w:val="both"/>
        <w:rPr/>
      </w:pPr>
      <w:r>
        <w:rPr>
          <w:rFonts w:eastAsia="Times New Roman" w:cs="Times New Roman"/>
          <w:i/>
          <w:sz w:val="18"/>
        </w:rPr>
        <w:t xml:space="preserve">Figura 11. Aptitud en función del peso de contraste m (r = 25), sin restricciones de rango: F_apt de la tesis y Fo del trabajo de referencia sobre ambos operadores.</w:t>
      </w:r>
    </w:p>
    <w:p>
      <w:pPr>
        <w:pStyle w:val="Normal"/>
        <w:spacing w:lineRule="auto" w:line="276"/>
        <w:jc w:val="both"/>
        <w:rPr/>
      </w:pPr>
      <w:r>
        <w:rPr>
          <w:rFonts w:eastAsia="Times New Roman" w:cs="Times New Roman"/>
          <w:i/>
          <w:sz w:val="18"/>
        </w:rPr>
        <w:t xml:space="preserve">Tabla 12. Ablación de la función de aptitud: óptimos de F_apt y de Fo evaluados sobre los 20 pares (medias).</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248"/>
        <w:gridCol w:w="1248"/>
        <w:gridCol w:w="1248"/>
        <w:gridCol w:w="1248"/>
        <w:gridCol w:w="1248"/>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Variante</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Qabf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Nabf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SSIM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SCD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VIF ↑</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248" w:type="dxa"/>
            <w:tcBorders/>
          </w:tcPr>
          <w:p>
            <w:pPr>
              <w:pStyle w:val="Normal"/>
              <w:widowControl w:val="false"/>
              <w:spacing w:lineRule="auto" w:line="276" w:before="0" w:after="120"/>
              <w:rPr/>
            </w:pPr>
            <w:r>
              <w:rPr>
                <w:rFonts w:eastAsia="Times New Roman" w:cs="Times New Roman"/>
                <w:sz w:val="19"/>
              </w:rPr>
              <w:t>0,500</w:t>
            </w:r>
          </w:p>
        </w:tc>
        <w:tc>
          <w:tcPr>
            <w:tcW w:w="1248" w:type="dxa"/>
            <w:tcBorders/>
          </w:tcPr>
          <w:p>
            <w:pPr>
              <w:pStyle w:val="Normal"/>
              <w:widowControl w:val="false"/>
              <w:spacing w:lineRule="auto" w:line="276" w:before="0" w:after="120"/>
              <w:rPr/>
            </w:pPr>
            <w:r>
              <w:rPr>
                <w:b/>
                <w:rFonts w:eastAsia="Times New Roman" w:cs="Times New Roman"/>
                <w:sz w:val="19"/>
              </w:rPr>
              <w:t>0,041</w:t>
            </w:r>
          </w:p>
        </w:tc>
        <w:tc>
          <w:tcPr>
            <w:tcW w:w="1248" w:type="dxa"/>
            <w:tcBorders/>
          </w:tcPr>
          <w:p>
            <w:pPr>
              <w:pStyle w:val="Normal"/>
              <w:widowControl w:val="false"/>
              <w:spacing w:lineRule="auto" w:line="276" w:before="0" w:after="120"/>
              <w:rPr/>
            </w:pPr>
            <w:r>
              <w:rPr>
                <w:b/>
                <w:rFonts w:eastAsia="Times New Roman" w:cs="Times New Roman"/>
                <w:sz w:val="19"/>
              </w:rPr>
              <w:t>0,782</w:t>
            </w:r>
          </w:p>
        </w:tc>
        <w:tc>
          <w:tcPr>
            <w:tcW w:w="1248" w:type="dxa"/>
            <w:tcBorders/>
          </w:tcPr>
          <w:p>
            <w:pPr>
              <w:pStyle w:val="Normal"/>
              <w:widowControl w:val="false"/>
              <w:spacing w:lineRule="auto" w:line="276" w:before="0" w:after="120"/>
              <w:rPr/>
            </w:pPr>
            <w:r>
              <w:rPr>
                <w:rFonts w:eastAsia="Times New Roman" w:cs="Times New Roman"/>
                <w:sz w:val="19"/>
              </w:rPr>
              <w:t>1,450</w:t>
            </w:r>
          </w:p>
        </w:tc>
        <w:tc>
          <w:tcPr>
            <w:tcW w:w="1248" w:type="dxa"/>
            <w:tcBorders/>
          </w:tcPr>
          <w:p>
            <w:pPr>
              <w:pStyle w:val="Normal"/>
              <w:widowControl w:val="false"/>
              <w:spacing w:lineRule="auto" w:line="276" w:before="0" w:after="120"/>
              <w:rPr/>
            </w:pPr>
            <w:r>
              <w:rPr>
                <w:rFonts w:eastAsia="Times New Roman" w:cs="Times New Roman"/>
                <w:sz w:val="19"/>
              </w:rPr>
              <w:t>0,368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 Fo (r = 25; m = 0,30)</w:t>
            </w:r>
          </w:p>
        </w:tc>
        <w:tc>
          <w:tcPr>
            <w:tcW w:w="1248" w:type="dxa"/>
            <w:tcBorders/>
          </w:tcPr>
          <w:p>
            <w:pPr>
              <w:pStyle w:val="Normal"/>
              <w:widowControl w:val="false"/>
              <w:spacing w:lineRule="auto" w:line="276" w:before="0" w:after="120"/>
              <w:rPr/>
            </w:pPr>
            <w:r>
              <w:rPr>
                <w:b/>
                <w:rFonts w:eastAsia="Times New Roman" w:cs="Times New Roman"/>
                <w:sz w:val="19"/>
              </w:rPr>
              <w:t>0,534</w:t>
            </w:r>
          </w:p>
        </w:tc>
        <w:tc>
          <w:tcPr>
            <w:tcW w:w="1248" w:type="dxa"/>
            <w:tcBorders/>
          </w:tcPr>
          <w:p>
            <w:pPr>
              <w:pStyle w:val="Normal"/>
              <w:widowControl w:val="false"/>
              <w:spacing w:lineRule="auto" w:line="276" w:before="0" w:after="120"/>
              <w:rPr/>
            </w:pPr>
            <w:r>
              <w:rPr>
                <w:rFonts w:eastAsia="Times New Roman" w:cs="Times New Roman"/>
                <w:sz w:val="19"/>
              </w:rPr>
              <w:t>0,184</w:t>
            </w:r>
          </w:p>
        </w:tc>
        <w:tc>
          <w:tcPr>
            <w:tcW w:w="1248" w:type="dxa"/>
            <w:tcBorders/>
          </w:tcPr>
          <w:p>
            <w:pPr>
              <w:pStyle w:val="Normal"/>
              <w:widowControl w:val="false"/>
              <w:spacing w:lineRule="auto" w:line="276" w:before="0" w:after="120"/>
              <w:rPr/>
            </w:pPr>
            <w:r>
              <w:rPr>
                <w:rFonts w:eastAsia="Times New Roman" w:cs="Times New Roman"/>
                <w:sz w:val="19"/>
              </w:rPr>
              <w:t>0,745</w:t>
            </w:r>
          </w:p>
        </w:tc>
        <w:tc>
          <w:tcPr>
            <w:tcW w:w="1248" w:type="dxa"/>
            <w:tcBorders/>
          </w:tcPr>
          <w:p>
            <w:pPr>
              <w:pStyle w:val="Normal"/>
              <w:widowControl w:val="false"/>
              <w:spacing w:lineRule="auto" w:line="276" w:before="0" w:after="120"/>
              <w:rPr/>
            </w:pPr>
            <w:r>
              <w:rPr>
                <w:b/>
                <w:rFonts w:eastAsia="Times New Roman" w:cs="Times New Roman"/>
                <w:sz w:val="19"/>
              </w:rPr>
              <w:t>1,504</w:t>
            </w:r>
          </w:p>
        </w:tc>
        <w:tc>
          <w:tcPr>
            <w:tcW w:w="1248" w:type="dxa"/>
            <w:tcBorders/>
          </w:tcPr>
          <w:p>
            <w:pPr>
              <w:pStyle w:val="Normal"/>
              <w:widowControl w:val="false"/>
              <w:spacing w:lineRule="auto" w:line="276" w:before="0" w:after="120"/>
              <w:rPr/>
            </w:pPr>
            <w:r>
              <w:rPr>
                <w:b/>
                <w:rFonts w:eastAsia="Times New Roman" w:cs="Times New Roman"/>
                <w:sz w:val="19"/>
              </w:rPr>
              <w:t>0,395</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248" w:type="dxa"/>
            <w:tcBorders/>
          </w:tcPr>
          <w:p>
            <w:pPr>
              <w:pStyle w:val="Normal"/>
              <w:widowControl w:val="false"/>
              <w:spacing w:lineRule="auto" w:line="276" w:before="0" w:after="120"/>
              <w:rPr/>
            </w:pPr>
            <w:r>
              <w:rPr>
                <w:rFonts w:eastAsia="Times New Roman" w:cs="Times New Roman"/>
                <w:sz w:val="19"/>
              </w:rPr>
              <w:t>0,448</w:t>
            </w:r>
          </w:p>
        </w:tc>
        <w:tc>
          <w:tcPr>
            <w:tcW w:w="1248" w:type="dxa"/>
            <w:tcBorders/>
          </w:tcPr>
          <w:p>
            <w:pPr>
              <w:pStyle w:val="Normal"/>
              <w:widowControl w:val="false"/>
              <w:spacing w:lineRule="auto" w:line="276" w:before="0" w:after="120"/>
              <w:rPr/>
            </w:pPr>
            <w:r>
              <w:rPr>
                <w:rFonts w:eastAsia="Times New Roman" w:cs="Times New Roman"/>
                <w:sz w:val="19"/>
              </w:rPr>
              <w:t>0,121</w:t>
            </w:r>
          </w:p>
        </w:tc>
        <w:tc>
          <w:tcPr>
            <w:tcW w:w="1248" w:type="dxa"/>
            <w:tcBorders/>
          </w:tcPr>
          <w:p>
            <w:pPr>
              <w:pStyle w:val="Normal"/>
              <w:widowControl w:val="false"/>
              <w:spacing w:lineRule="auto" w:line="276" w:before="0" w:after="120"/>
              <w:rPr/>
            </w:pPr>
            <w:r>
              <w:rPr>
                <w:rFonts w:eastAsia="Times New Roman" w:cs="Times New Roman"/>
                <w:sz w:val="19"/>
              </w:rPr>
              <w:t>0,761</w:t>
            </w:r>
          </w:p>
        </w:tc>
        <w:tc>
          <w:tcPr>
            <w:tcW w:w="1248" w:type="dxa"/>
            <w:tcBorders/>
          </w:tcPr>
          <w:p>
            <w:pPr>
              <w:pStyle w:val="Normal"/>
              <w:widowControl w:val="false"/>
              <w:spacing w:lineRule="auto" w:line="276" w:before="0" w:after="120"/>
              <w:rPr/>
            </w:pPr>
            <w:r>
              <w:rPr>
                <w:rFonts w:eastAsia="Times New Roman" w:cs="Times New Roman"/>
                <w:sz w:val="19"/>
              </w:rPr>
              <w:t>1,353</w:t>
            </w:r>
          </w:p>
        </w:tc>
        <w:tc>
          <w:tcPr>
            <w:tcW w:w="1248" w:type="dxa"/>
            <w:tcBorders/>
          </w:tcPr>
          <w:p>
            <w:pPr>
              <w:pStyle w:val="Normal"/>
              <w:widowControl w:val="false"/>
              <w:spacing w:lineRule="auto" w:line="276" w:before="0" w:after="120"/>
              <w:rPr/>
            </w:pPr>
            <w:r>
              <w:rPr>
                <w:rFonts w:eastAsia="Times New Roman" w:cs="Times New Roman"/>
                <w:sz w:val="19"/>
              </w:rPr>
              <w:t>0,322</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manual (r = 5; m = 1)</w:t>
            </w:r>
          </w:p>
        </w:tc>
        <w:tc>
          <w:tcPr>
            <w:tcW w:w="1248" w:type="dxa"/>
            <w:tcBorders/>
          </w:tcPr>
          <w:p>
            <w:pPr>
              <w:pStyle w:val="Normal"/>
              <w:widowControl w:val="false"/>
              <w:spacing w:lineRule="auto" w:line="276" w:before="0" w:after="120"/>
              <w:rPr/>
            </w:pPr>
            <w:r>
              <w:rPr>
                <w:rFonts w:eastAsia="Times New Roman" w:cs="Times New Roman"/>
                <w:sz w:val="19"/>
              </w:rPr>
              <w:t>0,305</w:t>
            </w:r>
          </w:p>
        </w:tc>
        <w:tc>
          <w:tcPr>
            <w:tcW w:w="1248" w:type="dxa"/>
            <w:tcBorders/>
          </w:tcPr>
          <w:p>
            <w:pPr>
              <w:pStyle w:val="Normal"/>
              <w:widowControl w:val="false"/>
              <w:spacing w:lineRule="auto" w:line="276" w:before="0" w:after="120"/>
              <w:rPr/>
            </w:pPr>
            <w:r>
              <w:rPr>
                <w:rFonts w:eastAsia="Times New Roman" w:cs="Times New Roman"/>
                <w:sz w:val="19"/>
              </w:rPr>
              <w:t>0,585</w:t>
            </w:r>
          </w:p>
        </w:tc>
        <w:tc>
          <w:tcPr>
            <w:tcW w:w="1248" w:type="dxa"/>
            <w:tcBorders/>
          </w:tcPr>
          <w:p>
            <w:pPr>
              <w:pStyle w:val="Normal"/>
              <w:widowControl w:val="false"/>
              <w:spacing w:lineRule="auto" w:line="276" w:before="0" w:after="120"/>
              <w:rPr/>
            </w:pPr>
            <w:r>
              <w:rPr>
                <w:rFonts w:eastAsia="Times New Roman" w:cs="Times New Roman"/>
                <w:sz w:val="19"/>
              </w:rPr>
              <w:t>0,578</w:t>
            </w:r>
          </w:p>
        </w:tc>
        <w:tc>
          <w:tcPr>
            <w:tcW w:w="1248" w:type="dxa"/>
            <w:tcBorders/>
          </w:tcPr>
          <w:p>
            <w:pPr>
              <w:pStyle w:val="Normal"/>
              <w:widowControl w:val="false"/>
              <w:spacing w:lineRule="auto" w:line="276" w:before="0" w:after="120"/>
              <w:rPr/>
            </w:pPr>
            <w:r>
              <w:rPr>
                <w:rFonts w:eastAsia="Times New Roman" w:cs="Times New Roman"/>
                <w:sz w:val="19"/>
              </w:rPr>
              <w:t>1,360</w:t>
            </w:r>
          </w:p>
        </w:tc>
        <w:tc>
          <w:tcPr>
            <w:tcW w:w="1248" w:type="dxa"/>
            <w:tcBorders/>
          </w:tcPr>
          <w:p>
            <w:pPr>
              <w:pStyle w:val="Normal"/>
              <w:widowControl w:val="false"/>
              <w:spacing w:lineRule="auto" w:line="276" w:before="0" w:after="120"/>
              <w:rPr/>
            </w:pPr>
            <w:r>
              <w:rPr>
                <w:rFonts w:eastAsia="Times New Roman" w:cs="Times New Roman"/>
                <w:sz w:val="19"/>
              </w:rPr>
              <w:t>0,334</w:t>
            </w:r>
          </w:p>
        </w:tc>
      </w:tr>
    </w:tbl>
    <w:p>
      <w:pPr>
        <w:pStyle w:val="Normal"/>
        <w:spacing w:lineRule="auto" w:line="360"/>
        <w:ind w:firstLine="709"/>
        <w:jc w:val="both"/>
        <w:rPr/>
      </w:pPr>
      <w:r>
        <w:rPr>
          <w:iCs/>
          <w:rFonts w:eastAsia="Times New Roman" w:cs="Times New Roman"/>
        </w:rPr>
        <w:t xml:space="preserve">La propuesta optimizada con la aptitud orientada a la fusión conserva el mejor perfil de limpieza y estructura (Nabf = 0,041; SSIM = 0,782). El óptimo de Fo sobre el operador clásico (r = 25; m = 0,30) resulta competitivo en bordes y correlación al costo de 4,5 veces más artefactos, y el óptimo de Fo sobre la propuesta confirma su carácter trivial. La función de aptitud define el perfil del resultado: la orientada a la fusión es la adecuada para los objetivos de esta tesis, lo que refuerza H2.</w:t>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