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En un experimento complementario sobre M3FD, con dos clases de visibilidad opuesta (personas/IR y luces/VIS) y un único detector entrenado con ambas modalidades, la fusión detecta ambas clases en una sola imagen y la propuesta es la mejor fusión del estudio (mAP@0,5 = 0,239).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In a complementary experiment on M3FD, with two classes of opposite visibility (people/IR and lamps/VIS) and a single detector trained on both modalities, fusion detects both classes in a single image and the proposal is the best fusion in the study (mAP@0.5 = 0.239).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las personas que el visible pierde y las luces que el infrarrojo pierde.</w:t>
      </w:r>
    </w:p>
    <w:p>
      <w:pPr>
        <w:pStyle w:val="Normal"/>
        <w:spacing w:lineRule="auto" w:line="276" w:before="0" w:after="40"/>
        <w:jc w:val="both"/>
        <w:rPr/>
      </w:pPr>
      <w:r>
        <w:rPr>
          <w:rFonts w:eastAsia="Times New Roman" w:cs="Times New Roman"/>
          <w:i/>
          <w:sz w:val="18"/>
        </w:rPr>
        <w:t>Figura 10.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11. Convergencia del PSO según el número de partículas (izq.) y aptitud del barrido de configuraciones (der.), sobre tres escenas representativas.</w:t>
      </w:r>
    </w:p>
    <w:p>
      <w:pPr>
        <w:pStyle w:val="Normal"/>
        <w:spacing w:lineRule="auto" w:line="276" w:before="0" w:after="40"/>
        <w:jc w:val="both"/>
        <w:rPr/>
      </w:pPr>
      <w:r>
        <w:rPr>
          <w:rFonts w:eastAsia="Times New Roman" w:cs="Times New Roman"/>
          <w:sz w:val="21"/>
        </w:rPr>
        <w:t xml:space="preserve">Figura 12. Aptitud en función del peso de contraste m (r = 25): F_apt de la tesis y Fo del trabajo de referencia.</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Normal"/>
        <w:spacing w:lineRule="auto" w:line="276" w:before="0" w:after="40"/>
        <w:jc w:val="both"/>
        <w:rPr/>
      </w:pPr>
      <w:r>
        <w:rPr>
          <w:rFonts w:eastAsia="Times New Roman" w:cs="Times New Roman"/>
          <w:sz w:val="21"/>
        </w:rPr>
        <w:t xml:space="preserve">Tabla 12. Ablación de la función de aptitud: óptimos de F_apt y de Fo sobre los 20 pares.</w:t>
      </w:r>
    </w:p>
    <w:p>
      <w:pPr>
        <w:pStyle w:val="Normal"/>
        <w:spacing w:lineRule="auto" w:line="276" w:before="0" w:after="40"/>
        <w:jc w:val="both"/>
        <w:rPr/>
      </w:pPr>
      <w:r>
        <w:rPr>
          <w:rFonts w:eastAsia="Times New Roman" w:cs="Times New Roman"/>
          <w:sz w:val="21"/>
        </w:rPr>
        <w:t xml:space="preserve">Tabla 13. Clases complementarias en M3FD: AP@0,5 por clase y mAP global con un detector único VIS+IR.</w:t>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(SSIM; Wang et al., 2004), la preservación de bordes (QAB/F; Xydeas y Petrović, 2000) y la correlación de las diferencias (SCD; Aslantas y Bendes, 2015, con peso 0,5 que normaliza su rango [−2, 2] al de las demás), y penaliza los artefactos (NAB/F, del mismo marco de Xydeas y Petrović). La composición es una elaboración propia de esta tesis, siguiendo la práctica de las funciones objetivo multicriterio en la fusión optimizada por PSO (Tao et al., 2010; Malviya y Saxena, 2014; Ortega y Espinoza, 2025); su validez frente a la alternativa de fidelidad pura se contrasta empíricamente en la ablación del final de esta sección.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13. Clases complementarias en M3FD: AP@0,5 por clase y mAP global con un detector único entrenado sobre VIS+IR (medias sobre 500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0,178</w:t>
            </w:r>
          </w:p>
        </w:tc>
        <w:tc>
          <w:tcPr>
            <w:tcW w:w="1560" w:type="dxa"/>
            <w:tcBorders/>
          </w:tcPr>
          <w:p>
            <w:pPr>
              <w:pStyle w:val="Normal"/>
              <w:widowControl w:val="false"/>
              <w:spacing w:lineRule="auto" w:line="276" w:before="0" w:after="120"/>
              <w:rPr/>
            </w:pPr>
            <w:r>
              <w:rPr>
                <w:b/>
                <w:rFonts w:eastAsia="Times New Roman" w:cs="Times New Roman"/>
                <w:sz w:val="19"/>
              </w:rPr>
              <w:t>0,135</w:t>
            </w:r>
          </w:p>
        </w:tc>
        <w:tc>
          <w:tcPr>
            <w:tcW w:w="1560" w:type="dxa"/>
            <w:tcBorders/>
          </w:tcPr>
          <w:p>
            <w:pPr>
              <w:pStyle w:val="Normal"/>
              <w:widowControl w:val="false"/>
              <w:spacing w:lineRule="auto" w:line="276" w:before="0" w:after="120"/>
              <w:rPr/>
            </w:pPr>
            <w:r>
              <w:rPr>
                <w:rFonts w:eastAsia="Times New Roman" w:cs="Times New Roman"/>
                <w:sz w:val="19"/>
              </w:rPr>
              <w:t>0,157</w:t>
            </w:r>
          </w:p>
        </w:tc>
        <w:tc>
          <w:tcPr>
            <w:tcW w:w="1560" w:type="dxa"/>
            <w:tcBorders/>
          </w:tcPr>
          <w:p>
            <w:pPr>
              <w:pStyle w:val="Normal"/>
              <w:widowControl w:val="false"/>
              <w:spacing w:lineRule="auto" w:line="276" w:before="0" w:after="120"/>
              <w:rPr/>
            </w:pPr>
            <w:r>
              <w:rPr>
                <w:b/>
                <w:rFonts w:eastAsia="Times New Roman" w:cs="Times New Roman"/>
                <w:sz w:val="19"/>
              </w:rPr>
              <w:t>0,245</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0,220</w:t>
            </w:r>
          </w:p>
        </w:tc>
        <w:tc>
          <w:tcPr>
            <w:tcW w:w="1560" w:type="dxa"/>
            <w:tcBorders/>
          </w:tcPr>
          <w:p>
            <w:pPr>
              <w:pStyle w:val="Normal"/>
              <w:widowControl w:val="false"/>
              <w:spacing w:lineRule="auto" w:line="276" w:before="0" w:after="120"/>
              <w:rPr/>
            </w:pPr>
            <w:r>
              <w:rPr>
                <w:rFonts w:eastAsia="Times New Roman" w:cs="Times New Roman"/>
                <w:sz w:val="19"/>
              </w:rPr>
              <w:t>0,018</w:t>
            </w:r>
          </w:p>
        </w:tc>
        <w:tc>
          <w:tcPr>
            <w:tcW w:w="1560" w:type="dxa"/>
            <w:tcBorders/>
          </w:tcPr>
          <w:p>
            <w:pPr>
              <w:pStyle w:val="Normal"/>
              <w:widowControl w:val="false"/>
              <w:spacing w:lineRule="auto" w:line="276" w:before="0" w:after="120"/>
              <w:rPr/>
            </w:pPr>
            <w:r>
              <w:rPr>
                <w:rFonts w:eastAsia="Times New Roman" w:cs="Times New Roman"/>
                <w:sz w:val="19"/>
              </w:rPr>
              <w:t>0,119</w:t>
            </w:r>
          </w:p>
        </w:tc>
        <w:tc>
          <w:tcPr>
            <w:tcW w:w="1560" w:type="dxa"/>
            <w:tcBorders/>
          </w:tcPr>
          <w:p>
            <w:pPr>
              <w:pStyle w:val="Normal"/>
              <w:widowControl w:val="false"/>
              <w:spacing w:lineRule="auto" w:line="276" w:before="0" w:after="120"/>
              <w:rPr/>
            </w:pPr>
            <w:r>
              <w:rPr>
                <w:rFonts w:eastAsia="Times New Roman" w:cs="Times New Roman"/>
                <w:sz w:val="19"/>
              </w:rPr>
              <w:t>0,191</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0,147</w:t>
            </w:r>
          </w:p>
        </w:tc>
        <w:tc>
          <w:tcPr>
            <w:tcW w:w="1560" w:type="dxa"/>
            <w:tcBorders/>
          </w:tcPr>
          <w:p>
            <w:pPr>
              <w:pStyle w:val="Normal"/>
              <w:widowControl w:val="false"/>
              <w:spacing w:lineRule="auto" w:line="276" w:before="0" w:after="120"/>
              <w:rPr/>
            </w:pPr>
            <w:r>
              <w:rPr>
                <w:rFonts w:eastAsia="Times New Roman" w:cs="Times New Roman"/>
                <w:sz w:val="19"/>
              </w:rPr>
              <w:t>0,096</w:t>
            </w:r>
          </w:p>
        </w:tc>
        <w:tc>
          <w:tcPr>
            <w:tcW w:w="1560" w:type="dxa"/>
            <w:tcBorders/>
          </w:tcPr>
          <w:p>
            <w:pPr>
              <w:pStyle w:val="Normal"/>
              <w:widowControl w:val="false"/>
              <w:spacing w:lineRule="auto" w:line="276" w:before="0" w:after="120"/>
              <w:rPr/>
            </w:pPr>
            <w:r>
              <w:rPr>
                <w:rFonts w:eastAsia="Times New Roman" w:cs="Times New Roman"/>
                <w:sz w:val="19"/>
              </w:rPr>
              <w:t>0,122</w:t>
            </w:r>
          </w:p>
        </w:tc>
        <w:tc>
          <w:tcPr>
            <w:tcW w:w="1560" w:type="dxa"/>
            <w:tcBorders/>
          </w:tcPr>
          <w:p>
            <w:pPr>
              <w:pStyle w:val="Normal"/>
              <w:widowControl w:val="false"/>
              <w:spacing w:lineRule="auto" w:line="276" w:before="0" w:after="120"/>
              <w:rPr/>
            </w:pPr>
            <w:r>
              <w:rPr>
                <w:rFonts w:eastAsia="Times New Roman" w:cs="Times New Roman"/>
                <w:sz w:val="19"/>
              </w:rPr>
              <w:t>0,215</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0,198</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b/>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0,231</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0,159</w:t>
            </w:r>
          </w:p>
        </w:tc>
        <w:tc>
          <w:tcPr>
            <w:tcW w:w="1560" w:type="dxa"/>
            <w:tcBorders/>
          </w:tcPr>
          <w:p>
            <w:pPr>
              <w:pStyle w:val="Normal"/>
              <w:widowControl w:val="false"/>
              <w:spacing w:lineRule="auto" w:line="276" w:before="0" w:after="120"/>
              <w:rPr/>
            </w:pPr>
            <w:r>
              <w:rPr>
                <w:rFonts w:eastAsia="Times New Roman" w:cs="Times New Roman"/>
                <w:sz w:val="19"/>
              </w:rPr>
              <w:t>0,114</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0,167</w:t>
            </w:r>
          </w:p>
        </w:tc>
        <w:tc>
          <w:tcPr>
            <w:tcW w:w="1560" w:type="dxa"/>
            <w:tcBorders/>
          </w:tcPr>
          <w:p>
            <w:pPr>
              <w:pStyle w:val="Normal"/>
              <w:widowControl w:val="false"/>
              <w:spacing w:lineRule="auto" w:line="276" w:before="0" w:after="120"/>
              <w:rPr/>
            </w:pPr>
            <w:r>
              <w:rPr>
                <w:rFonts w:eastAsia="Times New Roman" w:cs="Times New Roman"/>
                <w:sz w:val="19"/>
              </w:rPr>
              <w:t>0,100</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0,125</w:t>
            </w:r>
          </w:p>
        </w:tc>
        <w:tc>
          <w:tcPr>
            <w:tcW w:w="1560" w:type="dxa"/>
            <w:tcBorders/>
          </w:tcPr>
          <w:p>
            <w:pPr>
              <w:pStyle w:val="Normal"/>
              <w:widowControl w:val="false"/>
              <w:spacing w:lineRule="auto" w:line="276" w:before="0" w:after="120"/>
              <w:rPr/>
            </w:pPr>
            <w:r>
              <w:rPr>
                <w:rFonts w:eastAsia="Times New Roman" w:cs="Times New Roman"/>
                <w:sz w:val="19"/>
              </w:rPr>
              <w:t>0,054</w:t>
            </w:r>
          </w:p>
        </w:tc>
        <w:tc>
          <w:tcPr>
            <w:tcW w:w="1560" w:type="dxa"/>
            <w:tcBorders/>
          </w:tcPr>
          <w:p>
            <w:pPr>
              <w:pStyle w:val="Normal"/>
              <w:widowControl w:val="false"/>
              <w:spacing w:lineRule="auto" w:line="276" w:before="0" w:after="120"/>
              <w:rPr/>
            </w:pPr>
            <w:r>
              <w:rPr>
                <w:rFonts w:eastAsia="Times New Roman" w:cs="Times New Roman"/>
                <w:sz w:val="19"/>
              </w:rPr>
              <w:t>0,090</w:t>
            </w:r>
          </w:p>
        </w:tc>
        <w:tc>
          <w:tcPr>
            <w:tcW w:w="1560" w:type="dxa"/>
            <w:tcBorders/>
          </w:tcPr>
          <w:p>
            <w:pPr>
              <w:pStyle w:val="Normal"/>
              <w:widowControl w:val="false"/>
              <w:spacing w:lineRule="auto" w:line="276" w:before="0" w:after="120"/>
              <w:rPr/>
            </w:pPr>
            <w:r>
              <w:rPr>
                <w:rFonts w:eastAsia="Times New Roman" w:cs="Times New Roman"/>
                <w:sz w:val="19"/>
              </w:rPr>
              <w:t>0,198</w:t>
            </w:r>
          </w:p>
        </w:tc>
      </w:tr>
      <w:tr>
        <w:trPr/>
        <w:tc>
          <w:tcPr>
            <w:tcW w:w="3120" w:type="dxa"/>
            <w:tcBorders/>
          </w:tcPr>
          <w:p>
            <w:pPr>
              <w:pStyle w:val="Normal"/>
              <w:widowControl w:val="false"/>
              <w:spacing w:lineRule="auto" w:line="276" w:before="0" w:after="120"/>
              <w:rPr/>
            </w:pPr>
            <w:r>
              <w:rPr>
                <w:rFonts w:eastAsia="Times New Roman" w:cs="Times New Roman"/>
                <w:sz w:val="19"/>
              </w:rPr>
              <w:t>PSO del trabajo de referencia (clásico + Fo)</w:t>
            </w:r>
          </w:p>
        </w:tc>
        <w:tc>
          <w:tcPr>
            <w:tcW w:w="1560" w:type="dxa"/>
            <w:tcBorders/>
          </w:tcPr>
          <w:p>
            <w:pPr>
              <w:pStyle w:val="Normal"/>
              <w:widowControl w:val="false"/>
              <w:spacing w:lineRule="auto" w:line="276" w:before="0" w:after="120"/>
              <w:rPr/>
            </w:pPr>
            <w:r>
              <w:rPr>
                <w:rFonts w:eastAsia="Times New Roman" w:cs="Times New Roman"/>
                <w:sz w:val="19"/>
              </w:rPr>
              <w:t>0,174</w:t>
            </w:r>
          </w:p>
        </w:tc>
        <w:tc>
          <w:tcPr>
            <w:tcW w:w="1560" w:type="dxa"/>
            <w:tcBorders/>
          </w:tcPr>
          <w:p>
            <w:pPr>
              <w:pStyle w:val="Normal"/>
              <w:widowControl w:val="false"/>
              <w:spacing w:lineRule="auto" w:line="276" w:before="0" w:after="120"/>
              <w:rPr/>
            </w:pPr>
            <w:r>
              <w:rPr>
                <w:rFonts w:eastAsia="Times New Roman" w:cs="Times New Roman"/>
                <w:sz w:val="19"/>
              </w:rPr>
              <w:t>0,118</w:t>
            </w:r>
          </w:p>
        </w:tc>
        <w:tc>
          <w:tcPr>
            <w:tcW w:w="1560" w:type="dxa"/>
            <w:tcBorders/>
          </w:tcPr>
          <w:p>
            <w:pPr>
              <w:pStyle w:val="Normal"/>
              <w:widowControl w:val="false"/>
              <w:spacing w:lineRule="auto" w:line="276" w:before="0" w:after="120"/>
              <w:rPr/>
            </w:pPr>
            <w:r>
              <w:rPr>
                <w:rFonts w:eastAsia="Times New Roman" w:cs="Times New Roman"/>
                <w:sz w:val="19"/>
              </w:rPr>
              <w:t>0,146</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560" w:type="dxa"/>
            <w:tcBorders/>
          </w:tcPr>
          <w:p>
            <w:pPr>
              <w:pStyle w:val="Normal"/>
              <w:widowControl w:val="false"/>
              <w:spacing w:lineRule="auto" w:line="276" w:before="0" w:after="120"/>
              <w:rPr/>
            </w:pPr>
            <w:r>
              <w:rPr>
                <w:rFonts w:eastAsia="Times New Roman" w:cs="Times New Roman"/>
                <w:sz w:val="19"/>
              </w:rPr>
              <w:t>0,200</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0,155</w:t>
            </w:r>
          </w:p>
        </w:tc>
        <w:tc>
          <w:tcPr>
            <w:tcW w:w="1560" w:type="dxa"/>
            <w:tcBorders/>
          </w:tcPr>
          <w:p>
            <w:pPr>
              <w:pStyle w:val="Normal"/>
              <w:widowControl w:val="false"/>
              <w:spacing w:lineRule="auto" w:line="276" w:before="0" w:after="120"/>
              <w:rPr/>
            </w:pPr>
            <w:r>
              <w:rPr>
                <w:rFonts w:eastAsia="Times New Roman" w:cs="Times New Roman"/>
                <w:sz w:val="19"/>
              </w:rPr>
              <w:t>0,238</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560" w:type="dxa"/>
            <w:tcBorders/>
          </w:tcPr>
          <w:p>
            <w:pPr>
              <w:pStyle w:val="Normal"/>
              <w:widowControl w:val="false"/>
              <w:spacing w:lineRule="auto" w:line="276" w:before="0" w:after="120"/>
              <w:rPr/>
            </w:pPr>
            <w:r>
              <w:rPr>
                <w:rFonts w:eastAsia="Times New Roman" w:cs="Times New Roman"/>
                <w:sz w:val="19"/>
              </w:rPr>
              <w:t>0,207</w:t>
            </w:r>
          </w:p>
        </w:tc>
        <w:tc>
          <w:tcPr>
            <w:tcW w:w="1560" w:type="dxa"/>
            <w:tcBorders/>
          </w:tcPr>
          <w:p>
            <w:pPr>
              <w:pStyle w:val="Normal"/>
              <w:widowControl w:val="false"/>
              <w:spacing w:lineRule="auto" w:line="276" w:before="0" w:after="120"/>
              <w:rPr/>
            </w:pPr>
            <w:r>
              <w:rPr>
                <w:rFonts w:eastAsia="Times New Roman" w:cs="Times New Roman"/>
                <w:sz w:val="19"/>
              </w:rPr>
              <w:t>0,117</w:t>
            </w:r>
          </w:p>
        </w:tc>
        <w:tc>
          <w:tcPr>
            <w:tcW w:w="1560" w:type="dxa"/>
            <w:tcBorders/>
          </w:tcPr>
          <w:p>
            <w:pPr>
              <w:pStyle w:val="Normal"/>
              <w:widowControl w:val="false"/>
              <w:spacing w:lineRule="auto" w:line="276" w:before="0" w:after="120"/>
              <w:rPr/>
            </w:pPr>
            <w:r>
              <w:rPr>
                <w:rFonts w:eastAsia="Times New Roman" w:cs="Times New Roman"/>
                <w:sz w:val="19"/>
              </w:rPr>
              <w:t>0,162</w:t>
            </w:r>
          </w:p>
        </w:tc>
        <w:tc>
          <w:tcPr>
            <w:tcW w:w="1560" w:type="dxa"/>
            <w:tcBorders/>
          </w:tcPr>
          <w:p>
            <w:pPr>
              <w:pStyle w:val="Normal"/>
              <w:widowControl w:val="false"/>
              <w:spacing w:lineRule="auto" w:line="276" w:before="0" w:after="120"/>
              <w:rPr/>
            </w:pPr>
            <w:r>
              <w:rPr>
                <w:rFonts w:eastAsia="Times New Roman" w:cs="Times New Roman"/>
                <w:sz w:val="19"/>
              </w:rPr>
              <w:t>0,239</w:t>
            </w:r>
          </w:p>
        </w:tc>
      </w:tr>
    </w:tbl>
    <w:p>
      <w:pPr>
        <w:pStyle w:val="Normal"/>
        <w:spacing w:lineRule="auto" w:line="360"/>
        <w:ind w:firstLine="709"/>
        <w:jc w:val="both"/>
        <w:rPr/>
      </w:pPr>
      <w:r>
        <w:rPr>
          <w:iCs/>
          <w:rFonts w:eastAsia="Times New Roman" w:cs="Times New Roman"/>
        </w:rPr>
        <w:t xml:space="preserve">La Tabla 13 confirma la complementariedad de forma extrema: el infrarrojo domina en personas (AP@0,5 = 0,220) pero es prácticamente ciego a las luces (0,018), y el visible presenta el patrón espejo (0,178 y 0,135). Las mejores fusiones superan en el promedio del par a ambas modalidades individuales —algo que ninguna logra por separado—, con la Propuesta Novedosa como la mejor fusión del estudio tanto en mAP global (0,239) como en personas (0,207, cerca del infrarrojo puro), manteniendo las luces cerca del visible; el óptimo de F_apt supera además al de Fo en las dos clases clave. El visible solo conserva el mejor mAP global de seis clases (0,245) por la abundancia de vehículos diurnos, y los valores absolutos son moderados (subconjunto de 500 imágenes y modelo nano): el experimento no busca récords, sino aislar el escenario donde la fusión es insustituible —detectar en una sola imagen objetos que cada modalidad pierde por separado—. La Figura 9 ilustra el fenómeno sobre dos escenas de la validación: el visible no ve a las personas que la fusión recupera y el infrarrojo no ve las luces que la fusión conserva.</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el visible no detecta ninguna persona y la fusión las recupera; en la inferior el infrarrojo no detecta ninguna luz y la fusión las recupera.</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11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Normal"/>
        <w:spacing w:lineRule="auto" w:line="360"/>
        <w:ind w:firstLine="709"/>
        <w:jc w:val="both"/>
        <w:rPr/>
      </w:pPr>
      <w:r>
        <w:rPr>
          <w:i/>
          <w:iCs/>
          <w:rFonts w:eastAsia="Times New Roman" w:cs="Times New Roman"/>
        </w:rPr>
        <w:t xml:space="preserve">Ablación de la función de aptitud. </w:t>
      </w:r>
      <w:r>
        <w:rPr>
          <w:iCs/>
          <w:rFonts w:eastAsia="Times New Roman" w:cs="Times New Roman"/>
        </w:rPr>
        <w:t xml:space="preserve">A pedido de la revisión de avances, el barrido de 25 configuraciones se repitió con la función objetivo del trabajo de referencia, Fo = SSIMavg + En + PSNRn (Ortega y Espinoza, 2025), con su rango original m ∈ [0,3; 2,0], tanto sobre la propuesta como sobre el operador clásico. En las 50 corridas el peso óptimo se ubicó en el límite inferior del rango (m* = 0,30): los dos términos de fidelidad de Fo dominan a la entropía y empujan el realce al mínimo permitido. Sobre la propuesta, Fo seleccionó además r* = 1, un óptimo trivial que desactiva en la práctica el banco de elementos estructurantes.</w:t>
      </w:r>
    </w:p>
    <w:p>
      <w:pPr>
        <w:pStyle w:val="Normal"/>
        <w:spacing w:lineRule="auto" w:line="360"/>
        <w:ind w:firstLine="709"/>
        <w:jc w:val="both"/>
        <w:rPr/>
      </w:pPr>
      <w:r>
        <w:rPr>
          <w:iCs/>
          <w:rFonts w:eastAsia="Times New Roman" w:cs="Times New Roman"/>
        </w:rPr>
        <w:t xml:space="preserve">La Figura 12 muestra el paisaje de aptitud en función de m (con r = 25) sin restricciones de rango: ambas funciones decrecen monótonamente para m ≥ 0,2, de modo que ningún tamaño de enjambre ni número de iteraciones puede converger dentro de [0,5; 2,0]; y el máximo real de Fo sobre la propuesta se ubica en m ≈ 0,07, coincidente con el óptimo de la aptitud orientada a la fusión (m = 0,0703): ambas formulaciones acuerdan el peso adecuado para el operador con suma de ramas.</w:t>
      </w:r>
    </w:p>
    <w:p>
      <w:pPr>
        <w:pStyle w:val="Normal"/>
        <w:spacing w:lineRule="auto" w:line="276"/>
        <w:jc w:val="center"/>
        <w:rPr/>
      </w:pPr>
      <w:r>
        <w:rPr/>
        <w:drawing>
          <wp:inline distT="0" distB="0" distL="0" distR="0">
            <wp:extent cx="5760720" cy="3023475"/>
            <wp:effectExtent l="0" t="0" r="0" b="0"/>
            <wp:docPr id="9911" name="fig_aptitud_vs_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1"/>
                    <a:stretch>
                      <a:fillRect/>
                    </a:stretch>
                  </pic:blipFill>
                  <pic:spPr bwMode="auto">
                    <a:xfrm>
                      <a:off x="0" y="0"/>
                      <a:ext cx="5760720" cy="3023475"/>
                    </a:xfrm>
                    <a:prstGeom prst="rect">
                      <a:avLst/>
                    </a:prstGeom>
                    <a:noFill/>
                  </pic:spPr>
                </pic:pic>
              </a:graphicData>
            </a:graphic>
          </wp:inline>
        </w:drawing>
      </w:r>
    </w:p>
    <w:p>
      <w:pPr>
        <w:pStyle w:val="Normal"/>
        <w:spacing w:lineRule="auto" w:line="276"/>
        <w:jc w:val="both"/>
        <w:rPr/>
      </w:pPr>
      <w:r>
        <w:rPr>
          <w:rFonts w:eastAsia="Times New Roman" w:cs="Times New Roman"/>
          <w:i/>
          <w:sz w:val="18"/>
        </w:rPr>
        <w:t xml:space="preserve">Figura 12. Aptitud en función del peso de contraste m (r = 25), sin restricciones de rango: F_apt de la tesis y Fo del trabajo de referencia sobre ambos operadores.</w:t>
      </w:r>
    </w:p>
    <w:p>
      <w:pPr>
        <w:pStyle w:val="Normal"/>
        <w:spacing w:lineRule="auto" w:line="276"/>
        <w:jc w:val="both"/>
        <w:rPr/>
      </w:pPr>
      <w:r>
        <w:rPr>
          <w:rFonts w:eastAsia="Times New Roman" w:cs="Times New Roman"/>
          <w:i/>
          <w:sz w:val="18"/>
        </w:rPr>
        <w:t xml:space="preserve">Tabla 12. Ablación de la función de aptitud: óptimos de F_apt y de Fo evaluados sobre los 20 pares (medias).</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248"/>
        <w:gridCol w:w="1248"/>
        <w:gridCol w:w="1248"/>
        <w:gridCol w:w="1248"/>
        <w:gridCol w:w="1248"/>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Variante</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Qabf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Nabf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SSIM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SCD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VIF ↑</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248" w:type="dxa"/>
            <w:tcBorders/>
          </w:tcPr>
          <w:p>
            <w:pPr>
              <w:pStyle w:val="Normal"/>
              <w:widowControl w:val="false"/>
              <w:spacing w:lineRule="auto" w:line="276" w:before="0" w:after="120"/>
              <w:rPr/>
            </w:pPr>
            <w:r>
              <w:rPr>
                <w:rFonts w:eastAsia="Times New Roman" w:cs="Times New Roman"/>
                <w:sz w:val="19"/>
              </w:rPr>
              <w:t>0,500</w:t>
            </w:r>
          </w:p>
        </w:tc>
        <w:tc>
          <w:tcPr>
            <w:tcW w:w="1248" w:type="dxa"/>
            <w:tcBorders/>
          </w:tcPr>
          <w:p>
            <w:pPr>
              <w:pStyle w:val="Normal"/>
              <w:widowControl w:val="false"/>
              <w:spacing w:lineRule="auto" w:line="276" w:before="0" w:after="120"/>
              <w:rPr/>
            </w:pPr>
            <w:r>
              <w:rPr>
                <w:b/>
                <w:rFonts w:eastAsia="Times New Roman" w:cs="Times New Roman"/>
                <w:sz w:val="19"/>
              </w:rPr>
              <w:t>0,041</w:t>
            </w:r>
          </w:p>
        </w:tc>
        <w:tc>
          <w:tcPr>
            <w:tcW w:w="1248" w:type="dxa"/>
            <w:tcBorders/>
          </w:tcPr>
          <w:p>
            <w:pPr>
              <w:pStyle w:val="Normal"/>
              <w:widowControl w:val="false"/>
              <w:spacing w:lineRule="auto" w:line="276" w:before="0" w:after="120"/>
              <w:rPr/>
            </w:pPr>
            <w:r>
              <w:rPr>
                <w:b/>
                <w:rFonts w:eastAsia="Times New Roman" w:cs="Times New Roman"/>
                <w:sz w:val="19"/>
              </w:rPr>
              <w:t>0,782</w:t>
            </w:r>
          </w:p>
        </w:tc>
        <w:tc>
          <w:tcPr>
            <w:tcW w:w="1248" w:type="dxa"/>
            <w:tcBorders/>
          </w:tcPr>
          <w:p>
            <w:pPr>
              <w:pStyle w:val="Normal"/>
              <w:widowControl w:val="false"/>
              <w:spacing w:lineRule="auto" w:line="276" w:before="0" w:after="120"/>
              <w:rPr/>
            </w:pPr>
            <w:r>
              <w:rPr>
                <w:rFonts w:eastAsia="Times New Roman" w:cs="Times New Roman"/>
                <w:sz w:val="19"/>
              </w:rPr>
              <w:t>1,450</w:t>
            </w:r>
          </w:p>
        </w:tc>
        <w:tc>
          <w:tcPr>
            <w:tcW w:w="1248" w:type="dxa"/>
            <w:tcBorders/>
          </w:tcPr>
          <w:p>
            <w:pPr>
              <w:pStyle w:val="Normal"/>
              <w:widowControl w:val="false"/>
              <w:spacing w:lineRule="auto" w:line="276" w:before="0" w:after="120"/>
              <w:rPr/>
            </w:pPr>
            <w:r>
              <w:rPr>
                <w:rFonts w:eastAsia="Times New Roman" w:cs="Times New Roman"/>
                <w:sz w:val="19"/>
              </w:rPr>
              <w:t>0,368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 Fo (r = 25; m = 0,30)</w:t>
            </w:r>
          </w:p>
        </w:tc>
        <w:tc>
          <w:tcPr>
            <w:tcW w:w="1248" w:type="dxa"/>
            <w:tcBorders/>
          </w:tcPr>
          <w:p>
            <w:pPr>
              <w:pStyle w:val="Normal"/>
              <w:widowControl w:val="false"/>
              <w:spacing w:lineRule="auto" w:line="276" w:before="0" w:after="120"/>
              <w:rPr/>
            </w:pPr>
            <w:r>
              <w:rPr>
                <w:b/>
                <w:rFonts w:eastAsia="Times New Roman" w:cs="Times New Roman"/>
                <w:sz w:val="19"/>
              </w:rPr>
              <w:t>0,534</w:t>
            </w:r>
          </w:p>
        </w:tc>
        <w:tc>
          <w:tcPr>
            <w:tcW w:w="1248" w:type="dxa"/>
            <w:tcBorders/>
          </w:tcPr>
          <w:p>
            <w:pPr>
              <w:pStyle w:val="Normal"/>
              <w:widowControl w:val="false"/>
              <w:spacing w:lineRule="auto" w:line="276" w:before="0" w:after="120"/>
              <w:rPr/>
            </w:pPr>
            <w:r>
              <w:rPr>
                <w:rFonts w:eastAsia="Times New Roman" w:cs="Times New Roman"/>
                <w:sz w:val="19"/>
              </w:rPr>
              <w:t>0,184</w:t>
            </w:r>
          </w:p>
        </w:tc>
        <w:tc>
          <w:tcPr>
            <w:tcW w:w="1248" w:type="dxa"/>
            <w:tcBorders/>
          </w:tcPr>
          <w:p>
            <w:pPr>
              <w:pStyle w:val="Normal"/>
              <w:widowControl w:val="false"/>
              <w:spacing w:lineRule="auto" w:line="276" w:before="0" w:after="120"/>
              <w:rPr/>
            </w:pPr>
            <w:r>
              <w:rPr>
                <w:rFonts w:eastAsia="Times New Roman" w:cs="Times New Roman"/>
                <w:sz w:val="19"/>
              </w:rPr>
              <w:t>0,745</w:t>
            </w:r>
          </w:p>
        </w:tc>
        <w:tc>
          <w:tcPr>
            <w:tcW w:w="1248" w:type="dxa"/>
            <w:tcBorders/>
          </w:tcPr>
          <w:p>
            <w:pPr>
              <w:pStyle w:val="Normal"/>
              <w:widowControl w:val="false"/>
              <w:spacing w:lineRule="auto" w:line="276" w:before="0" w:after="120"/>
              <w:rPr/>
            </w:pPr>
            <w:r>
              <w:rPr>
                <w:b/>
                <w:rFonts w:eastAsia="Times New Roman" w:cs="Times New Roman"/>
                <w:sz w:val="19"/>
              </w:rPr>
              <w:t>1,504</w:t>
            </w:r>
          </w:p>
        </w:tc>
        <w:tc>
          <w:tcPr>
            <w:tcW w:w="1248" w:type="dxa"/>
            <w:tcBorders/>
          </w:tcPr>
          <w:p>
            <w:pPr>
              <w:pStyle w:val="Normal"/>
              <w:widowControl w:val="false"/>
              <w:spacing w:lineRule="auto" w:line="276" w:before="0" w:after="120"/>
              <w:rPr/>
            </w:pPr>
            <w:r>
              <w:rPr>
                <w:b/>
                <w:rFonts w:eastAsia="Times New Roman" w:cs="Times New Roman"/>
                <w:sz w:val="19"/>
              </w:rPr>
              <w:t>0,395</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248" w:type="dxa"/>
            <w:tcBorders/>
          </w:tcPr>
          <w:p>
            <w:pPr>
              <w:pStyle w:val="Normal"/>
              <w:widowControl w:val="false"/>
              <w:spacing w:lineRule="auto" w:line="276" w:before="0" w:after="120"/>
              <w:rPr/>
            </w:pPr>
            <w:r>
              <w:rPr>
                <w:rFonts w:eastAsia="Times New Roman" w:cs="Times New Roman"/>
                <w:sz w:val="19"/>
              </w:rPr>
              <w:t>0,448</w:t>
            </w:r>
          </w:p>
        </w:tc>
        <w:tc>
          <w:tcPr>
            <w:tcW w:w="1248" w:type="dxa"/>
            <w:tcBorders/>
          </w:tcPr>
          <w:p>
            <w:pPr>
              <w:pStyle w:val="Normal"/>
              <w:widowControl w:val="false"/>
              <w:spacing w:lineRule="auto" w:line="276" w:before="0" w:after="120"/>
              <w:rPr/>
            </w:pPr>
            <w:r>
              <w:rPr>
                <w:rFonts w:eastAsia="Times New Roman" w:cs="Times New Roman"/>
                <w:sz w:val="19"/>
              </w:rPr>
              <w:t>0,121</w:t>
            </w:r>
          </w:p>
        </w:tc>
        <w:tc>
          <w:tcPr>
            <w:tcW w:w="1248" w:type="dxa"/>
            <w:tcBorders/>
          </w:tcPr>
          <w:p>
            <w:pPr>
              <w:pStyle w:val="Normal"/>
              <w:widowControl w:val="false"/>
              <w:spacing w:lineRule="auto" w:line="276" w:before="0" w:after="120"/>
              <w:rPr/>
            </w:pPr>
            <w:r>
              <w:rPr>
                <w:rFonts w:eastAsia="Times New Roman" w:cs="Times New Roman"/>
                <w:sz w:val="19"/>
              </w:rPr>
              <w:t>0,761</w:t>
            </w:r>
          </w:p>
        </w:tc>
        <w:tc>
          <w:tcPr>
            <w:tcW w:w="1248" w:type="dxa"/>
            <w:tcBorders/>
          </w:tcPr>
          <w:p>
            <w:pPr>
              <w:pStyle w:val="Normal"/>
              <w:widowControl w:val="false"/>
              <w:spacing w:lineRule="auto" w:line="276" w:before="0" w:after="120"/>
              <w:rPr/>
            </w:pPr>
            <w:r>
              <w:rPr>
                <w:rFonts w:eastAsia="Times New Roman" w:cs="Times New Roman"/>
                <w:sz w:val="19"/>
              </w:rPr>
              <w:t>1,353</w:t>
            </w:r>
          </w:p>
        </w:tc>
        <w:tc>
          <w:tcPr>
            <w:tcW w:w="1248" w:type="dxa"/>
            <w:tcBorders/>
          </w:tcPr>
          <w:p>
            <w:pPr>
              <w:pStyle w:val="Normal"/>
              <w:widowControl w:val="false"/>
              <w:spacing w:lineRule="auto" w:line="276" w:before="0" w:after="120"/>
              <w:rPr/>
            </w:pPr>
            <w:r>
              <w:rPr>
                <w:rFonts w:eastAsia="Times New Roman" w:cs="Times New Roman"/>
                <w:sz w:val="19"/>
              </w:rPr>
              <w:t>0,322</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manual (r = 5; m = 1)</w:t>
            </w:r>
          </w:p>
        </w:tc>
        <w:tc>
          <w:tcPr>
            <w:tcW w:w="1248" w:type="dxa"/>
            <w:tcBorders/>
          </w:tcPr>
          <w:p>
            <w:pPr>
              <w:pStyle w:val="Normal"/>
              <w:widowControl w:val="false"/>
              <w:spacing w:lineRule="auto" w:line="276" w:before="0" w:after="120"/>
              <w:rPr/>
            </w:pPr>
            <w:r>
              <w:rPr>
                <w:rFonts w:eastAsia="Times New Roman" w:cs="Times New Roman"/>
                <w:sz w:val="19"/>
              </w:rPr>
              <w:t>0,305</w:t>
            </w:r>
          </w:p>
        </w:tc>
        <w:tc>
          <w:tcPr>
            <w:tcW w:w="1248" w:type="dxa"/>
            <w:tcBorders/>
          </w:tcPr>
          <w:p>
            <w:pPr>
              <w:pStyle w:val="Normal"/>
              <w:widowControl w:val="false"/>
              <w:spacing w:lineRule="auto" w:line="276" w:before="0" w:after="120"/>
              <w:rPr/>
            </w:pPr>
            <w:r>
              <w:rPr>
                <w:rFonts w:eastAsia="Times New Roman" w:cs="Times New Roman"/>
                <w:sz w:val="19"/>
              </w:rPr>
              <w:t>0,585</w:t>
            </w:r>
          </w:p>
        </w:tc>
        <w:tc>
          <w:tcPr>
            <w:tcW w:w="1248" w:type="dxa"/>
            <w:tcBorders/>
          </w:tcPr>
          <w:p>
            <w:pPr>
              <w:pStyle w:val="Normal"/>
              <w:widowControl w:val="false"/>
              <w:spacing w:lineRule="auto" w:line="276" w:before="0" w:after="120"/>
              <w:rPr/>
            </w:pPr>
            <w:r>
              <w:rPr>
                <w:rFonts w:eastAsia="Times New Roman" w:cs="Times New Roman"/>
                <w:sz w:val="19"/>
              </w:rPr>
              <w:t>0,578</w:t>
            </w:r>
          </w:p>
        </w:tc>
        <w:tc>
          <w:tcPr>
            <w:tcW w:w="1248" w:type="dxa"/>
            <w:tcBorders/>
          </w:tcPr>
          <w:p>
            <w:pPr>
              <w:pStyle w:val="Normal"/>
              <w:widowControl w:val="false"/>
              <w:spacing w:lineRule="auto" w:line="276" w:before="0" w:after="120"/>
              <w:rPr/>
            </w:pPr>
            <w:r>
              <w:rPr>
                <w:rFonts w:eastAsia="Times New Roman" w:cs="Times New Roman"/>
                <w:sz w:val="19"/>
              </w:rPr>
              <w:t>1,360</w:t>
            </w:r>
          </w:p>
        </w:tc>
        <w:tc>
          <w:tcPr>
            <w:tcW w:w="1248" w:type="dxa"/>
            <w:tcBorders/>
          </w:tcPr>
          <w:p>
            <w:pPr>
              <w:pStyle w:val="Normal"/>
              <w:widowControl w:val="false"/>
              <w:spacing w:lineRule="auto" w:line="276" w:before="0" w:after="120"/>
              <w:rPr/>
            </w:pPr>
            <w:r>
              <w:rPr>
                <w:rFonts w:eastAsia="Times New Roman" w:cs="Times New Roman"/>
                <w:sz w:val="19"/>
              </w:rPr>
              <w:t>0,334</w:t>
            </w:r>
          </w:p>
        </w:tc>
      </w:tr>
    </w:tbl>
    <w:p>
      <w:pPr>
        <w:pStyle w:val="Normal"/>
        <w:spacing w:lineRule="auto" w:line="360"/>
        <w:ind w:firstLine="709"/>
        <w:jc w:val="both"/>
        <w:rPr/>
      </w:pPr>
      <w:r>
        <w:rPr>
          <w:iCs/>
          <w:rFonts w:eastAsia="Times New Roman" w:cs="Times New Roman"/>
        </w:rPr>
        <w:t xml:space="preserve">La propuesta optimizada con la aptitud orientada a la fusión conserva el mejor perfil de limpieza y estructura (Nabf = 0,041; SSIM = 0,782). El óptimo de Fo sobre el operador clásico (r = 25; m = 0,30) resulta competitivo en bordes y correlación al costo de 4,5 veces más artefactos, y el óptimo de Fo sobre la propuesta confirma su carácter trivial. La función de aptitud define el perfil del resultado: la orientada a la fusión es la adecuada para los objetivos de esta tesis, lo que refuerza H2.</w:t>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 Sexto, el experimento de clases complementarias sobre M3FD delimita el escenario donde la fusión es insustituible: cuando la escena contiene objetos térmicos (personas) y objetos exclusivamente visibles (luces), las mejores fusiones superan en el par complementario a ambas modalidades individuales y la propuesta es la mejor fusión del estudio, detectando ambas clases en una sola imagen.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En el experimento de clases complementarias (M3FD), en cambio, la fusión muestra su valor distintivo: detecta simultáneamente los objetos térmicos (personas) y los exclusivamente visibles (luces) que cada modalidad pierde por separado, con la propuesta como la mejor fusión del estudio (mAP@0,5 = 0,239).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