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m=0,070) la propuesta alcanza la mayor similitud estructural del estudio (SSIM=0,782), significativamente superior a los cinco métodos del estado del arte, y se ubica segunda en información mutua con las fuentes (MI); es más conservadora en las métricas de actividad y contraste (EN, SD, SF), lideradas por los métodos de mayor realce como el Top-Hat clásico y la pirámide de Laplace.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destaca en fidelidad estructural (SSIM) y preservación de información, aporta un operador morfológico de una sola escala interpretable y de bajo costo optimizado con una metodología publicada (Ortega y Espinoza, 2025), y resulta competitiva en la evaluación orientada a tarea —siendo la mejor fusión en el escenario de clases complementarias—.</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m=0.070) the proposal attains the highest structural similarity of the study (SSIM=0.782), significantly above the five state-of-the-art methods, and ranks second in mutual information with the sources (MI); it is more conservative in activity and contrast metrics (EN, SD, SF), led by higher-enhancement methods such as the classical Top-Hat and the Laplacian pyramid.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stands out in structural fidelity (SSIM) and information preservation, contributes an interpretable single-scale morphological operator optimized with a published methodology (Ortega and Espinoza, 2025), and is competitive in the task-oriented evaluation —the best fusion in the complementary-class scenario—.</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las personas que el visible pierde y las luces que el infrarrojo pierde.</w:t>
      </w:r>
    </w:p>
    <w:p>
      <w:pPr>
        <w:pStyle w:val="Normal"/>
        <w:spacing w:lineRule="auto" w:line="276" w:before="0" w:after="40"/>
        <w:jc w:val="both"/>
        <w:rPr/>
      </w:pPr>
      <w:r>
        <w:rPr>
          <w:rFonts w:eastAsia="Times New Roman" w:cs="Times New Roman"/>
          <w:i/>
          <w:sz w:val="18"/>
        </w:rPr>
        <w:t>Figura 10.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11.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nueve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frente a la metodología clásica de fusión Top-Hat y a los métodos del estado del arte.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sobre tres escenas representativas, con r ∈ [1, 25] y m ∈ [0,05; 1,20] —el rango de m se amplía respecto del original [0,3; 2,0] porque el operador con suma de ramas inyecta del orden de cuatro veces más energía de detalle que el disco único para el que se calibró—, alcanza el óptimo r = 25, m ≈ 0,07 (Fo = 1,7654), de forma consistente con los enjambres de 10 partículas y 30 o más iteraciones; se adopta la configuración operativa r = 25, m = 0,0703 —sobre la meseta plana del óptimo de Fo—, con la que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(Fo = 1,7654;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entropía de bordes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Fo = SSIMavg + En + PSNRn,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 indicador cuantitativo más destacado: la mayor similitud estructural del estudio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 indicador cuantitativo más destacado: la mayor similitud estructural del estudio (SSIM = 0,782), reflejo de una fusión más fiel a las fuentes y menos propensa al realce agresivo.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En las métricas clásicas la pirámide de Laplace lidera la desviación estándar y la información mutua, mientras que el Top-Hat clásico maximiza EN, MG y SF al inyectar la energía de detalle sin ponderación. La propuesta, en cambio, alcanza la mayor similitud estructural del benchmark (SSIM = 0,782) y se ubica segunda en información mutua con las fuentes, mostrando una fusión más fiel y conservadora; el operador clásico, en el extremo opuesto, maximiza la actividad pero pierde una cuarta parte de la similitud estructural (SSIM = 0,578).</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20,2687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21,9655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22,7767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22,7857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22,8375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17,4947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18,7313</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107,47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(90 contrastes; detalle en el Apéndice C). El hallazgo central: la propuesta mejora de forma estadísticamente significativa la similitud estructural (SSIM) frente a los cinco métodos del estado del arte (p_Holm ≤ 0,001) y la información mutua con las fuentes frente a la mayoría de ellos, mientras que cede de manera sistemática en las métricas de actividad y contraste (EN, SD, MG, SF), donde lideran los operadores de mayor realce. Frente al Top-Hat clásico, la ventaja en SSIM e información mutua es amplia y significativa.</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pirámide de Laplace encabeza el ranking global (3,11), seguida por DTCWT y el Top-Hat clásico (3,78) y RP (3,89); la propuesta ocupa el séptimo lugar (5,00), penalizada por las métricas de actividad y contraste —que premian el realce agresivo, liderado por el Top-Hat clásico—, pese a ser primera en SSIM y segunda en información mutua.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en la banda de las fusiones y a pocos puntos del mejor, sin ser líder. La conclusión es matizada y relevante: la superioridad de la propuesta en la calidad estructural de imagen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9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 La Figura 9 ilustra el fenómeno sobre dos escenas de la validación: el visible no ve a las personas que la fusión recupera y el infrarrojo no ve las luces que la fusión conserva.</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el visible no detecta ninguna persona y la fusión las recupera; en la inferior el infrarrojo no detecta ninguna luz y la fusión las recupera.</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r ∈ [1, 25]; el óptimo global r = 25 y m ≈ 0,07 (Fo = 1,7654) fue alcanzado de forma consistente por los enjambres de 10 partículas con 30 o más iteraciones. Esta aptitud premia simultáneamente la fidelidad estructural (SSIM), el contenido informativo (entropía) y la reducción de la distorsión (PSNR), evitando el realce trivial al que conduce una aptitud de contraste puro.</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métricas representativas. La propuesta alcanza la mayor similitud estructural del estudio (SSIM = 0,782, frente a 0,578 del Top-Hat clásico) y una preservación de información competitiva (MI_ir = 0,909), a costa de una menor actividad de contraste (SF = 9,6 frente a 22,9 del clásico) y un PSNR intermedio (18,7). Refleja así una fusión conservadora y estructuralmente fiel, en contraste con el realce agresivo del operador clásico.</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similitud estructural (SSIM) e información mutua con las fuentes (MI_vis, MI_ir; p_Holm ≤ 0,001) y cede en las métricas de actividad y contraste (EN, SD, FE, MG, SF), que el operador clásico infla a costa de la fidelidad estructural. Frente a los cinco métodos del estado del arte, la ventaja significativa más consistente de la propuesta es en SSIM —supera a los cinco (p_Holm &lt; 0,05)— y en información mutua mejora a la mayoría; en cambio cede de forma sistemática en las métricas de actividad y contraste, donde lideran los operadores de mayor realce. Con ello, la ventaja de la propuesta en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SSIM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0,782</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0,578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0,721</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0,721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0,739</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PSNR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18,73</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17,49</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20,27</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21,97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22,79</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9,64</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22,86</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13,04</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13,34</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13,03</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MI_ir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0,909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0,586</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1,072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0,881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0,891</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0,117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0,139</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0,155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0,130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11 resume la optimización del método. El panel izquierdo muestra la mejor aptitud alcanzada según el número de partículas (Tmax = 50): los enjambres grandes escapan del óptimo local r = 1 y alcanzan la aptitud máxima Fo = 1,7654.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1,7556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1,7556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1,7572</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1,7633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1,7654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1,7580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1,7558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1,7654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1,7642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1,7654</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prioriza la fidelidad sobre el realce: alcanza la mayor similitud estructural del benchmark (SSIM = 0,782), significativamente superior a los cinco métodos del estado del arte, y se ubica segunda en información mutua con las fuentes, a costa de ceder en las métricas de actividad y contraste (EN, SD, MG, SF). Segundo, no existe un método universalmente dominante: la pirámide de Laplace lidera el contraste (SD) y la información mutua, el Top-Hat clásico la actividad bruta (EN, MG, SF) y la propuesta la similitud estructural (SSIM); son óptimos de criterios distintos y complementarios. Tercero, la comparación con la metodología clásica de la transformada Top-Hat aísla el aporte de la propuesta: el operador clásico maximiza la actividad bruta (EN, MG, SF) pero registra la peor similitud estructural del estudio (SSIM = 0,578), mientras que la propuesta la eleva a 0,782; la diferencia entre ambas mide la contribución del banco disco + líneas y del ajuste (r, m) por PSO. Cuarto, las métricas de actividad e información premian el realce agresivo y deben leerse junto a la similitud estructural, pues por sí solas favorecerían al operador más ruidoso a costa de la fidelidad.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la mayor similitud estructural del benchmark (SSIM=0,782) y una preservación de información competitiva (segunda en información mutua con las fuentes), con una fusión conservadora y fiel a las fuentes. Supera a la metodología clásica Top-Hat en similitud estructural e información mutua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en similitud estructural (SSIM=0,739), la pirámide de Laplace lidera el contraste (SD)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(3,11 sobre los 7 métodos), sostenido por su ventaja en contraste (SD) e información mutua con las fuentes; no domina, en cambio, en fidelidad estructural, donde la propuesta la supera de forma estadísticamente significativa. La propuesta, penalizada por las métricas de actividad y contraste, queda en el séptimo lugar (5,00) pese a liderar la similitud estructural.</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SSIM frente a la pirámide de Laplace y a los demás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fidelidad estructural a las fuentes, emplear la Propuesta Novedosa (r = 25, m = 0,070), que registra la mayor similitud estructural (SSIM) del benchmark y una preservación de información competitiva; para un balance que privilegie el contraste global y la actividad, la pirámide de Laplace y la metodología clásica Top-Hat siguen siendo opciones sólidas, esta última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90 contrastes Wilcoxon (2 métodos morfológicos × 5 métodos del estado del arte ×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