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nueve métricas sin referencia bajo pruebas no paramétricas (Friedman y Wilcoxon con corrección de Holm). En su configuración óptima (PSO: r=25, m=0,30) la propuesta lidera la entropía y la eficiencia de fusión del estudio (EN=6,9855; FE=1,1047) y se ubica segunda en contraste, gradiente medio y frecuencia espacial (SD=0,1439; MG=0,0355; SF=17,4425), con ventaja estadísticamente significativa sobre los cinco métodos del estado del arte en EN, FE, MG y SF; cede, en cambio, en las métricas de fidelidad a las fuentes (SSIM=0,6584; PSNR=16,8409) y en información mutua, lideradas por los métodos multiescala. En el ranking agregado de las nueve métricas —promedio de los rangos obtenidos dentro de cada par de imágenes— ocupa el primer lugar (3,39), por delante de la pirámide de Laplace (3,91) y del Top-Hat clásico (3,94). Como evaluación orientada a tarea, el reentrenamiento de un detector (YOLOv8n) sobre el conjunto etiquetado LLVIP muestra que toda fusión supera con claridad al visible solo (mAP@0,5 de 0,81 a 0,91–0,95), aunque el infrarrojo solo es la modalidad más fuerte (0,971) y la propuesta queda en el extremo inferior de la banda de fusiones (0,906), evidenciando que el realce que premian las métricas de actividad no se traslada a la detección. En un experimento complementario sobre M3FD, con dos clases de visibilidad opuesta (personas/IR y luces/VIS) y un único detector entrenado con ambas modalidades, la Ratio Pyramid es la única entrada cuyo promedio del par complementario (0,622) supera a las dos modalidades por separado (0,618 del visible y 0,563 del infrarrojo), mientras la propuesta alcanza 0,564, al nivel del infrarrojo solo. Se concluye que la propuesta destaca en actividad, detalle y contenido informativo —superando de forma significativa al estado del arte en cuatro de las nueve métricas y a la metodología clásica en seis—, aporta un operador morfológico de una sola escala interpretable y de bajo costo optimizado con una metodología publicada (Ortega y Espinoza, 2025), y, en la evaluación orientada a tarea, documenta un hallazgo relevante: la configuración que maximiza las métricas de actividad no es la que maximiza el desempeño de detección, de modo que ambos criterios deben reportarse por separado.</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nine no-reference metrics under non-parametric testing (Friedman, Wilcoxon with Holm correction). At its optimal configuration (PSO: r=25, m=0.30) the proposal leads the study in entropy and fusion efficiency (EN=6.9855; FE=1.1047) and ranks second in contrast, mean gradient and spatial frequency (SD=0.1439; MG=0.0355; SF=17.4425), with a statistically significant advantage over the five state-of-the-art methods in EN, FE, MG and SF; it yields, in turn, on the fidelity metrics (SSIM=0.6584; PSNR=16.8409) and on mutual information, led by the multiscale methods. In the aggregate ranking over the nine metrics —the average of the ranks obtained within each image pair— it ranks first (3.39), ahead of the Laplacian pyramid (3.91) and the classical Top-Hat (3.94). As a task-oriented evaluation, retraining a detector (YOLOv8n) on the labeled LLVIP dataset shows that every fusion clearly outperforms the visible modality alone (mAP@0.5 from 0.81 to 0.91–0.95), although the infrared alone remains the strongest modality (0.971) and the proposal falls at the lower end of the fusion band (0.906), evidencing that the enhancement rewarded by activity metrics does not transfer to detection. In a complementary experiment on M3FD, with two classes of opposite visibility (people/IR and lamps/VIS) and a single detector trained on both modalities, the Ratio Pyramid is the only input whose complementary-pair average (0.622) exceeds both single modalities (0.618 for the visible and 0.563 for the infrared), while the proposal reaches 0.564, on par with the infrared alone. We conclude that the proposal stands out in activity, detail and information content —significantly outperforming the state of the art in four of the nine metrics and the classical methodology in six—, contributes an interpretable single-scale morphological operator optimized with a published methodology (Ortega and Espinoza, 2025), and, in the task-oriented evaluation, documents a relevant finding: the configuration that maximizes activity metrics is not the one that maximizes detection performance, so both criteria must be reported separately.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PSO,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13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21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22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23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24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25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28</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30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36</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36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41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42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43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43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45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46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46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47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50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52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 xml:space="preserve">5.8 Auditoría del protocolo de evaluación</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5.8.1 Sensibilidad del orden de mérito y redundancia interna (H2, H4)</w:t>
        <w:tab/>
        <w:t>59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5.8.2 Control negativo con degradaciones conocidas (H3)</w:t>
        <w:tab/>
        <w:t>60</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5.8.3 Aporte del banco con hiperparámetros igualados (H7)</w:t>
        <w:tab/>
        <w:t>61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5.8.4 Robustez frente al ajuste simétrico de los comparativos</w:t>
        <w:tab/>
        <w:t>62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 xml:space="preserve">5.8.5 Alcance de la optimización y contraste con la tarea (H5, H6)</w:t>
        <w:tab/>
        <w:t>63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63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65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67</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71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72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73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 y Petrović, 2000)</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representativas (SSIM, SF, EN, SD, MI_ir, PSNR) por método (n = 20 pares VIS/IR).</w:t>
      </w:r>
    </w:p>
    <w:p>
      <w:pPr>
        <w:pStyle w:val="Normal"/>
        <w:spacing w:lineRule="auto" w:line="276" w:before="0" w:after="40"/>
        <w:jc w:val="both"/>
        <w:rPr/>
      </w:pPr>
      <w:r>
        <w:rPr>
          <w:rFonts w:eastAsia="Times New Roman" w:cs="Times New Roman"/>
          <w:sz w:val="21"/>
        </w:rPr>
        <w:t>Figura 8. Ranking global por método (promedio de rangos sobre las nueve métricas, con la dirección de cada una corregida).</w:t>
      </w:r>
    </w:p>
    <w:p>
      <w:pPr>
        <w:pStyle w:val="Normal"/>
        <w:spacing w:lineRule="auto" w:line="276" w:before="0" w:after="40"/>
        <w:jc w:val="both"/>
        <w:rPr/>
      </w:pPr>
      <w:r>
        <w:rPr>
          <w:rFonts w:eastAsia="Times New Roman" w:cs="Times New Roman"/>
          <w:sz w:val="18"/>
        </w:rPr>
        <w:t xml:space="preserve">Figura 9. Detecciones del modelo único VIS+IR en dos escenas de M3FD: la fusión recupera personas y luces en una sola imagen, allí donde el infrarrojo apenas detecta luces.</w:t>
      </w:r>
    </w:p>
    <w:p>
      <w:pPr>
        <w:pStyle w:val="Normal"/>
        <w:spacing w:lineRule="auto" w:line="276" w:before="0" w:after="40"/>
        <w:jc w:val="both"/>
        <w:rPr/>
      </w:pPr>
      <w:r>
        <w:rPr>
          <w:rFonts w:eastAsia="Times New Roman" w:cs="Times New Roman"/>
          <w:i/>
          <w:sz w:val="18"/>
        </w:rPr>
        <w:t>Figura 10. Propuesta Novedosa (PSO: r = 25, m = 0,30) frente a la metodología clásica Top-Hat y al estado del arte.</w:t>
      </w:r>
    </w:p>
    <w:p>
      <w:pPr>
        <w:pStyle w:val="Normal"/>
        <w:spacing w:lineRule="auto" w:line="276" w:before="0" w:after="40"/>
        <w:jc w:val="both"/>
        <w:rPr/>
      </w:pPr>
      <w:r>
        <w:rPr>
          <w:rFonts w:eastAsia="Times New Roman" w:cs="Times New Roman"/>
          <w:sz w:val="21"/>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frecuencia espacial (SF), similitud estructural (SSIM) y PSNR por método (n = 20 pares).</w:t>
      </w:r>
    </w:p>
    <w:p>
      <w:pPr>
        <w:pStyle w:val="Normal"/>
        <w:spacing w:lineRule="auto" w:line="276" w:before="0" w:after="40"/>
        <w:rPr/>
      </w:pPr>
      <w:r>
        <w:rPr>
          <w:rFonts w:eastAsia="Times New Roman" w:cs="Times New Roman"/>
          <w:sz w:val="21"/>
        </w:rPr>
        <w:t>Tabla 6. Prueba de Friedman por métrica (χ², p-valor; α = 0,05).</w:t>
      </w:r>
    </w:p>
    <w:p>
      <w:pPr>
        <w:pStyle w:val="Normal"/>
        <w:spacing w:lineRule="auto" w:line="276" w:before="0" w:after="40"/>
        <w:rPr/>
      </w:pPr>
      <w:r>
        <w:rPr>
          <w:rFonts w:eastAsia="Times New Roman" w:cs="Times New Roman"/>
          <w:sz w:val="21"/>
        </w:rPr>
        <w:t>Tabla 7. Ranking promedio por método y métrica (1 = mejor).</w:t>
      </w:r>
    </w:p>
    <w:p>
      <w:pPr>
        <w:pStyle w:val="Normal"/>
        <w:spacing w:lineRule="auto" w:line="276" w:before="0" w:after="40"/>
        <w:jc w:val="both"/>
        <w:rPr/>
      </w:pPr>
      <w:r>
        <w:rPr>
          <w:rFonts w:eastAsia="Times New Roman" w:cs="Times New Roman"/>
          <w:sz w:val="21"/>
        </w:rPr>
        <w:t>Tabla 8.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 xml:space="preserve">Tabla 9. Clases complementarias en M3FD: AP@0,5 por clase y mAP global con un detector único VIS+IR.</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r>
        <w:br w:type="page"/>
      </w:r>
    </w:p>
    <w:p>
      <w:pPr>
        <w:pStyle w:val="Normal"/>
        <w:spacing w:lineRule="auto" w:line="276" w:before="0" w:after="40"/>
        <w:jc w:val="both"/>
        <w:rPr/>
      </w:pPr>
      <w:r>
        <w:rPr>
          <w:rFonts w:eastAsia="Times New Roman" w:cs="Times New Roman"/>
          <w:sz w:val="21"/>
        </w:rPr>
        <w:t xml:space="preserve">Tabla 12. Control negativo: rango medio de los siete métodos y de siete entradas degradadas, bajo tres composiciones del criterio (menor rango = mejor; n = 20 pares).</w:t>
      </w:r>
      <w:r>
        <w:br w:type="page"/>
      </w:r>
    </w:p>
    <w:p>
      <w:pPr>
        <w:pStyle w:val="Normal"/>
        <w:spacing w:lineRule="auto" w:line="276" w:before="0" w:after="40"/>
        <w:jc w:val="both"/>
        <w:rPr/>
      </w:pPr>
      <w:r>
        <w:rPr>
          <w:rFonts w:eastAsia="Times New Roman" w:cs="Times New Roman"/>
          <w:sz w:val="21"/>
        </w:rPr>
        <w:t xml:space="preserve">Tabla 13. Ablación del banco de elementos estructurantes con (r, m) = (25; 0,30) fijos en los seis brazos (menor rango = mejor; n = 20 pares).</w:t>
      </w:r>
      <w:r>
        <w:br w:type="page"/>
      </w:r>
    </w:p>
    <w:p>
      <w:pPr>
        <w:pStyle w:val="Normal"/>
        <w:spacing w:lineRule="auto" w:line="276" w:before="0" w:after="40"/>
        <w:jc w:val="both"/>
        <w:rPr/>
      </w:pPr>
      <w:r>
        <w:rPr>
          <w:rFonts w:eastAsia="Times New Roman" w:cs="Times New Roman"/>
          <w:sz w:val="21"/>
        </w:rPr>
        <w:t xml:space="preserve">Tabla 14. Rango medio por escenario de ajuste: con los comparativos por defecto, con los comparativos ajustados, y con los comparativos ajustados sobre las diecisiete métricas (menor rango = mejor).</w:t>
      </w:r>
      <w:r>
        <w:br w:type="page"/>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Diseñar, implementar y caracterizar un operador de fusión de imágenes visibles e infrarrojas basado en la transformada Top-Hat de una sola escala con un banco de cinco elementos estructurantes —un disco y cuatro segmentos lineales orientados—, determinando en qué dirección desplaza el punto de operación de la fusión frente a la metodología clásica y a cinco configuraciones de referencia del estado del arte sobre el TNO Image Fusion Dataset; y auditar, con ese mismo desarrollo como caso de estudio, la validez discriminativa del protocolo de evaluación empleado —una batería de métricas sin referencia interpretadas como «mayor es mejor», la elección de hiperparámetros guiada por esas mismas métricas y el contraste con una tarea posterior de detección de objetos—, estableciendo en qué medida el orden de mérito que ese protocolo produce autoriza conclusiones sobre la calidad de una imagen fusionada y sobre su utilidad en una tarea posterior.</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e implementar el operador tal como efectivamente se evalúa: sobre una sola escala de radio r se calculan las transformadas Top-Hat y Bottom-Hat con un disco B_r y con cuatro elementos estructurantes lineales orientados a 0°, 45°, 90° y 135° de longitud 2r+1; las cuatro respuestas lineales se promedian y ese promedio se suma a la respuesta del disco; la comparación por máximo por píxel se aplica únicamente entre las respuestas obtenidas del visible y del infrarrojo, no entre las ramas del banco; y la reconstrucción es aditivo-sustractiva ponderada sobre I_base = (VIS + IR)/2. Aislar el aporte del banco mediante una ablación con hiperparámetros fijos.</w:t>
      </w:r>
    </w:p>
    <w:p>
      <w:pPr>
        <w:pStyle w:val="ListParagraph"/>
        <w:numPr>
          <w:ilvl w:val="0"/>
          <w:numId w:val="3"/>
        </w:numPr>
        <w:spacing w:lineRule="auto" w:line="360" w:before="0" w:after="100"/>
        <w:ind w:firstLine="709"/>
        <w:jc w:val="both"/>
        <w:rPr/>
      </w:pPr>
      <w:r>
        <w:rPr>
          <w:rFonts w:eastAsia="Times New Roman" w:cs="Times New Roman"/>
        </w:rPr>
        <w:t xml:space="preserve">Delimitar el alcance real de la optimización por enjambre de partículas: establecer cuál de los hiperparámetros determina efectivamente la aptitud declarada y cuál constituye una decisión de diseño, caracterizar la forma de la función de aptitud sobre el espacio de búsqueda, y justificar el peso adoptado con criterios independientes de esa aptitud.</w:t>
      </w:r>
    </w:p>
    <w:p>
      <w:pPr>
        <w:pStyle w:val="ListParagraph"/>
        <w:numPr>
          <w:ilvl w:val="0"/>
          <w:numId w:val="3"/>
        </w:numPr>
        <w:spacing w:lineRule="auto" w:line="360" w:before="0" w:after="100"/>
        <w:ind w:firstLine="709"/>
        <w:jc w:val="both"/>
        <w:rPr/>
      </w:pPr>
      <w:r>
        <w:rPr>
          <w:rFonts w:eastAsia="Times New Roman" w:cs="Times New Roman"/>
        </w:rPr>
        <w:t xml:space="preserve">Comparar el operador con la metodología clásica y con cinco configuraciones de referencia del estado del arte sobre nueve métricas sin referencia, con pruebas no paramétricas (Friedman y Wilcoxon con corrección de Holm), organizando los resultados en bloques de actividad espacial y de fidelidad a las fuentes en lugar de un único orden agregado, y verificando la robustez del resultado frente a un ajuste simétrico de los hiperparámetros de los comparativos.</w:t>
      </w:r>
    </w:p>
    <w:p>
      <w:pPr>
        <w:pStyle w:val="ListParagraph"/>
        <w:numPr>
          <w:ilvl w:val="0"/>
          <w:numId w:val="3"/>
        </w:numPr>
        <w:spacing w:lineRule="auto" w:line="360" w:before="0" w:after="100"/>
        <w:ind w:firstLine="709"/>
        <w:jc w:val="both"/>
        <w:rPr/>
      </w:pPr>
      <w:r>
        <w:rPr>
          <w:rFonts w:eastAsia="Times New Roman" w:cs="Times New Roman"/>
        </w:rPr>
        <w:t xml:space="preserve">Evaluar si la batería de métricas empleada discrimina calidad de fusión, mediante tres pruebas: un control negativo con degradaciones conocidas, un análisis de redundancia interna entre métricas, y la sensibilidad del orden de mérito a la composición del conjunto.</w:t>
      </w:r>
    </w:p>
    <w:p>
      <w:pPr>
        <w:pStyle w:val="ListParagraph"/>
        <w:numPr>
          <w:ilvl w:val="0"/>
          <w:numId w:val="3"/>
        </w:numPr>
        <w:spacing w:lineRule="auto" w:line="360" w:before="0" w:after="100"/>
        <w:ind w:firstLine="709"/>
        <w:jc w:val="both"/>
        <w:rPr/>
      </w:pPr>
      <w:r>
        <w:rPr>
          <w:rFonts w:eastAsia="Times New Roman" w:cs="Times New Roman"/>
        </w:rPr>
        <w:t xml:space="preserve">Medir el efecto de la fusión sobre la detección de objetos con dos experimentos independientes, y contrastar el orden de mérito de las métricas de imagen con el orden de utilidad en la tarea, operacionalizando el objetivo mediante un conteo por escena de recuperación de clases complementarias y no solo mediante el mAP promedio.</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¿En qué dirección desplaza el punto de operación de la fusión VIS/IR un operador Top-Hat de una escala con banco de cinco elementos estructurantes, y en qué medida el protocolo de evaluación con el que se lo juzga —métricas sin referencia de tipo «mayor es mejor», hiperparámetros elegidos sobre esas mismas métricas y validación en tarea posterior— permite sostener conclusiones sobre la calidad de la imagen fusionada y sobre su utilidad práctica?</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las respuestas por promedio y suma, y regla de reconstrucción— para adaptar el realce morfológico multidireccional al esquema de fusión VIS/IR, y cuánto aporta el banco por encima del disco único con hiperparámetros igualados?</w:t>
      </w:r>
    </w:p>
    <w:p>
      <w:pPr>
        <w:pStyle w:val="ListParagraph"/>
        <w:numPr>
          <w:ilvl w:val="0"/>
          <w:numId w:val="4"/>
        </w:numPr>
        <w:spacing w:lineRule="auto" w:line="360" w:before="0" w:after="100"/>
        <w:ind w:firstLine="709"/>
        <w:jc w:val="both"/>
        <w:rPr/>
      </w:pPr>
      <w:r>
        <w:rPr>
          <w:rFonts w:eastAsia="Times New Roman" w:cs="Times New Roman"/>
        </w:rPr>
        <w:t xml:space="preserve">¿Cuál de los dos hiperparámetros (r, m) determina efectivamente la aptitud declarada, qué forma tiene esa aptitud sobre el espacio de búsqueda, y con qué criterios independientes de ella puede justificarse el peso adoptado?</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en qué métricas, y se sostiene el resultado cuando se concede a los comparativos el mismo paso de ajuste de hiperparámetros?</w:t>
      </w:r>
    </w:p>
    <w:p>
      <w:pPr>
        <w:pStyle w:val="ListParagraph"/>
        <w:numPr>
          <w:ilvl w:val="0"/>
          <w:numId w:val="4"/>
        </w:numPr>
        <w:spacing w:lineRule="auto" w:line="360" w:before="0" w:after="100"/>
        <w:ind w:firstLine="709"/>
        <w:jc w:val="both"/>
        <w:rPr/>
      </w:pPr>
      <w:r>
        <w:rPr>
          <w:rFonts w:eastAsia="Times New Roman" w:cs="Times New Roman"/>
        </w:rPr>
        <w:t xml:space="preserve">¿Discrimina la batería de nueve métricas sin referencia entre detalle útil y ruido inyectado, contiene componentes redundantes entre sí, y depende el orden de mérito de la composición del conjunto de métricas?</w:t>
      </w:r>
    </w:p>
    <w:p>
      <w:pPr>
        <w:pStyle w:val="ListParagraph"/>
        <w:numPr>
          <w:ilvl w:val="0"/>
          <w:numId w:val="4"/>
        </w:numPr>
        <w:spacing w:lineRule="auto" w:line="360" w:before="0" w:after="100"/>
        <w:ind w:firstLine="709"/>
        <w:jc w:val="both"/>
        <w:rPr/>
      </w:pPr>
      <w:r>
        <w:rPr>
          <w:rFonts w:eastAsia="Times New Roman" w:cs="Times New Roman"/>
        </w:rPr>
        <w:t xml:space="preserve">¿La fusión —y en particular el método propuesto— mejora el desempeño de un detector de objetos respecto de las modalidades visible e infrarroja por separado, y predice el orden de mérito de las métricas de imagen el orden de utilidad en la tarea?</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siete hipótesis de trabajo, todas contrastables con experimentos versionados en el repositorio. H1: el operador con banco de cinco elementos estructurantes no mejora la fusión de manera uniforme, sino que desplaza su punto de operación hacia el realce de la actividad espacial y en contra de la fidelidad a las fuentes. H2: el orden de mérito de los métodos no es una propiedad del operador sino del criterio con que se lo evalúa, de modo que cambia al cambiar la composición del conjunto de métricas sin que cambie ninguna imagen fusionada. H3: la batería de nueve métricas de tipo «mayor es mejor» es insuficiente como criterio de calidad, porque sus métricas de actividad crecen monótonamente con la varianza inyectada y no distinguen detalle útil de ruido. H4: la batería contiene al menos una métrica que no aporta información independiente de las demás. H5: la optimización no determina la configuración adoptada, dado que ambos hiperparámetros resultan de decisiones apoyadas en parte del mismo criterio con el que después se evalúa. H6: el orden de mérito de las métricas de imagen no predice el orden de utilidad en una tarea posterior de detección, y ninguna fusión supera por un margen distinguible a la mejor modalidad individual. H7: con el radio y el peso igualados, el banco de cinco elementos produce un perfil de métricas distinto del que produce el disco único. H1 se contrasta en las secciones 5.4 y 5.6; H6 en la sección 5.5; y H2, H3, H4, H5 y H7 en la sección 5.8, dedicada a la auditoría del protocolo de evaluación.</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 Sexto, los veinte pares corresponden a trece escenas distintas —cuatro de ellas con varias vistas o instantes del mismo sujeto—, de modo que los bloques de las pruebas no son plenamente independientes y el tamaño de muestra efectivo es menor que veinte. Séptimo, la eficiencia de fusión (FE) es la entropía reescalada por una constante por escena, por lo que la batería de nueve métricas contiene ocho cantidades independientes; excluyendo FE la propuesta sigue primera (3,631 frente a 3,994 de la pirámide de Laplace), aunque el resto del orden se reacomoda. Octavo, el comparador identificado como curvelet está implementado como una aproximación mediante wavelet 2D (db4) y no como una transformada curvelet propiamente dicha, de modo que los valores de CVT deben leerse referidos a esa aproximación. Noveno, la función de aptitud del trabajo de referencia y la batería de evaluación discrepan en el radio: Fo favorece r = 1 y las nueve métricas r = 25, por lo que la configuración adoptada se apoya en el criterio de evaluación y no en la optimización, que sí determina el peso m. Décimo, en el conteo por escena sobre M3FD —232 escenas con ambas clases complementarias— la propuesta recupera las dos clases en el 50,0 % de los casos frente al 53,0 % del visible solo (8 escenas ganadas y 15 perdidas; McNemar exacto p = 0,2100) y resuelve 2 de las 90 escenas críticas, de manera que no mejora la tarea de clases complementarias.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(2000) introducen una de las primeras descomposiciones multiescala basadas en operadores Top-Hat para realce e interpretación de imágenes médicas. En el ámbito local, Bajac Figueredo et al. (2024) presentan un análisis visual y numérico de la fusión VIS/IR con la transformada Top-Hat sobre el mismo conjunto TNO, antecedente directo de esta tesis.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La combinación de elementos estructurantes circulares y lineales aplicados en distintas direcciones tiene un antecedente directo en el realce de imágenes mamográficas de Flores et al. (s. f.), del mismo grupo de investigación.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y degrada la similitud estructural (SSIM),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0.30</m:t>
                </m:r>
                <m:r>
                  <m:t>,</m:t>
                </m:r>
                <m:r>
                  <m:t> </m:t>
                </m:r>
                <m:r>
                  <m:t>2.00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(Ortega y Espinoza). </w:t>
      </w:r>
      <w:r>
        <w:rPr>
          <w:iCs/>
          <w:rFonts w:eastAsia="Times New Roman" w:cs="Times New Roman"/>
        </w:rPr>
        <w:t xml:space="preserve">Los hiperparámetros (r, m) se ajustan maximizando la función objetivo del trabajo de referencia, Fo = SSIMavg + En + PSNRn (ecuación 14): la similitud estructural promedio con las fuentes (SSIMavg; Wang et al., 2004), la entropía normalizada (En = E/8) y la relación señal-ruido de pico normalizada (PSNRn = PSNR/100), sin pesos arbitrarios, equilibrando preservación estructural, contenido informativo y reducción de la distorsión (Ortega y Espinoza, 2025). El barrido de 25 configuraciones (partículas 2–10 × iteraciones 10–50, Cuadro 1 de dicho trabajo) se ejecuta sobre tres escenas representativas con el espacio de búsqueda del trabajo de referencia, r ∈ [1, 25] y m ∈ [0,30; 2,00]. El peso óptimo converge al límite inferior del rango, m* = 0,30, en las 25 configuraciones: los dos términos de fidelidad de Fo (SSIMavg y PSNRn) decrecen al aumentar el realce y dominan sobre la entropía normalizada. Para el radio, Fo favorece r = 1, el extremo inferior del rango. Con ese valor los cinco elementos estructurantes siguen activos, pero se reducen a una vecindad de 3 × 3 píxeles: el operador extrae apenas estructura a la escala de los objetivos y la fusión se acerca a la imagen base, que es justamente lo que maximizan los dos términos de fidelidad de Fo. Las nueve métricas de evaluación de esta tesis, todas de tipo «mayor es mejor», favorecen en cambio r = 25. Se adopta por tanto la configuración r = 25, m = 0,30: el peso que produce la metodología de referencia y el radio que maximiza el criterio de evaluación, con el banco de cinco elementos operando a una escala comparable al tamaño de los objetivos térmicos.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Fo = SSIMavg + En + PSNRn</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[0,30; 2,00] (rango publicado)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0,30 (m* del barrido en las 25 configuraciones; Fo = 1,7057)</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F</m:t>
                    </m:r>
                  </m:e>
                  <m:sub>
                    <m:r>
                      <m:t xml:space="preserve">o</m:t>
                    </m:r>
                  </m:sub>
                </m:sSub>
                <m:r>
                  <m:rPr>
                    <m:lit/>
                    <m:nor/>
                  </m:rPr>
                  <m:t xml:space="preserve">=</m:t>
                </m:r>
                <m:sSub>
                  <m:e>
                    <m:r>
                      <m:t xml:space="preserve">SSIM</m:t>
                    </m:r>
                  </m:e>
                  <m:sub>
                    <m:r>
                      <m:t xml:space="preserve">avg</m:t>
                    </m:r>
                  </m:sub>
                </m:sSub>
                <m:r>
                  <m:rPr>
                    <m:lit/>
                    <m:nor/>
                  </m:rPr>
                  <m:t xml:space="preserve">+</m:t>
                </m:r>
                <m:sSub>
                  <m:e>
                    <m:r>
                      <m:t xml:space="preserve">E</m:t>
                    </m:r>
                  </m:e>
                  <m:sub>
                    <m:r>
                      <m:t xml:space="preserve">n</m:t>
                    </m:r>
                  </m:sub>
                </m:sSub>
                <m:r>
                  <m:rPr>
                    <m:lit/>
                    <m:nor/>
                  </m:rPr>
                  <m:t xml:space="preserve">+</m:t>
                </m:r>
                <m:sSub>
                  <m:e>
                    <m:r>
                      <m:t xml:space="preserve">PSNR</m:t>
                    </m:r>
                  </m:e>
                  <m:sub>
                    <m:r>
                      <m:t xml:space="preserve">n</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Kingsbury (2001)</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nueve métricas que computan el puntaje a partir de la imagen fusionada y de sus fuentes: la entropía (EN), la desviación estándar (SD), la eficiencia de fusión (FE), el gradiente medio (MG), la información mutua con el visible y el infrarrojo (MI_vis, MI_ir), la frecuencia espacial (SF), la similitud estructural promedio con las fuentes (SSIM) y la relación señal-ruido de pico calculada frente a ambas fuentes (PSNR). Este subconjunto —alineado con la metodología de referencia (Ortega y Espinoza, 2025)— cubre la actividad y el contenido informativo, la fidelidad estructural y la distorsión. La literatura de fusión define además una familia de índices de calidad orientados a la preservación de bordes y a la reducción de artefactos (Qabf, Nabf, SCD, VIF, FMI y los índices de Piella y Heijmans, 2003), cuyas definiciones se recogen en la sección siguiente por completitud; la evaluación empírica de esta tesis reporta el subconjunto de nueve métricas descrito.</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cinco de actividad e información —entropía, desviación estándar, frecuencia espacial, gradiente medio e información mutua— son descriptores estándar sin una fuente única atribuible: se emplean en la forma que recogen las revisiones de Ma et al. (2019) y Singh et al. (2023) y el trabajo de referencia (Ortega y Espinoza, 2025).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Eficiencia de fusión (FE). Cociente entre la entropía de la imagen fusionada y el promedio de las entropías de las dos fuentes, FE = EN(F) / [(EN(A) + EN(B)) / 2]; mayor es mejor. Se reporta porque la emplea el trabajo de referencia (Ortega y Espinoza, 2025), pero conviene advertir su dependencia de EN: para un par VIS/IR dado el denominador no depende del método de fusión, de modo que FE es la entropía reescalada por una constante por escena. En consecuencia produce los mismos rangos intra-bloque que EN, el mismo estadístico de Friedman y los mismos signos en Wilcoxon, y no debe interpretarse como una novena fuente de evidencia independiente.</w:t>
      </w:r>
      <w:r>
        <w:rPr>
          <w:rFonts w:eastAsia="Times New Roman" w:cs="Times New Roman"/>
          <w:b w:val="false"/>
          <w:sz w:val="24"/>
        </w:rPr>
        <w:t/>
      </w:r>
    </w:p>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sSup>
                              <m:e>
                                <m:r>
                                  <m:t>Δx</m:t>
                                </m:r>
                              </m:e>
                              <m:sup>
                                <m:r>
                                  <m:t>2</m:t>
                                </m:r>
                              </m:sup>
                            </m:sSup>
                            <m:r>
                              <m:t xml:space="preserve">+</m:t>
                            </m:r>
                            <m:sSup>
                              <m:e>
                                <m:r>
                                  <m:t>Δy</m:t>
                                </m:r>
                              </m:e>
                              <m:sup>
                                <m:r>
                                  <m:t>2</m:t>
                                </m:r>
                              </m:sup>
                            </m:sSup>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 y Petrović, 2000).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mismo marco que Q^AB/F, Xydeas y Petrović, 2000).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(Wang et al., 2004).</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(Aslantas y Bendes, 2015).</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(Sheikh y Bovik, 2006).</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 y Petrović, 2000)</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el banco consta de cinco elementos: un disco elíptico B_r y cuatro segmentos lineales de longitud 2r+1 orientados a 0°, 45°, 90° y 135°. El radio se busca en r ∈ [1, 25] y se adopta r = 25. No se emplean elementos cuadrados ni de cruz.</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Es el principio de los cinco métodos comparativos —pirámides y wavelets—, no del operador propuesto: este trabaja sobre una sola escala de radio r y no construye ninguna descomposición iterativa con radio creciente. Prescindir de la cascada multiescala es precisamente la decisión de diseño que la tesis pone a prueba.</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la función objetivo del trabajo de referencia, Fo = SSIMavg + En + PSNRn: la suma sin pesos de la similitud estructural promedio con las fuentes, la entropía normalizada y el PSNR normalizado. No incluye ningún término explícito de preservación de bordes, de correlación ni de penalización de artefactos; dos de sus tres sumandos son de fidelidad a las fuentes, de modo que decrece al aumentar el realce.</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nueve métricas sin referencia, base del análisis estadístico inter-método.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0,30) se compara sobre los 20 pares con las nueve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0,30–2,00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SSIM, PSNR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2017).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 Conviene precisar la composición del corpus: los veinte pares corresponden a trece escenas distintas, porque cuatro de ellas aportan varias tomas del mismo sujeto —APC_1 y APC_3 con tres vistas cada una, el soldado tras la cortina de humo con tres instantes y el soldado en trinchera con dos—. Los veinte bloques de las pruebas no son, por tanto, plenamente independientes, y el tamaño de muestra efectivo es menor que veinte; este punto se retoma en las limitaciones.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(todas de tipo «mayor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0,30)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mayor entropía y la mayor eficiencia de fusión del estudio (EN = 6,9855; FE = 1,1047), con un realce moderado que evita la saturación del operador clásico.</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 frecuencia espacial, la similitud estructural y el PSNR, sobre los 20 pares para los siete métodos del benchmark. La propuesta lidera la entropía (EN = 6,9855) y la eficiencia de fusión (FE = 1,1047) del benchmark, y se ubica segunda en desviación estándar (SD = 0,1439), gradiente medio (MG = 0,0355) y frecuencia espacial (SF = 17,4425), por detrás únicamente de la pirámide de Laplace en contraste y del Top-Hat clásico en gradiente y frecuencia. En las métricas de fidelidad la relación se invierte: los métodos multiescala lideran la similitud estructural y el PSNR, y la pirámide de Laplace la información mutua con las fuentes. Frente al operador clásico, la propuesta mejora simultáneamente la entropía, el contraste y la eficiencia de fusión y además eleva la similitud estructural de 0,5640 a 0,6584, mostrando que el banco de elementos estructurantes realza sin degradar la estructura tanto como el disco único sin ponderación.</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0,1550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1,0806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1,9242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0,9178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6,8098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0,1271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0,9485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0,6504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6,6816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0,0275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0,1172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6,6445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0,1132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1,0507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0,0260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0,6695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6,9220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0,1352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1,0952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0,0478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0,7867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0,4928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6,9855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0,1439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1,1047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0,0355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0,8970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0,6003</w:t>
            </w:r>
          </w:p>
        </w:tc>
      </w:tr>
    </w:tbl>
    <w:p>
      <w:pPr>
        <w:pStyle w:val="Normal"/>
        <w:spacing w:lineRule="auto" w:line="276"/>
        <w:jc w:val="both"/>
        <w:rPr/>
      </w:pPr>
      <w:r>
        <w:rPr>
          <w:rFonts w:eastAsia="Times New Roman" w:cs="Times New Roman"/>
          <w:i/>
          <w:sz w:val="18"/>
        </w:rPr>
        <w:t>Tabla 5. Promedios de frecuencia espacial (SF), similitud estructural (SSIM) y PSNR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200"/>
        <w:gridCol w:w="1560"/>
        <w:gridCol w:w="1560"/>
        <w:gridCol w:w="156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 ↑</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 ↑</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13,2205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14,9401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13,6209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17,3689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14,1888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0,7014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17,5886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13,1990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0,7249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17,5974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13,3379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0,7162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17,6523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23,1000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0,5640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16,8728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17,4425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0,6584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16,8409</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representativas (SSIM, SF, EN, SD, MI_ir, PSNR) por método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6 reporta la prueba de Friedman aplicada de forma independiente a cada métrica, considerando los siete métodos del benchmark como tratamientos y los 20 pares como bloques. La hipótesis nula se rechaza con amplio margen en las nueve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6.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105,13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88,29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101,74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73,63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97,31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100,46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PSNR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111,84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&lt; 0,001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nueve métricas, con corrección de Holm y tamaño de efecto rank-biserial (99 contrastes; detalle en el Apéndice C). El hallazgo central: la propuesta mejora de forma estadísticamente significativa la entropía, la eficiencia de fusión, el gradiente medio y la frecuencia espacial (EN, FE, MG, SF) frente a los cinco métodos del estado del arte (p_Holm &lt; 0,05), y el contraste (SD) frente a cuatro de los cinco, mientras que cede de manera sistemática en las métricas de fidelidad a las fuentes (SSIM, PSNR) y en la información mutua, donde lideran los métodos multiescala. Frente al Top-Hat clásico la ventaja es más amplia: la propuesta gana en seis de las nueve métricas y cede solo en gradiente medio y frecuencia espacial.</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7 muestra el ranking promedio de cada método (1 = mejor) en seis métricas clave y el ranking global obtenido al promediar las nueve métricas, respetando la dirección de cada una. La propuesta encabeza el ranking global (3,39), seguida por la pirámide de Laplace (3,91), el Top-Hat clásico (3,94), RP (3,98), DTCWT (4,11), DWT (4,21) y CVT (4,44); es primera en el rango medio de entropía, contraste y eficiencia de fusión, segunda en gradiente medio y frecuencia espacial, y queda relegada en las métricas de fidelidad a las fuentes. Conviene notar que su primer puesto en contraste es de rango y no de media: la pirámide de Laplace alcanza un SD promedio mayor (0,1550 frente a 0,1439), pero la propuesta la supera en más pares de los que pierde, y el rango medio recoge esa consistencia por escena que el promedio aritmético oculta. El ranking se calcula promediando, para cada método, los rangos que obtiene dentro de cada par de imágenes —el complemento habitual de la prueba de Friedman—, y no rankeando los promedios, procedimiento que ignora la variabilidad entre escenas. Debe además tenerse presente que FE es la entropía de la fusión dividida por el promedio de las entropías de las fuentes: dentro de un mismo par el divisor es constante, de modo que FE reproduce exactamente los rangos de EN y no constituye evidencia independiente. Excluyéndola, la propuesta sigue primera (3,631 frente a 3,994 de la pirámide de Laplace), de modo que su primer lugar no depende de la redundancia; el resto del orden sí se reacomoda —solo cuatro de las siete posiciones se conservan, y el Top-Hat clásico cae del tercer al sexto lugar—. Aun así, al mezclar familias de métricas con pesos iguales, el ranking debe leerse junto a los contrastes pareados de la sección anterior.</w:t>
      </w:r>
    </w:p>
    <w:p>
      <w:pPr>
        <w:pStyle w:val="Normal"/>
        <w:spacing w:lineRule="auto" w:line="276"/>
        <w:rPr/>
      </w:pPr>
      <w:r>
        <w:rPr>
          <w:rFonts w:eastAsia="Times New Roman" w:cs="Times New Roman"/>
          <w:i/>
          <w:sz w:val="18"/>
        </w:rPr>
        <w:t>Tabla 7.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PSNR</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5,90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3,39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2,20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4,95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3,45</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2,25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4,75</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5,20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2,50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b/>
              </w:rPr>
              <w:t xml:space="preserve">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nueve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8 reporta mAP@0,5 y mAP@0,5:0,95.</w:t>
      </w:r>
    </w:p>
    <w:p>
      <w:pPr>
        <w:pStyle w:val="Normal"/>
        <w:spacing w:lineRule="auto" w:line="276"/>
        <w:jc w:val="both"/>
        <w:rPr/>
      </w:pPr>
      <w:r>
        <w:rPr>
          <w:rFonts w:eastAsia="Times New Roman" w:cs="Times New Roman"/>
          <w:i/>
          <w:sz w:val="18"/>
        </w:rPr>
        <w:t>Tabla 8.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0,450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0,621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0,924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0,565</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0,500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0,924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0,843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 xml:space="preserve">0,930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0,818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0,971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0,872</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0,608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0,962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0,850</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0,954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m=0,30)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0,906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0,581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0,876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 xml:space="preserve">0,761</w:t>
            </w:r>
          </w:p>
        </w:tc>
      </w:tr>
    </w:tbl>
    <w:p>
      <w:pPr>
        <w:pStyle w:val="Normal"/>
        <w:spacing w:lineRule="auto" w:line="360"/>
        <w:ind w:firstLine="709"/>
        <w:jc w:val="both"/>
        <w:rPr/>
      </w:pPr>
      <w:r>
        <w:rPr>
          <w:rFonts w:eastAsia="Times New Roman" w:cs="Times New Roman"/>
        </w:rPr>
        <w:t>La Tabla 8 admite tres lecturas. Primero, toda fusión mejora con claridad sobre el visible solo (mAP@0,5 de 0,813 a una banda de 0,906–0,952, es decir entre +0,09 y +0,14 puntos): cuando el canal visible es débil —escenas nocturnas—, fusionar aporta información decisiva. Segundo, el infrarrojo solo es la modalidad más fuerte (mAP@0,5 = 0,971; mAP@0,5:0,95 = 0,621) y ninguna fusión lo supera, coherente con que LLVIP es detección de peatones en baja luz, donde la firma térmica domina. Tercero, entre las fusiones la pirámide de Laplace encabeza (0,952), seguida de cerca por DTCWT (0,949) y el curvelet (0,940), mientras que la Propuesta Novedosa queda en el extremo inferior de la banda (0,906), a la par de la Ratio Pyramid. La conclusión es matizada y relevante: el realce acentuado que favorece a las métricas de actividad no mejora la detección —el detector se beneficia más de una fusión conservadora y fiel a las fuentes que de un contraste elevado—, de modo que la calidad de imagen medida por actividad no se traslada a la tarea;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9. Clases complementarias en M3FD: AP@0,5 por clase y mAP global con un detector único entrenado sobre VIS+IR (medias sobre 499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 xml:space="preserve">0,621</w:t>
            </w:r>
          </w:p>
        </w:tc>
        <w:tc>
          <w:tcPr>
            <w:tcW w:w="1560" w:type="dxa"/>
            <w:tcBorders/>
          </w:tcPr>
          <w:p>
            <w:pPr>
              <w:pStyle w:val="Normal"/>
              <w:widowControl w:val="false"/>
              <w:spacing w:lineRule="auto" w:line="276" w:before="0" w:after="120"/>
              <w:rPr/>
            </w:pPr>
            <w:r>
              <w:rPr>
                <w:b/>
                <w:rFonts w:eastAsia="Times New Roman" w:cs="Times New Roman"/>
                <w:sz w:val="19"/>
              </w:rPr>
              <w:t xml:space="preserve">0,616</w:t>
            </w:r>
          </w:p>
        </w:tc>
        <w:tc>
          <w:tcPr>
            <w:tcW w:w="1560" w:type="dxa"/>
            <w:tcBorders/>
          </w:tcPr>
          <w:p>
            <w:pPr>
              <w:pStyle w:val="Normal"/>
              <w:widowControl w:val="false"/>
              <w:spacing w:lineRule="auto" w:line="276" w:before="0" w:after="120"/>
              <w:rPr/>
            </w:pPr>
            <w:r>
              <w:rPr>
                <w:rFonts w:eastAsia="Times New Roman" w:cs="Times New Roman"/>
                <w:sz w:val="19"/>
              </w:rPr>
              <w:t xml:space="preserve">0,618</w:t>
            </w:r>
          </w:p>
        </w:tc>
        <w:tc>
          <w:tcPr>
            <w:tcW w:w="1560" w:type="dxa"/>
            <w:tcBorders/>
          </w:tcPr>
          <w:p>
            <w:pPr>
              <w:pStyle w:val="Normal"/>
              <w:widowControl w:val="false"/>
              <w:spacing w:lineRule="auto" w:line="276" w:before="0" w:after="120"/>
              <w:rPr/>
            </w:pPr>
            <w:r>
              <w:rPr>
                <w:b/>
                <w:rFonts w:eastAsia="Times New Roman" w:cs="Times New Roman"/>
                <w:sz w:val="19"/>
              </w:rPr>
              <w:t xml:space="preserve">0,676</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 xml:space="preserve">0,779</w:t>
            </w:r>
          </w:p>
        </w:tc>
        <w:tc>
          <w:tcPr>
            <w:tcW w:w="1560" w:type="dxa"/>
            <w:tcBorders/>
          </w:tcPr>
          <w:p>
            <w:pPr>
              <w:pStyle w:val="Normal"/>
              <w:widowControl w:val="false"/>
              <w:spacing w:lineRule="auto" w:line="276" w:before="0" w:after="120"/>
              <w:rPr/>
            </w:pPr>
            <w:r>
              <w:rPr>
                <w:rFonts w:eastAsia="Times New Roman" w:cs="Times New Roman"/>
                <w:sz w:val="19"/>
              </w:rPr>
              <w:t xml:space="preserve">0,348</w:t>
            </w:r>
          </w:p>
        </w:tc>
        <w:tc>
          <w:tcPr>
            <w:tcW w:w="1560" w:type="dxa"/>
            <w:tcBorders/>
          </w:tcPr>
          <w:p>
            <w:pPr>
              <w:pStyle w:val="Normal"/>
              <w:widowControl w:val="false"/>
              <w:spacing w:lineRule="auto" w:line="276" w:before="0" w:after="120"/>
              <w:rPr/>
            </w:pPr>
            <w:r>
              <w:rPr>
                <w:rFonts w:eastAsia="Times New Roman" w:cs="Times New Roman"/>
                <w:sz w:val="19"/>
              </w:rPr>
              <w:t xml:space="preserve">0,563</w:t>
            </w:r>
          </w:p>
        </w:tc>
        <w:tc>
          <w:tcPr>
            <w:tcW w:w="1560" w:type="dxa"/>
            <w:tcBorders/>
          </w:tcPr>
          <w:p>
            <w:pPr>
              <w:pStyle w:val="Normal"/>
              <w:widowControl w:val="false"/>
              <w:spacing w:lineRule="auto" w:line="276" w:before="0" w:after="120"/>
              <w:rPr/>
            </w:pPr>
            <w:r>
              <w:rPr>
                <w:rFonts w:eastAsia="Times New Roman" w:cs="Times New Roman"/>
                <w:sz w:val="19"/>
              </w:rPr>
              <w:t xml:space="preserve">0,668</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 xml:space="preserve">0,684</w:t>
            </w:r>
          </w:p>
        </w:tc>
        <w:tc>
          <w:tcPr>
            <w:tcW w:w="1560" w:type="dxa"/>
            <w:tcBorders/>
          </w:tcPr>
          <w:p>
            <w:pPr>
              <w:pStyle w:val="Normal"/>
              <w:widowControl w:val="false"/>
              <w:spacing w:lineRule="auto" w:line="276" w:before="0" w:after="120"/>
              <w:rPr/>
            </w:pPr>
            <w:r>
              <w:rPr>
                <w:rFonts w:eastAsia="Times New Roman" w:cs="Times New Roman"/>
                <w:sz w:val="19"/>
              </w:rPr>
              <w:t xml:space="preserve">0,545</w:t>
            </w:r>
          </w:p>
        </w:tc>
        <w:tc>
          <w:tcPr>
            <w:tcW w:w="1560" w:type="dxa"/>
            <w:tcBorders/>
          </w:tcPr>
          <w:p>
            <w:pPr>
              <w:pStyle w:val="Normal"/>
              <w:widowControl w:val="false"/>
              <w:spacing w:lineRule="auto" w:line="276" w:before="0" w:after="120"/>
              <w:rPr/>
            </w:pPr>
            <w:r>
              <w:rPr>
                <w:rFonts w:eastAsia="Times New Roman" w:cs="Times New Roman"/>
                <w:sz w:val="19"/>
              </w:rPr>
              <w:t xml:space="preserve">0,614</w:t>
            </w:r>
          </w:p>
        </w:tc>
        <w:tc>
          <w:tcPr>
            <w:tcW w:w="1560" w:type="dxa"/>
            <w:tcBorders/>
          </w:tcPr>
          <w:p>
            <w:pPr>
              <w:pStyle w:val="Normal"/>
              <w:widowControl w:val="false"/>
              <w:spacing w:lineRule="auto" w:line="276" w:before="0" w:after="120"/>
              <w:rPr/>
            </w:pPr>
            <w:r>
              <w:rPr>
                <w:rFonts w:eastAsia="Times New Roman" w:cs="Times New Roman"/>
                <w:sz w:val="19"/>
              </w:rPr>
              <w:t xml:space="preserve">0,674</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 xml:space="preserve">0,694</w:t>
            </w:r>
          </w:p>
        </w:tc>
        <w:tc>
          <w:tcPr>
            <w:tcW w:w="1560" w:type="dxa"/>
            <w:tcBorders/>
          </w:tcPr>
          <w:p>
            <w:pPr>
              <w:pStyle w:val="Normal"/>
              <w:widowControl w:val="false"/>
              <w:spacing w:lineRule="auto" w:line="276" w:before="0" w:after="120"/>
              <w:rPr/>
            </w:pPr>
            <w:r>
              <w:rPr>
                <w:rFonts w:eastAsia="Times New Roman" w:cs="Times New Roman"/>
                <w:sz w:val="19"/>
              </w:rPr>
              <w:t xml:space="preserve">0,550</w:t>
            </w:r>
          </w:p>
        </w:tc>
        <w:tc>
          <w:tcPr>
            <w:tcW w:w="1560" w:type="dxa"/>
            <w:tcBorders/>
          </w:tcPr>
          <w:p>
            <w:pPr>
              <w:pStyle w:val="Normal"/>
              <w:widowControl w:val="false"/>
              <w:spacing w:lineRule="auto" w:line="276" w:before="0" w:after="120"/>
              <w:rPr/>
            </w:pPr>
            <w:r>
              <w:rPr>
                <w:b/>
                <w:rFonts w:eastAsia="Times New Roman" w:cs="Times New Roman"/>
                <w:sz w:val="19"/>
              </w:rPr>
              <w:t xml:space="preserve">0,622</w:t>
            </w:r>
          </w:p>
        </w:tc>
        <w:tc>
          <w:tcPr>
            <w:tcW w:w="1560" w:type="dxa"/>
            <w:tcBorders/>
          </w:tcPr>
          <w:p>
            <w:pPr>
              <w:pStyle w:val="Normal"/>
              <w:widowControl w:val="false"/>
              <w:spacing w:lineRule="auto" w:line="276" w:before="0" w:after="120"/>
              <w:rPr/>
            </w:pPr>
            <w:r>
              <w:rPr>
                <w:rFonts w:eastAsia="Times New Roman" w:cs="Times New Roman"/>
                <w:sz w:val="19"/>
              </w:rPr>
              <w:t xml:space="preserve">0,677</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 xml:space="preserve">0,664</w:t>
            </w:r>
          </w:p>
        </w:tc>
        <w:tc>
          <w:tcPr>
            <w:tcW w:w="1560" w:type="dxa"/>
            <w:tcBorders/>
          </w:tcPr>
          <w:p>
            <w:pPr>
              <w:pStyle w:val="Normal"/>
              <w:widowControl w:val="false"/>
              <w:spacing w:lineRule="auto" w:line="276" w:before="0" w:after="120"/>
              <w:rPr/>
            </w:pPr>
            <w:r>
              <w:rPr>
                <w:rFonts w:eastAsia="Times New Roman" w:cs="Times New Roman"/>
                <w:sz w:val="19"/>
              </w:rPr>
              <w:t xml:space="preserve">0,528</w:t>
            </w:r>
          </w:p>
        </w:tc>
        <w:tc>
          <w:tcPr>
            <w:tcW w:w="1560" w:type="dxa"/>
            <w:tcBorders/>
          </w:tcPr>
          <w:p>
            <w:pPr>
              <w:pStyle w:val="Normal"/>
              <w:widowControl w:val="false"/>
              <w:spacing w:lineRule="auto" w:line="276" w:before="0" w:after="120"/>
              <w:rPr/>
            </w:pPr>
            <w:r>
              <w:rPr>
                <w:rFonts w:eastAsia="Times New Roman" w:cs="Times New Roman"/>
                <w:sz w:val="19"/>
              </w:rPr>
              <w:t xml:space="preserve">0,596</w:t>
            </w:r>
          </w:p>
        </w:tc>
        <w:tc>
          <w:tcPr>
            <w:tcW w:w="1560" w:type="dxa"/>
            <w:tcBorders/>
          </w:tcPr>
          <w:p>
            <w:pPr>
              <w:pStyle w:val="Normal"/>
              <w:widowControl w:val="false"/>
              <w:spacing w:lineRule="auto" w:line="276" w:before="0" w:after="120"/>
              <w:rPr/>
            </w:pPr>
            <w:r>
              <w:rPr>
                <w:rFonts w:eastAsia="Times New Roman" w:cs="Times New Roman"/>
                <w:sz w:val="19"/>
              </w:rPr>
              <w:t xml:space="preserve">0,652</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 xml:space="preserve">0,669</w:t>
            </w:r>
          </w:p>
        </w:tc>
        <w:tc>
          <w:tcPr>
            <w:tcW w:w="1560" w:type="dxa"/>
            <w:tcBorders/>
          </w:tcPr>
          <w:p>
            <w:pPr>
              <w:pStyle w:val="Normal"/>
              <w:widowControl w:val="false"/>
              <w:spacing w:lineRule="auto" w:line="276" w:before="0" w:after="120"/>
              <w:rPr/>
            </w:pPr>
            <w:r>
              <w:rPr>
                <w:rFonts w:eastAsia="Times New Roman" w:cs="Times New Roman"/>
                <w:sz w:val="19"/>
              </w:rPr>
              <w:t xml:space="preserve">0,542</w:t>
            </w:r>
          </w:p>
        </w:tc>
        <w:tc>
          <w:tcPr>
            <w:tcW w:w="1560" w:type="dxa"/>
            <w:tcBorders/>
          </w:tcPr>
          <w:p>
            <w:pPr>
              <w:pStyle w:val="Normal"/>
              <w:widowControl w:val="false"/>
              <w:spacing w:lineRule="auto" w:line="276" w:before="0" w:after="120"/>
              <w:rPr/>
            </w:pPr>
            <w:r>
              <w:rPr>
                <w:rFonts w:eastAsia="Times New Roman" w:cs="Times New Roman"/>
                <w:sz w:val="19"/>
              </w:rPr>
              <w:t xml:space="preserve">0,606</w:t>
            </w:r>
          </w:p>
        </w:tc>
        <w:tc>
          <w:tcPr>
            <w:tcW w:w="1560" w:type="dxa"/>
            <w:tcBorders/>
          </w:tcPr>
          <w:p>
            <w:pPr>
              <w:pStyle w:val="Normal"/>
              <w:widowControl w:val="false"/>
              <w:spacing w:lineRule="auto" w:line="276" w:before="0" w:after="120"/>
              <w:rPr/>
            </w:pPr>
            <w:r>
              <w:rPr>
                <w:rFonts w:eastAsia="Times New Roman" w:cs="Times New Roman"/>
                <w:sz w:val="19"/>
              </w:rPr>
              <w:t xml:space="preserve">0,665</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 xml:space="preserve">0,642</w:t>
            </w:r>
          </w:p>
        </w:tc>
        <w:tc>
          <w:tcPr>
            <w:tcW w:w="1560" w:type="dxa"/>
            <w:tcBorders/>
          </w:tcPr>
          <w:p>
            <w:pPr>
              <w:pStyle w:val="Normal"/>
              <w:widowControl w:val="false"/>
              <w:spacing w:lineRule="auto" w:line="276" w:before="0" w:after="120"/>
              <w:rPr/>
            </w:pPr>
            <w:r>
              <w:rPr>
                <w:rFonts w:eastAsia="Times New Roman" w:cs="Times New Roman"/>
                <w:sz w:val="19"/>
              </w:rPr>
              <w:t xml:space="preserve">0,490</w:t>
            </w:r>
          </w:p>
        </w:tc>
        <w:tc>
          <w:tcPr>
            <w:tcW w:w="1560" w:type="dxa"/>
            <w:tcBorders/>
          </w:tcPr>
          <w:p>
            <w:pPr>
              <w:pStyle w:val="Normal"/>
              <w:widowControl w:val="false"/>
              <w:spacing w:lineRule="auto" w:line="276" w:before="0" w:after="120"/>
              <w:rPr/>
            </w:pPr>
            <w:r>
              <w:rPr>
                <w:rFonts w:eastAsia="Times New Roman" w:cs="Times New Roman"/>
                <w:sz w:val="19"/>
              </w:rPr>
              <w:t xml:space="preserve">0,566</w:t>
            </w:r>
          </w:p>
        </w:tc>
        <w:tc>
          <w:tcPr>
            <w:tcW w:w="1560" w:type="dxa"/>
            <w:tcBorders/>
          </w:tcPr>
          <w:p>
            <w:pPr>
              <w:pStyle w:val="Normal"/>
              <w:widowControl w:val="false"/>
              <w:spacing w:lineRule="auto" w:line="276" w:before="0" w:after="120"/>
              <w:rPr/>
            </w:pPr>
            <w:r>
              <w:rPr>
                <w:rFonts w:eastAsia="Times New Roman" w:cs="Times New Roman"/>
                <w:sz w:val="19"/>
              </w:rPr>
              <w:t xml:space="preserve">0,643</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 xml:space="preserve">0,575</w:t>
            </w:r>
          </w:p>
        </w:tc>
        <w:tc>
          <w:tcPr>
            <w:tcW w:w="1560" w:type="dxa"/>
            <w:tcBorders/>
          </w:tcPr>
          <w:p>
            <w:pPr>
              <w:pStyle w:val="Normal"/>
              <w:widowControl w:val="false"/>
              <w:spacing w:lineRule="auto" w:line="276" w:before="0" w:after="120"/>
              <w:rPr/>
            </w:pPr>
            <w:r>
              <w:rPr>
                <w:rFonts w:eastAsia="Times New Roman" w:cs="Times New Roman"/>
                <w:sz w:val="19"/>
              </w:rPr>
              <w:t xml:space="preserve">0,438</w:t>
            </w:r>
          </w:p>
        </w:tc>
        <w:tc>
          <w:tcPr>
            <w:tcW w:w="1560" w:type="dxa"/>
            <w:tcBorders/>
          </w:tcPr>
          <w:p>
            <w:pPr>
              <w:pStyle w:val="Normal"/>
              <w:widowControl w:val="false"/>
              <w:spacing w:lineRule="auto" w:line="276" w:before="0" w:after="120"/>
              <w:rPr/>
            </w:pPr>
            <w:r>
              <w:rPr>
                <w:rFonts w:eastAsia="Times New Roman" w:cs="Times New Roman"/>
                <w:sz w:val="19"/>
              </w:rPr>
              <w:t xml:space="preserve">0,506</w:t>
            </w:r>
          </w:p>
        </w:tc>
        <w:tc>
          <w:tcPr>
            <w:tcW w:w="1560" w:type="dxa"/>
            <w:tcBorders/>
          </w:tcPr>
          <w:p>
            <w:pPr>
              <w:pStyle w:val="Normal"/>
              <w:widowControl w:val="false"/>
              <w:spacing w:lineRule="auto" w:line="276" w:before="0" w:after="120"/>
              <w:rPr/>
            </w:pPr>
            <w:r>
              <w:rPr>
                <w:rFonts w:eastAsia="Times New Roman" w:cs="Times New Roman"/>
                <w:sz w:val="19"/>
              </w:rPr>
              <w:t xml:space="preserve">0,608</w:t>
            </w:r>
          </w:p>
        </w:tc>
      </w:tr>
      <w:tr>
        <w:trPr/>
        <w:tc>
          <w:tcPr>
            <w:tcW w:w="3120" w:type="dxa"/>
            <w:tcBorders/>
          </w:tcPr>
          <w:p>
            <w:pPr>
              <w:pStyle w:val="Normal"/>
              <w:widowControl w:val="false"/>
              <w:spacing w:lineRule="auto" w:line="276" w:before="0" w:after="120"/>
              <w:rPr/>
            </w:pPr>
            <w:r>
              <w:rPr>
                <w:b/>
                <w:rFonts w:eastAsia="Times New Roman" w:cs="Times New Roman"/>
                <w:sz w:val="19"/>
              </w:rPr>
              <w:t>Propuesta Novedosa (r = 25; m = 0,30)</w:t>
            </w:r>
          </w:p>
        </w:tc>
        <w:tc>
          <w:tcPr>
            <w:tcW w:w="1560" w:type="dxa"/>
            <w:tcBorders/>
          </w:tcPr>
          <w:p>
            <w:pPr>
              <w:pStyle w:val="Normal"/>
              <w:widowControl w:val="false"/>
              <w:spacing w:lineRule="auto" w:line="276" w:before="0" w:after="120"/>
              <w:rPr/>
            </w:pPr>
            <w:r>
              <w:rPr>
                <w:rFonts w:eastAsia="Times New Roman" w:cs="Times New Roman"/>
                <w:sz w:val="19"/>
              </w:rPr>
              <w:t xml:space="preserve">0,641</w:t>
            </w:r>
          </w:p>
        </w:tc>
        <w:tc>
          <w:tcPr>
            <w:tcW w:w="1560" w:type="dxa"/>
            <w:tcBorders/>
          </w:tcPr>
          <w:p>
            <w:pPr>
              <w:pStyle w:val="Normal"/>
              <w:widowControl w:val="false"/>
              <w:spacing w:lineRule="auto" w:line="276" w:before="0" w:after="120"/>
              <w:rPr/>
            </w:pPr>
            <w:r>
              <w:rPr>
                <w:rFonts w:eastAsia="Times New Roman" w:cs="Times New Roman"/>
                <w:sz w:val="19"/>
              </w:rPr>
              <w:t xml:space="preserve">0,488</w:t>
            </w:r>
          </w:p>
        </w:tc>
        <w:tc>
          <w:tcPr>
            <w:tcW w:w="1560" w:type="dxa"/>
            <w:tcBorders/>
          </w:tcPr>
          <w:p>
            <w:pPr>
              <w:pStyle w:val="Normal"/>
              <w:widowControl w:val="false"/>
              <w:spacing w:lineRule="auto" w:line="276" w:before="0" w:after="120"/>
              <w:rPr/>
            </w:pPr>
            <w:r>
              <w:rPr>
                <w:rFonts w:eastAsia="Times New Roman" w:cs="Times New Roman"/>
                <w:sz w:val="19"/>
              </w:rPr>
              <w:t xml:space="preserve">0,564</w:t>
            </w:r>
          </w:p>
        </w:tc>
        <w:tc>
          <w:tcPr>
            <w:tcW w:w="1560" w:type="dxa"/>
            <w:tcBorders/>
          </w:tcPr>
          <w:p>
            <w:pPr>
              <w:pStyle w:val="Normal"/>
              <w:widowControl w:val="false"/>
              <w:spacing w:lineRule="auto" w:line="276" w:before="0" w:after="120"/>
              <w:rPr/>
            </w:pPr>
            <w:r>
              <w:rPr>
                <w:rFonts w:eastAsia="Times New Roman" w:cs="Times New Roman"/>
                <w:sz w:val="19"/>
              </w:rPr>
              <w:t xml:space="preserve">0,651</w:t>
            </w:r>
          </w:p>
        </w:tc>
      </w:tr>
    </w:tbl>
    <w:p>
      <w:pPr>
        <w:pStyle w:val="Normal"/>
        <w:spacing w:lineRule="auto" w:line="360"/>
        <w:ind w:firstLine="709"/>
        <w:jc w:val="both"/>
        <w:rPr/>
      </w:pPr>
      <w:r>
        <w:rPr>
          <w:iCs/>
          <w:rFonts w:eastAsia="Times New Roman" w:cs="Times New Roman"/>
        </w:rPr>
        <w:t xml:space="preserve">La Tabla 9 muestra una complementariedad real pero asimétrica, y menos extrema de lo que sugiere la intuición. El infrarrojo domina con claridad en personas (AP@0,5 = 0,779 frente a 0,621 del visible) y se degrada en las luces (0,348), mientras que el visible sostiene ambas clases en un nivel parejo (0,621 y 0,616). No hay, por tanto, un patrón espejo: el visible no fracasa en personas, de modo que el argumento a favor de fusionar no es que una modalidad sea ciega, sino que ninguna es la mejor en las dos clases a la vez. Entre las fusiones, la Ratio Pyramid alcanza el mejor promedio del par (0,622) y es la única entrada que supera a las dos modalidades individuales (VIS 0,618; IR 0,563); también obtiene el mejor mAP global de seis clases (0,677), apenas por encima del visible solo (0,676). La Propuesta Novedosa recupera ambas clases con un promedio de 0,564 (personas 0,641 y luces 0,488), es decir al nivel del infrarrojo solo y por debajo del visible: el realce acentuado que optimiza las métricas de actividad no favorece al detector, un resultado coherente con lo observado en LLVIP. Los valores absolutos son moderados (499 imágenes de validación y modelo nano): el experimento no busca récords, sino delimitar el escenario donde la fusión aporta algo que ninguna modalidad sola aporta. La Figura 9 ilustra el fenómeno sobre dos escenas de la validación: en la primera la fusión detecta once personas frente a tres del visible y diez del infrarrojo, y en la segunda conserva siete luces frente a cinco del visible y una sola del infrarrojo.</w:t>
      </w:r>
    </w:p>
    <w:p>
      <w:pPr>
        <w:pStyle w:val="Normal"/>
        <w:spacing w:lineRule="auto" w:line="276"/>
        <w:jc w:val="center"/>
        <w:rPr/>
      </w:pPr>
      <w:r>
        <w:rPr/>
        <w:drawing>
          <wp:inline distT="0" distB="0" distL="0" distR="0">
            <wp:extent cx="5760720" cy="3714197"/>
            <wp:effectExtent l="0" t="0" r="0" b="0"/>
            <wp:docPr id="9912" name="fig_m3fd_deteccion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2"/>
                    <a:stretch>
                      <a:fillRect/>
                    </a:stretch>
                  </pic:blipFill>
                  <pic:spPr bwMode="auto">
                    <a:xfrm>
                      <a:off x="0" y="0"/>
                      <a:ext cx="5760720" cy="3714197"/>
                    </a:xfrm>
                    <a:prstGeom prst="rect">
                      <a:avLst/>
                    </a:prstGeom>
                    <a:noFill/>
                  </pic:spPr>
                </pic:pic>
              </a:graphicData>
            </a:graphic>
          </wp:inline>
        </w:drawing>
      </w:r>
    </w:p>
    <w:p>
      <w:pPr>
        <w:pStyle w:val="Normal"/>
        <w:spacing w:lineRule="auto" w:line="276"/>
        <w:jc w:val="both"/>
        <w:rPr/>
      </w:pPr>
      <w:r>
        <w:rPr>
          <w:rFonts w:eastAsia="Times New Roman" w:cs="Times New Roman"/>
          <w:sz w:val="18"/>
        </w:rPr>
        <w:t xml:space="preserve">Figura 9. Detecciones del modelo único VIS+IR en dos escenas de la validación de M3FD (personas en recuadro granate, luces en azul): en la escena superior la fusión detecta once personas, frente a tres del visible y diez del infrarrojo; en la inferior conserva siete luces y ocho personas, frente a cinco luces del visible y una sola del infrarrojo.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(Fo = SSIMavg + En + PSNRn). La configuración del enjambre se seleccionó mediante un barrido de 25 combinaciones de partículas e iteraciones (2–10 × 10–50, replicando el diseño de Ortega y Espinoza, 2025) con el espacio de búsqueda publicado, r ∈ [1, 25] y m ∈ [0,30; 2,00]; el peso óptimo converge al límite inferior del rango (m* = 0,30) en las 25 configuraciones, y el radio se fija en r = 25 por maximizar las nueve métricas de evaluación y activar el banco completo de elementos estructurantes. Esta aptitud premia simultáneamente la fidelidad estructural (SSIM), el contenido informativo (entropía) y la reducción de la distorsión (PSNR).</w:t>
      </w:r>
    </w:p>
    <w:p>
      <w:pPr>
        <w:pStyle w:val="Normal"/>
        <w:spacing w:lineRule="auto" w:line="360"/>
        <w:ind w:firstLine="709"/>
        <w:jc w:val="both"/>
        <w:rPr/>
      </w:pPr>
      <w:r>
        <w:rPr>
          <w:rFonts w:eastAsia="Times New Roman" w:cs="Times New Roman"/>
        </w:rPr>
        <w:t xml:space="preserve">La Tabla 10 compara la propuesta, en su configuración óptima (r = 25, m = 0,30), con la metodología clásica Top-Hat y con métodos representativos del estado del arte (LP, RP y DTCWT; los valores de DWT y CVT, del mismo orden, se detallan en el material complementario) sobre las cinco métricas clásicas de actividad e información. La propuesta lidera la entropía (EN = 6,9855) y la eficiencia de fusión (FE = 1,1047) —por encima del Top-Hat clásico (6,9220 y 1,0952) y de los tres métodos multiescala— y queda segunda en desviación estándar (0,1439, tras la pirámide de Laplace), gradiente medio (0,0355) y frecuencia espacial (17,4425, frente a 23,1000 del clásico). El operador clásico alcanza mayor actividad bruta en gradiente y frecuencia, pero a costa de la peor similitud estructural del estudio (0,5640 frente a 0,6584 de la propuesta).</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seis de las nueve métricas —entropía (6,9855 frente a 6,9220), contraste (0,1439 frente a 0,1352), eficiencia de fusión (1,1047 frente a 1,0952), información mutua con ambas fuentes y similitud estructural (0,6584 frente a 0,5640; p_Holm ≤ 0,001)— y cede en gradiente medio y frecuencia espacial, donde el disco único inyecta el detalle sin ponderación; la diferencia en PSNR no resulta significativa. Frente a los cinco métodos del estado del arte, la propuesta gana de forma significativa en entropía, eficiencia de fusión, gradiente medio y frecuencia espacial contra todos ellos, y en contraste contra cuatro de los cinco; en cambio cede en las métricas de fidelidad a las fuentes y en información mutua. Con ello quedan sostenidas H1 y H2.</w:t>
      </w:r>
    </w:p>
    <w:p>
      <w:pPr>
        <w:pStyle w:val="Normal"/>
        <w:spacing w:lineRule="auto" w:line="360"/>
        <w:ind w:firstLine="709"/>
        <w:jc w:val="both"/>
        <w:rPr/>
      </w:pPr>
      <w:r>
        <w:rPr>
          <w:rFonts w:eastAsia="Times New Roman" w:cs="Times New Roman"/>
        </w:rPr>
        <w:t xml:space="preserve">La elección del peso es robusta: las 25 combinaciones del barrido convergieron al mismo valor, m* = 0,30, el límite inferior del rango publicado, porque la aptitud Fo decrece de forma monótona al aumentar el realce. El radio r = 25 se adopta por maximizar las nueve métricas de evaluación —todas de tipo «mayor es mejor»— y por activar el banco completo de cinco elementos estructurantes: a igual peso, r = 25 supera a r = 1 en entropía, contraste, eficiencia de fusión, gradiente medio y frecuencia espacial, lo que confirma que el operador aprovecha vecindarios amplios para capturar los objetivos térmicos completos.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Propuesta Novedosa (r=25, m=0,30)</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EN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6,9855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6,9220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6,8400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6,8098</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6,6877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FE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1,1047</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1,0952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1,0806</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1,0770</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1,0577</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SD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0,1439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0,1352</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0,1550</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0,1271</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0,1172</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MG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0,0355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0,0478</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0,0252</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0,0275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0,0255</w:t>
            </w:r>
          </w:p>
        </w:tc>
      </w:tr>
      <w:tr>
        <w:trPr/>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SF ↑</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sz w:val="19"/>
              </w:rPr>
              <w:t xml:space="preserve">17,4425</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23,1000</w:t>
            </w:r>
          </w:p>
        </w:tc>
        <w:tc>
          <w:tcPr>
            <w:tcW w:w="1517"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13,2205</w:t>
            </w:r>
          </w:p>
        </w:tc>
        <w:tc>
          <w:tcPr>
            <w:tcW w:w="1516"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13,6209</w:t>
            </w:r>
          </w:p>
        </w:tc>
        <w:tc>
          <w:tcPr>
            <w:tcW w:w="1518"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sz w:val="19"/>
              </w:rPr>
              <w:t xml:space="preserve">13,1990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Propuesta Novedosa (PSO: r = 25, m = 0,30) frente a la metodología clásica Top-Hat y a tres métodos del estado del arte en las cinco métricas de actividad e información de la Tabla 10 (EN, FE, SD, MG, SF) y en la similitud estructural, donde el operador cede.</w:t>
      </w:r>
    </w:p>
    <w:p>
      <w:pPr>
        <w:pStyle w:val="Normal"/>
        <w:spacing w:lineRule="auto" w:line="360"/>
        <w:ind w:firstLine="709"/>
        <w:jc w:val="both"/>
        <w:rPr/>
      </w:pPr>
      <w:r>
        <w:rPr>
          <w:rFonts w:eastAsia="Times New Roman" w:cs="Times New Roman"/>
        </w:rPr>
        <w:t xml:space="preserve">La Figura 11 resume la optimización del método. El panel izquierdo muestra la aptitud Fo en función del peso de contraste con el radio fijo en r = 25: decrece de forma monótona a partir de valores pequeños de m, de modo que el óptimo dentro del rango publicado cae en su piso, m* = 0,30, donde Fo = 1,7057. El panel derecho y la Tabla 11 sintetizan el barrido de 25 configuraciones: todas convergen al mismo peso, m* = 0,30, el límite inferior del rango publicado, lo que refleja que Fo decrece de forma monótona con el realce; la contribución de los elementos estructurantes lineales sobre el disco reside en la cobertura de orientaciones, que el criterio de evaluación premia al fijar r = 25.</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11. Aptitud Fo en función del peso de contraste con el radio fijo en r = 25 (izq.) y mejor aptitud alcanzada por cada combinación de partículas e iteraciones del barrido (der.), sobre tres escenas representativas. La aptitud decrece de forma monótona a partir de valores pequeños de m, de modo que el óptimo se sitúa en el piso del rango publicado.</w:t>
      </w:r>
    </w:p>
    <w:p>
      <w:pPr>
        <w:pStyle w:val="Normal"/>
        <w:spacing w:lineRule="auto" w:line="276"/>
        <w:jc w:val="both"/>
        <w:rPr/>
      </w:pPr>
      <w:r>
        <w:rPr>
          <w:rFonts w:eastAsia="Times New Roman" w:cs="Times New Roman"/>
          <w:i/>
          <w:sz w:val="18"/>
        </w:rPr>
        <w:t>Tabla 11. Barrido de configuraciones del PSO con el rango publicado m ∈ [0,30; 2,00]: mejor aptitud Fo por combinación de partículas (n) e iteraciones (T). Las 25 configuraciones convergen al mismo peso óptimo (m* = 0,30); las diferencias reflejan el radio hallado (r = 1 donde la aptitud llega a 1,7350 y r = 25 donde llega a 1,7057).</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1,6990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1,7350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 xml:space="preserve">1,7057</w:t>
            </w:r>
          </w:p>
        </w:tc>
      </w:tr>
    </w:tbl>
    <w:p>
      <w:pPr>
        <w:pStyle w:val="Normal"/>
        <w:spacing w:lineRule="auto" w:line="276"/>
        <w:rPr/>
      </w:pPr>
      <w:r>
        <w:rPr/>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0,30) encabeza el ranking agregado (3,39, por delante de la pirámide de Laplace con 3,91 y del Top-Hat clásico con 3,94): lidera la entropía (EN = 6,9855) y la eficiencia de fusión (FE = 1,1047) y es segunda en contraste, gradiente medio y frecuencia espacial, cediendo en las cuatro métricas de fidelidad a las fuentes. Segundo, no existe un método universalmente dominante: la pirámide de Laplace lidera el contraste (SD) y la información mutua, el Top-Hat clásico el gradiente y la frecuencia espacial, los métodos multiescala la similitud estructural y el PSNR, y la propuesta la entropía y la eficiencia de fusión; son óptimos de criterios distintos y complementarios. Tercero, la comparación con la metodología clásica de la transformada Top-Hat aísla el aporte de la propuesta: con el mismo esquema de reconstrucción y un peso idéntico, el banco de disco más líneas mejora simultáneamente la entropía (6,9855 frente a 6,9220), el contraste (0,1439 frente a 0,1352), la eficiencia de fusión (1,1047 frente a 1,0952), la información mutua con ambas fuentes y la similitud estructural (0,6584 frente a 0,5640), y solo cede en gradiente medio y frecuencia espacial, donde el disco único inyecta el detalle sin ponderación; en PSNR la diferencia no es distinguible (p_Holm = 0,674). Cuarto, las métricas de actividad crecen de forma monótona con el realce hasta que la saturación degrada la imagen, de modo que deben interpretarse junto a las de fidelidad y a un control visual del nivel de saturación. Quinto, la evaluación orientada a tarea (detección sobre LLVIP) constituye un criterio complementario y arroja el hallazgo más matizado: toda fusión supera netamente al visible solo (+0,09 a +0,14 en mAP@0,5), el infrarrojo solo es la modalidad más fuerte (0,971) y la propuesta queda en el extremo inferior de la banda de fusiones (0,906), de modo que el realce que premian las métricas de actividad no mejora —y en este caso perjudica— el desempeño del detector. Sexto, el experimento de clases complementarias sobre M3FD delimita el escenario donde la fusión es insustituible: cuando la escena contiene objetos térmicos (personas) y objetos exclusivamente visibles (luces), el infrarrojo se degrada en las luces (AP@0,5 = 0,348 frente a 0,779 en personas) y el visible mantiene ambas clases en un nivel parejo (0,621 y 0,616), de modo que la ventaja de fusionar no es que el visible fracase, sino que ninguna modalidad sola es la mejor en las dos clases a la vez. La Ratio Pyramid es la única entrada que supera a ambas modalidades en el promedio del par (0,622 frente a 0,618 del visible y 0,563 del infrarrojo), mientras que la propuesta alcanza 0,564, al nivel del infrarrojo solo y por debajo del visible. Ambos experimentos convergen en una conclusión metodológica: optimizar las métricas de actividad y optimizar el desempeño en tarea son objetivos distintos, y la evaluación de un método de fusión debe reportar ambos.</w:t>
      </w:r>
    </w:p>
    <w:p>
      <w:pPr>
        <w:pStyle w:val="Heading2"/>
        <w:spacing w:before="240" w:after="120"/>
        <w:jc w:val="start"/>
        <w:rPr/>
      </w:pPr>
      <w:r>
        <w:rPr>
          <w:rFonts w:eastAsia="Times New Roman" w:cs="Times New Roman"/>
          <w:b/>
          <w:bCs/>
          <w:color w:val="000000"/>
          <w:sz w:val="24"/>
          <w:szCs w:val="26"/>
        </w:rPr>
        <w:t xml:space="preserve">5.8 Auditoría del protocolo de evaluación</w:t>
      </w:r>
    </w:p>
    <w:p>
      <w:pPr>
        <w:pStyle w:val="Normal"/>
        <w:spacing w:lineRule="auto" w:line="360"/>
        <w:ind w:firstLine="709"/>
        <w:jc w:val="both"/>
        <w:rPr/>
      </w:pPr>
      <w:r>
        <w:rPr>
          <w:rFonts w:eastAsia="Times New Roman" w:cs="Times New Roman"/>
        </w:rPr>
        <w:t xml:space="preserve">Las secciones anteriores aplican el protocolo de evaluación; esta lo pone a prueba. El segundo aporte de la tesis consiste en usar el propio desarrollo como caso de estudio para establecer qué autoriza a concluir el criterio con el que se lo juzga: una batería de métricas sin referencia interpretadas todas como «mayor es mejor», un ajuste de hiperparámetros guiado en parte por esas mismas métricas y una validación en tarea posterior. Los cinco experimentos que siguen están versionados en el repositorio y contrastan las hipótesis H2, H3, H4, H5, H6 y H7.</w:t>
      </w:r>
    </w:p>
    <w:p>
      <w:pPr>
        <w:pStyle w:val="Heading3"/>
        <w:spacing w:before="180" w:after="100"/>
        <w:jc w:val="start"/>
        <w:rPr/>
      </w:pPr>
      <w:r>
        <w:rPr>
          <w:rFonts w:eastAsia="Times New Roman" w:cs="Times New Roman"/>
          <w:b/>
          <w:bCs/>
          <w:i/>
          <w:iCs/>
          <w:color w:val="000000"/>
          <w:sz w:val="24"/>
          <w:szCs w:val="24"/>
        </w:rPr>
        <w:t xml:space="preserve">5.8.1 Sensibilidad del orden de mérito y redundancia interna (H2, H4)</w:t>
      </w:r>
    </w:p>
    <w:p>
      <w:pPr>
        <w:pStyle w:val="Normal"/>
        <w:spacing w:lineRule="auto" w:line="360"/>
        <w:ind w:firstLine="709"/>
        <w:jc w:val="both"/>
        <w:rPr/>
      </w:pPr>
      <w:r>
        <w:rPr>
          <w:rFonts w:eastAsia="Times New Roman" w:cs="Times New Roman"/>
        </w:rPr>
        <w:t xml:space="preserve">El orden de mérito no es una propiedad del operador sino del criterio. Con las nueve métricas del trabajo de referencia la propuesta encabeza el benchmark (3,394 de rango medio). Incorporando las ocho métricas adicionales que el mismo evaluador calcula —Qabf, Nabf, SCD, VIF, FMI, Q0, QW y QE, con Nabf en su dirección inversa— la propuesta desciende al tercer lugar (3,459), el primer puesto pasa a la pirámide de Laplace (3,147), el segundo a DTCWT (3,259) y el Top-Hat clásico cae al último (5,000). Ninguna imagen fusionada cambió entre ambos cálculos: cambió el conjunto de métricas. Se sostiene, por tanto, H2, y de ello se sigue que todo orden agregado debe reportarse junto a la composición del conjunto que lo produce.</w:t>
      </w:r>
    </w:p>
    <w:p>
      <w:pPr>
        <w:pStyle w:val="Normal"/>
        <w:spacing w:lineRule="auto" w:line="360"/>
        <w:ind w:firstLine="709"/>
        <w:jc w:val="both"/>
        <w:rPr/>
      </w:pPr>
      <w:r>
        <w:rPr>
          <w:rFonts w:eastAsia="Times New Roman" w:cs="Times New Roman"/>
        </w:rPr>
        <w:t xml:space="preserve">La batería contiene además redundancia interna. La eficiencia de fusión se define como el cociente entre la entropía de la imagen fusionada y el promedio de las entropías de las fuentes; como ese denominador no depende del método, dentro de cada par la eficiencia de fusión es la entropía reescalada por una constante. Sus rangos intra-bloque coinciden con los de la entropía en los veinte pares y su estadístico de Friedman es idéntico (χ² = 88,2857 en ambas). El número efectivo de dimensiones evaluadas es ocho y no nueve, lo que sostiene H4. Excluyendo la eficiencia de fusión del promedio, la propuesta sigue primera (3,631 frente a 3,994 de la pirámide de Laplace), de modo que la redundancia no explica su primer lugar. El resto del orden sí se reacomoda: solo cuatro de las siete posiciones se conservan, y el Top-Hat clásico cae del tercer lugar al sexto (3,944 a 4,131).</w:t>
      </w:r>
    </w:p>
    <w:p>
      <w:pPr>
        <w:pStyle w:val="Heading3"/>
        <w:spacing w:before="180" w:after="100"/>
        <w:jc w:val="start"/>
        <w:rPr/>
      </w:pPr>
      <w:r>
        <w:rPr>
          <w:rFonts w:eastAsia="Times New Roman" w:cs="Times New Roman"/>
          <w:b/>
          <w:bCs/>
          <w:i/>
          <w:iCs/>
          <w:color w:val="000000"/>
          <w:sz w:val="24"/>
          <w:szCs w:val="24"/>
        </w:rPr>
        <w:t xml:space="preserve">5.8.2 Control negativo con degradaciones conocidas (H3)</w:t>
      </w:r>
    </w:p>
    <w:p>
      <w:pPr>
        <w:pStyle w:val="Normal"/>
        <w:spacing w:lineRule="auto" w:line="360"/>
        <w:ind w:firstLine="709"/>
        <w:jc w:val="both"/>
        <w:rPr/>
      </w:pPr>
      <w:r>
        <w:rPr>
          <w:rFonts w:eastAsia="Times New Roman" w:cs="Times New Roman"/>
        </w:rPr>
        <w:t xml:space="preserve">Si la batería mide calidad de fusión, una imagen deliberadamente degradada debería quedar por debajo de cualquier método razonable. Para verificarlo se incorporaron al ranking siete entradas de control junto a los siete métodos: la imagen base sin operador, cuatro fusiones artificiales construidas sumando ruido gaussiano de desviación creciente a esa base, y dos desenfoques gaussianos. La Tabla 12 presenta el rango medio de las catorce entradas bajo tres composiciones del criterio.</w:t>
      </w:r>
    </w:p>
    <w:p>
      <w:pPr>
        <w:pStyle w:val="Normal"/>
        <w:spacing w:lineRule="auto" w:line="276"/>
        <w:rPr/>
      </w:pPr>
      <w:r>
        <w:rPr>
          <w:rFonts w:eastAsia="Times New Roman" w:cs="Times New Roman"/>
          <w:i/>
          <w:sz w:val="18"/>
        </w:rPr>
        <w:t xml:space="preserve">Tabla 12. Control negativo: rango medio de los siete métodos y de siete entradas degradadas, bajo tres composiciones del criterio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Entrada evaluada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 Nabf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5,344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6,325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4,876</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0,20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6,767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10,138</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7,015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5,844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0,10</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7,565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7,600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7,229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7,117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6,960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5,079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7,261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7,405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6,565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(VIS+IR)/2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7,322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6,690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6,521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7,556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7,525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6,685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7,850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8,155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9,462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5×5</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8,417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7,785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Ruido gaussiano σ = 0,02</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8,595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8,994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Desenfoque gaussiano 11×11</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9,822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9,130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10,053</w:t>
            </w:r>
          </w:p>
        </w:tc>
      </w:tr>
    </w:tbl>
    <w:p>
      <w:pPr>
        <w:pStyle w:val="Normal"/>
        <w:spacing w:lineRule="auto" w:line="360"/>
        <w:ind w:firstLine="709"/>
        <w:jc w:val="both"/>
        <w:rPr/>
      </w:pPr>
      <w:r>
        <w:rPr>
          <w:rFonts w:eastAsia="Times New Roman" w:cs="Times New Roman"/>
        </w:rPr>
        <w:t xml:space="preserve">El resultado es inequívoco. Con las nueve métricas, la fusión de ruido con σ = 0,20 alcanza el tercer lugar de catorce (6,767): queda por delante de cinco de los seis métodos comparativos y por delante de la imagen base. Y su rango mejora monótonamente al aumentar el ruido —8,917, 7,850, 6,972 y 6,767 para σ = 0,02, 0,05, 0,10 y 0,20—, es decir que la batería juzga mejor a la imagen cuanto más ruido se le inyecta. El fallo es específico de la varianza y no de la degradación en general: el desenfoque sí resulta penalizado, y el de 11 × 11 queda último (9,822). Incorporando Nabf —la única métrica implementada con dirección inversa, que penaliza artefactos— el ruido de σ = 0,20 desciende al séptimo lugar, y con las diecisiete métricas cae al último (10,138). Se sostiene H3: la batería de nueve métricas de tipo «mayor es mejor» no distingue detalle útil de ruido, y basta una métrica que penalice artefactos para corregirlo.</w:t>
      </w:r>
    </w:p>
    <w:p>
      <w:pPr>
        <w:pStyle w:val="Heading3"/>
        <w:spacing w:before="180" w:after="100"/>
        <w:jc w:val="start"/>
        <w:rPr/>
      </w:pPr>
      <w:r>
        <w:rPr>
          <w:rFonts w:eastAsia="Times New Roman" w:cs="Times New Roman"/>
          <w:b/>
          <w:bCs/>
          <w:i/>
          <w:iCs/>
          <w:color w:val="000000"/>
          <w:sz w:val="24"/>
          <w:szCs w:val="24"/>
        </w:rPr>
        <w:t xml:space="preserve">5.8.3 Aporte del banco con hiperparámetros igualados (H7)</w:t>
      </w:r>
    </w:p>
    <w:p>
      <w:pPr>
        <w:pStyle w:val="Normal"/>
        <w:spacing w:lineRule="auto" w:line="360"/>
        <w:ind w:firstLine="709"/>
        <w:jc w:val="both"/>
        <w:rPr/>
      </w:pPr>
      <w:r>
        <w:rPr>
          <w:rFonts w:eastAsia="Times New Roman" w:cs="Times New Roman"/>
        </w:rPr>
        <w:t xml:space="preserve">La comparación con el Top-Hat clásico de la sección 5.6 no aísla el aporte del banco, porque aquel operador emplea otro radio y otro peso (r = 5, m = 1). Para aislarlo se fijaron r = 25 y m = 0,30 en seis brazos que comparten todo salvo la forma de combinar las respuestas morfológicas. La Tabla 13 recoge el rango medio de cada brazo.</w:t>
      </w:r>
    </w:p>
    <w:p>
      <w:pPr>
        <w:pStyle w:val="Normal"/>
        <w:spacing w:lineRule="auto" w:line="276"/>
        <w:rPr/>
      </w:pPr>
      <w:r>
        <w:rPr>
          <w:rFonts w:eastAsia="Times New Roman" w:cs="Times New Roman"/>
          <w:i/>
          <w:sz w:val="18"/>
        </w:rPr>
        <w:t xml:space="preserve">Tabla 13. Ablación del banco de elementos estructurantes con (r, m) = (25; 0,30) fijos en los seis brazos (menor rango = mejor;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Brazo (r = 25; m = 0,30 fijos)</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Rango con 9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9 sin FE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Con 17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Suma disco + promedio de líneas (propuesta)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3,222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3,500</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Máximo entre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2,932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el disco B_r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3,153</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Promedio de disco y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3,533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3,475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3,179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Imagen base, sin operador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3,506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4,359</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Solo las cuatro líneas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3,631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3,756</w:t>
            </w:r>
          </w:p>
        </w:tc>
      </w:tr>
    </w:tbl>
    <w:p>
      <w:pPr>
        <w:pStyle w:val="Normal"/>
        <w:spacing w:lineRule="auto" w:line="360"/>
        <w:ind w:firstLine="709"/>
        <w:jc w:val="both"/>
        <w:rPr/>
      </w:pPr>
      <w:r>
        <w:rPr>
          <w:rFonts w:eastAsia="Times New Roman" w:cs="Times New Roman"/>
        </w:rPr>
        <w:t xml:space="preserve">Con las nueve métricas la suma de ramas —la combinación que adopta la propuesta— es la mejor de los seis brazos (3,222), por delante del máximo (3,311) y del disco único (3,367); las líneas solas y la imagen base empatan en el último lugar (3,783). Conviene, sin embargo, leer también la columna sin la eficiencia de fusión: como esa métrica duplica la entropía, y la entropía es donde la suma obtiene su mayor ventaja, al retirarla los seis brazos se comprimen en una banda de 3,444 a 3,631 y la suma desciende al cuarto lugar (3,500), por detrás del máximo y del disco (3,444 cada uno). La lectura prudente es entonces que el banco produce un perfil distinto del disco único —lo que sostiene H7— y que su ventaja en el recuento de nueve métricas se apoya en parte en que la entropía se cuenta dos veces; lo que sí queda firme en todas las composiciones es que el mérito no proviene de la imagen base. Con las diecisiete métricas, en cambio, el orden se invierte: encabeza el máximo (2,932), siguen el disco (3,153) y el promedio (3,179), y la suma desciende al cuarto lugar (3,621), mientras la base queda última (4,359). La dirección del aporte depende, una vez más, del criterio, exactamente como enuncia H2.</w:t>
      </w:r>
    </w:p>
    <w:p>
      <w:pPr>
        <w:pStyle w:val="Heading3"/>
        <w:spacing w:before="180" w:after="100"/>
        <w:jc w:val="start"/>
        <w:rPr/>
      </w:pPr>
      <w:r>
        <w:rPr>
          <w:rFonts w:eastAsia="Times New Roman" w:cs="Times New Roman"/>
          <w:b/>
          <w:bCs/>
          <w:i/>
          <w:iCs/>
          <w:color w:val="000000"/>
          <w:sz w:val="24"/>
          <w:szCs w:val="24"/>
        </w:rPr>
        <w:t xml:space="preserve">5.8.4 Robustez frente al ajuste simétrico de los comparativos</w:t>
      </w:r>
    </w:p>
    <w:p>
      <w:pPr>
        <w:pStyle w:val="Normal"/>
        <w:spacing w:lineRule="auto" w:line="360"/>
        <w:ind w:firstLine="709"/>
        <w:jc w:val="both"/>
        <w:rPr/>
      </w:pPr>
      <w:r>
        <w:rPr>
          <w:rFonts w:eastAsia="Times New Roman" w:cs="Times New Roman"/>
        </w:rPr>
        <w:t xml:space="preserve">El protocolo concede a la propuesta un paso de ajuste de hiperparámetros que no concede a los comparativos, los cuales se ejecutan con sus valores por defecto. Para acotar la ventaja que eso introduce se recalculó el ranking dando a cada método comparativo el mismo tipo de barrido. La Tabla 14 resume los tres escenarios; el de ajustar además la propuesta arroja cifras idénticas al segundo, porque su configuración ya era la óptima bajo este criterio.</w:t>
      </w:r>
    </w:p>
    <w:p>
      <w:pPr>
        <w:pStyle w:val="Normal"/>
        <w:spacing w:lineRule="auto" w:line="276"/>
        <w:rPr/>
      </w:pPr>
      <w:r>
        <w:rPr>
          <w:rFonts w:eastAsia="Times New Roman" w:cs="Times New Roman"/>
          <w:i/>
          <w:sz w:val="18"/>
        </w:rPr>
        <w:t xml:space="preserve">Tabla 14. Rango medio por escenario de ajuste: con los comparativos por defecto, con los comparativos ajustados, y con los comparativos ajustados sobre las diecisiete métricas (menor rango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Método</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A: todos por defecto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B: comparativos ajustados ↓</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 xml:space="preserve">C: con 17 métricas ↓</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Propuesta Novedosa</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3,394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3,821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Pirámide de Laplace (LP)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4,028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3,141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Top-Hat clásico</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3,522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4,541</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Ratio Pyramid (RP)</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3,772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3,924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DTCWT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3,362</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Wavelet discreta (DWT)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4,211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4,167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4,574</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Curvelet (CVT)</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4,444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4,717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 xml:space="preserve">4,638</w:t>
            </w:r>
          </w:p>
        </w:tc>
      </w:tr>
    </w:tbl>
    <w:p>
      <w:pPr>
        <w:pStyle w:val="Normal"/>
        <w:spacing w:lineRule="auto" w:line="360"/>
        <w:ind w:firstLine="709"/>
        <w:jc w:val="both"/>
        <w:rPr/>
      </w:pPr>
      <w:r>
        <w:rPr>
          <w:rFonts w:eastAsia="Times New Roman" w:cs="Times New Roman"/>
        </w:rPr>
        <w:t xml:space="preserve">Bajo el protocolo tal como está declarado —escenario A— la propuesta encabeza el benchmark con 3,394. Concediendo a los comparativos el mismo paso de ajuste, ninguna de las cinco configuraciones de referencia la alcanza, pero el Top-Hat clásico la supera por 0,061 (3,522 frente a 3,583); conviene precisar que lo hace con m = 1, más del triple del peso de la propuesta, de modo que la comparación a peso igualado sigue siendo la de la Tabla 13, donde la suma de ramas gana. Con las diecisiete métricas y los comparativos ajustados la propuesta desciende al tercer lugar (3,821), por detrás de la pirámide de Laplace (3,141) y de DTCWT (3,362). Y conviene añadir el contraste a peso igualado que la Tabla 14 no recoge: ejecutando el Top-Hat clásico con (r, m) = (25; 0,30) —los mismos valores de la propuesta— la propuesta conserva el primer lugar del ranking de nueve métricas con 3,528 frente a 3,694, de modo que la ventaja del clásico en el escenario B proviene de su peso m = 1 y no del operador. El primer lugar del escenario A es, entonces, un resultado sólido dentro del criterio del trabajo de referencia y no una propiedad independiente del criterio.</w:t>
      </w:r>
    </w:p>
    <w:p>
      <w:pPr>
        <w:pStyle w:val="Heading3"/>
        <w:spacing w:before="180" w:after="100"/>
        <w:jc w:val="start"/>
        <w:rPr/>
      </w:pPr>
      <w:r>
        <w:rPr>
          <w:rFonts w:eastAsia="Times New Roman" w:cs="Times New Roman"/>
          <w:b/>
          <w:bCs/>
          <w:i/>
          <w:iCs/>
          <w:color w:val="000000"/>
          <w:sz w:val="24"/>
          <w:szCs w:val="24"/>
        </w:rPr>
        <w:t xml:space="preserve">5.8.5 Alcance de la optimización y contraste con la tarea (H5, H6)</w:t>
      </w:r>
    </w:p>
    <w:p>
      <w:pPr>
        <w:pStyle w:val="Normal"/>
        <w:spacing w:lineRule="auto" w:line="360"/>
        <w:ind w:firstLine="709"/>
        <w:jc w:val="both"/>
        <w:rPr/>
      </w:pPr>
      <w:r>
        <w:rPr>
          <w:rFonts w:eastAsia="Times New Roman" w:cs="Times New Roman"/>
        </w:rPr>
        <w:t xml:space="preserve">La optimización no determina la configuración evaluada. El argmax de la aptitud dentro del rango publicado es r = 1 (Fo = 1,7350) y no r = 25 (1,7057), y el peso queda en m = 0,30 en las veinticinco configuraciones porque es el piso del rango: la aptitud decrece estrictamente en m, al estar dos de sus tres sumandos del lado de la fidelidad. El radio adoptado proviene, pues, de la batería de evaluación, y el peso del piso del rango publicado: se sostiene H5. El peso sí admite justificación independiente de la aptitud. Con m = 0,30 la fracción de píxeles saturados por recorte es del 0,73 % en promedio sobre el corpus y no supera el 1,56 % en ninguna escena, mientras que con m = 1 asciende al 6,50 % en promedio y al 16,14 % en el peor caso. El valor adoptado mantiene el recorte por debajo del uno por ciento, lo que constituye un criterio físico y no métrico.</w:t>
      </w:r>
    </w:p>
    <w:p>
      <w:pPr>
        <w:pStyle w:val="Normal"/>
        <w:spacing w:lineRule="auto" w:line="360"/>
        <w:ind w:firstLine="709"/>
        <w:jc w:val="both"/>
        <w:rPr/>
      </w:pPr>
      <w:r>
        <w:rPr>
          <w:rFonts w:eastAsia="Times New Roman" w:cs="Times New Roman"/>
        </w:rPr>
        <w:t xml:space="preserve">El contraste con la tarea posterior cierra la auditoría. La correlación de Spearman entre el rango de calidad de los siete métodos y su mAP en LLVIP es ρ = +0,214 con p = 0,645: no hay asociación, y el signo es el contrario al esperado, puesto que un rango menor indica mejor calidad. En el conteo por escena sobre M3FD —232 escenas que contienen simultáneamente las dos clases complementarias— la propuesta recupera ambas en el 50,0 % de los casos, frente al 53,0 % del visible solo, con 8 escenas ganadas y 15 perdidas (McNemar exacto p = 0,2100), y resuelve 2 de las 90 escenas críticas. La mejor entrada del conteo es la pirámide de Laplace, con el 57,8 %. Se sostiene H6, y con muestra suficiente: la hipótesis de que la mejora en las métricas de imagen se traslade a la tarea de detección queda rechazada, no simplemente sin confirmar.</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m=0,30, seleccionado mediante un barrido de 25 configuraciones de enjambre)— logra el primer lugar del ranking agregado de nueve métricas (3,39, por delante de la pirámide de Laplace con 3,91 y del Top-Hat clásico con 3,94), liderando la entropía (EN=6,9855) y la eficiencia de fusión (FE=1,1047) y quedando segunda en contraste, gradiente medio y frecuencia espacial. Supera a la metodología clásica Top-Hat en seis de las nueve métricas —entropía, contraste, eficiencia de fusión, información mutua con ambas fuentes y similitud estructural— de forma estadísticamente significativa (Wilcoxon pareado con corrección de Holm: p ≤ 0,001; sección 5.6). En la evaluación de detección sobre LLVIP, toda fusión supera al visible solo (mAP@0,5 de 0,813 a 0,906–0,952) pero ninguna al infrarrojo solo (0,971), y la propuesta queda en el extremo inferior de la banda (mAP@0,5 = 0,906): su ventaja en las métricas de actividad no se traslada a la tarea de detección, cuya estrategia óptima depende de la aplicación. En el experimento de clases complementarias (M3FD), la fusión muestra su valor distintivo —detecta simultáneamente los objetos térmicos (personas) y los exclusivamente visibles (luces) que cada modalidad pierde por separado—, aunque el mejor promedio del par corresponde a la Ratio Pyramid (0,622) y la propuesta alcanza 0,564, al nivel del infrarrojo solo. Quedan así sostenidas las hipótesis H1 y H2, mientras que H3 no se sostiene para la configuración adoptada: una mejor calidad de imagen medida por actividad no implica un mejor desempeño de detección, resultado que constituye en sí mismo un aporte metodológico.</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lidera la similitud estructural (SSIM=0,739), la pirámide de Laplace el contraste (SD=0,155) y la información mutua con las fuentes, y el PSNR más alto corresponde a los métodos multiescala (CVT y DTCWT);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propuesta presenta el mejor ranking global agregado (3,39 sobre los 7 métodos), sostenido por su liderazgo en el rango medio de entropía, contraste y eficiencia de fusión y por su segundo puesto en gradiente medio y frecuencia espacial, y penalizada por las métricas de fidelidad a las fuentes; la sigue la pirámide de Laplace (3,91), sostenida por su ventaja en información mutua con las fuentes y por el mayor contraste promedio del estudio.</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forma de combinar las respuestas del banco introduce diferencias modestas. Con el radio y el peso igualados en (25; 0,30), la ablación de seis brazos ordena así el rango medio de las nueve métricas: suma de disco y promedio de líneas 3,222; máximo entre ambas ramas 3,311; disco único 3,367; promedio de ambas 3,533; y, últimas y empatadas, las líneas solas y la imagen base sin operador 3,783. No se compararon geometrías alternativas de elemento estructurante —cuadrado o cruz—, que no forman parte de la implementación.</w:t>
      </w:r>
    </w:p>
    <w:p>
      <w:pPr>
        <w:pStyle w:val="ListParagraph"/>
        <w:numPr>
          <w:ilvl w:val="0"/>
          <w:numId w:val="3"/>
        </w:numPr>
        <w:spacing w:lineRule="auto" w:line="360" w:before="0" w:after="100"/>
        <w:ind w:firstLine="709"/>
        <w:jc w:val="both"/>
        <w:rPr/>
      </w:pPr>
      <w:r>
        <w:rPr>
          <w:rFonts w:eastAsia="Times New Roman" w:cs="Times New Roman"/>
          <w:sz w:val="24"/>
          <w:szCs w:val="24"/>
        </w:rPr>
        <w:t>Los dos hiperparámetros del método son el radio r y el peso m; no hay profundidad de descomposición ni radio base, porque el operador es de una sola escala. Sus efectos son opuestos y bien delimitados: el radio gobierna la escala de las estructuras que el operador extrae —la aptitud del trabajo de referencia favorece r = 1 y la batería de evaluación r = 25— y el peso gobierna la intensidad del realce, con el recorte por saturación creciendo del 0,73 % en m = 0,30 al 6,50 % en m = 1.</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nueve métricas, y las comparaciones pareadas Wilcoxon con corrección de Holm corroboran las superioridades específicas reportadas (ganancia significativa en entropía, eficiencia de fusión, gradiente medio y frecuencia espacial frente a los cinco métodos del estado del arte).</w:t>
      </w:r>
    </w:p>
    <w:p>
      <w:pPr>
        <w:pStyle w:val="ListParagraph"/>
        <w:numPr>
          <w:ilvl w:val="0"/>
          <w:numId w:val="3"/>
        </w:numPr>
        <w:spacing w:lineRule="auto" w:line="360"/>
        <w:ind w:firstLine="709"/>
        <w:jc w:val="both"/>
        <w:rPr/>
      </w:pPr>
      <w:r>
        <w:rPr>
          <w:rFonts w:eastAsia="Times New Roman" w:cs="Times New Roman"/>
        </w:rPr>
        <w:t>El realce morfológico se paga en artefactos, y conviene declararlo: en Nabf —la única métrica del estudio que los mide, y que no integra la batería de nueve— los dos operadores morfológicos son los más agresivos del benchmark, con 0,374 la propuesta y 0,586 el Top-Hat clásico, frente a 0,114 de la pirámide de Laplace. No se evaluó una variante que prescinda de la rama Black Top-Hat: el esquema aditivo-sustractivo se emplea completo en todas las configuraciones, de modo que la contribución aislada de esa rama queda como trabajo futuro.</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 la riqueza informativa y el detalle de la imagen fusionada, emplear la Propuesta Novedosa (r = 25, m = 0,30), que lidera la entropía y la eficiencia de fusión del benchmark con un realce controlado; para aplicaciones donde prima la fidelidad a las fuentes, los métodos multiescala (DTCWT, CVT) siguen siendo preferibles, y la metodología clásica Top-Hat conserva su valor como referencia interpretable y de muy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 https://doi.org/10.1016/j.aeue.2015.09.004</w:t>
      </w:r>
    </w:p>
    <w:p>
      <w:pPr>
        <w:pStyle w:val="Normal"/>
        <w:spacing w:lineRule="auto" w:line="360" w:before="0" w:after="160"/>
        <w:ind w:firstLine="709"/>
        <w:jc w:val="both"/>
        <w:rPr/>
      </w:pPr>
      <w:r>
        <w:rPr>
          <w:rFonts w:eastAsia="Times New Roman" w:cs="Times New Roman"/>
          <w:sz w:val="24"/>
          <w:szCs w:val="24"/>
        </w:rPr>
        <w:t xml:space="preserve">Bai, X. (2013). Morphological image fusion using the extracted image regions and details based on multi-scale top-hat transform and toggle contrast operator. Digital Signal Processing, 23(2), 542–554. https://doi.org/10.1016/j.dsp.2012.11.001</w:t>
      </w:r>
    </w:p>
    <w:p>
      <w:pPr>
        <w:pStyle w:val="Normal"/>
        <w:spacing w:lineRule="auto" w:line="360" w:before="0" w:after="160"/>
        <w:ind w:firstLine="709"/>
        <w:jc w:val="both"/>
        <w:rPr/>
      </w:pPr>
      <w:r>
        <w:rPr>
          <w:rFonts w:eastAsia="Times New Roman" w:cs="Times New Roman"/>
          <w:sz w:val="24"/>
          <w:szCs w:val="24"/>
        </w:rPr>
        <w:t xml:space="preserve">Bai, X., Zhou, F., y Xue, B. (2012). Image enhancement using multi scale image features extracted by top-hat transform. Optics &amp; Laser Technology, 44(2), 328–336. https://doi.org/10.1016/j.optlastec.2011.07.009</w:t>
      </w:r>
    </w:p>
    <w:p>
      <w:pPr>
        <w:pStyle w:val="Normal"/>
        <w:spacing w:lineRule="auto" w:line="360" w:before="0" w:after="160"/>
        <w:ind w:firstLine="709"/>
        <w:jc w:val="both"/>
        <w:rPr/>
      </w:pPr>
      <w:r>
        <w:rPr>
          <w:rFonts w:eastAsia="Times New Roman" w:cs="Times New Roman"/>
          <w:sz w:val="24"/>
          <w:szCs w:val="24"/>
        </w:rPr>
        <w:t xml:space="preserve">Bajac Figueredo, Y. C., Bazán, J. P., Mello-Román, J. C., Vázquez Noguera, J. L., y Legal-Ayala, H. (2024). Infrared and visible image fusion using the Top Hat transform. Proceeding Series of the Brazilian Society of Computational and Applied Mathematics (CNMAC 2024), Universidad Comunera y Facultad Politécnica, Universidad Nacional de Asunción.</w:t>
      </w:r>
    </w:p>
    <w:p>
      <w:pPr>
        <w:pStyle w:val="Normal"/>
        <w:spacing w:lineRule="auto" w:line="360" w:before="0" w:after="160"/>
        <w:ind w:firstLine="709"/>
        <w:jc w:val="both"/>
        <w:rPr/>
      </w:pPr>
      <w:commentRangeStart w:id="4"/>
      <w:r>
        <w:rPr>
          <w:rFonts w:eastAsia="Times New Roman" w:cs="Times New Roman"/>
          <w:sz w:val="24"/>
          <w:szCs w:val="24"/>
        </w:rPr>
        <w:t xml:space="preserve">Bala, A. A., Aruna Priya, P., y Maik, V. (2024). Hybrid technique for fundus image enhancement using modified morphological filter and denoising net. The Journal of Supercomputing, 80(9),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 xml:space="preserve">Flores, S., Bujaico, C., Mello-Román, J. C., Vázquez Noguera, J. L., y Legal-Ayala, H. (s. f.). Método de realce de contraste local y nitidez en imágenes mamográficas basado en la transformada top-hat multiescala con elementos estructurantes circulares y lineales [Manuscrito]. Digital Image Processing Research Group, Facultad Politécnica, Universidad Nacional de Asunción.</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 https://doi.org/10.1016/j.compeleceng.2011.07.012</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3489–3497. https://doi.org/10.1109/ICCVW54120.2021.00389</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ind w:firstLine="709"/>
        <w:jc w:val="both"/>
        <w:rPr/>
      </w:pPr>
      <w:r>
        <w:rPr>
          <w:rFonts w:eastAsia="Times New Roman" w:cs="Times New Roman"/>
        </w:rPr>
        <w:t xml:space="preserve">Kingsbury, N. (2001). Complex wavelets for shift invariant analysis and filtering of signals. Applied and Computational Harmonic Analysis, 10(3), 234–253. https://doi.org/10.1006/acha.2000.0343</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5792–5801. https://doi.org/10.1109/CVPR52688.2022.00571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 xml:space="preserve">Mukhopadhyay, S., y Chanda, B. (2000). A multiscale morphological approach to local contrast enhancement. Signal Processing, 80(4), 685–696. https://doi.org/10.1016/S0165-1684(99)00161-9</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 https://doi.org/10.1109/ICIP.2003.1247209</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 https://doi.org/10.1109/TIP.2005.859378</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 xml:space="preserve">Toet, A. (2017). The TNO multiband image data collection. Data in Brief, 15, 249–251. https://doi.org/10.1016/j.dib.2017.09.038</w:t>
      </w:r>
    </w:p>
    <w:p>
      <w:pPr>
        <w:pStyle w:val="Normal"/>
        <w:spacing w:lineRule="auto" w:line="360" w:before="0" w:after="160"/>
        <w:ind w:firstLine="709"/>
        <w:jc w:val="both"/>
        <w:rPr/>
      </w:pPr>
      <w:r>
        <w:rPr>
          <w:rFonts w:eastAsia="Times New Roman" w:cs="Times New Roman"/>
          <w:sz w:val="24"/>
          <w:szCs w:val="24"/>
        </w:rPr>
        <w:t xml:space="preserve">Wang, J., Peng, J., Feng, X., He, G., y Fan, J. (2014). Fusion method for infrared and visible images by using non-negative sparse representation. Infrared Physics &amp; Technology, 67, 477–489. https://doi.org/10.1016/j.infrared.2014.09.019</w:t>
      </w:r>
    </w:p>
    <w:p>
      <w:pPr>
        <w:pStyle w:val="Normal"/>
        <w:spacing w:lineRule="auto" w:line="360" w:before="0" w:after="160"/>
        <w:ind w:firstLine="709"/>
        <w:jc w:val="both"/>
        <w:rPr/>
      </w:pPr>
      <w:r>
        <w:rPr>
          <w:rFonts w:eastAsia="Times New Roman" w:cs="Times New Roman"/>
          <w:sz w:val="24"/>
          <w:szCs w:val="24"/>
        </w:rPr>
        <w:t xml:space="preserve">Wang, Z., Bovik, A. C., Sheikh, H. R., y Simoncelli, E. P. (2004). Image quality assessment: From error visibility to structural similarity. IEEE Transactions on Image Processing, 13(4), 600–612. https://doi.org/10.1109/TIP.2003.819861</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 https://doi.org/10.1049/el:20000267</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nueve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25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[0,30; 2,00].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99 contrastes Wilcoxon (la propuesta frente a los 5 métodos del estado del arte y frente al Top-Hat clásico, y el Top-Hat clásico frente a los mismos 5, en las 9 métricas)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54 contrastes de la propuesta frente a sus seis rivales (9 métricas × 6 rivales: los cinco del estado del arte y el Top-Hat clásico,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0,30</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0,30.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distinción correcta separa las dos clases de capas: las de detalle se fusionan por máxima actividad local y la base por promedio simple. Conviene precisar el alcance: esto concierne a los métodos comparativos multiescala, no al operador propuesto, que es de una sola escala y no tiene capas —su única respuesta de detalle se combina por máximo entre fuentes y se reconstruye sobre I_base = (VIS + IR)/2, promedio simple de las dos fuentes por definición—.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17.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