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t>Un método óptimo multiescala con elementos estructurantes circulares y lineales optimizado por PSO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visible (VIS) e infrarroja (IR) es clave para la percepción computacional en condiciones adversas (vigilancia, conducción nocturna, búsqueda y rescate). Este trabajo propone un MÉTODO ÓPTIMO MULTIESCALA basado en la transformada Top-Hat que combina cinco elementos estructurantes por escala —un disco y cuatro lineales (0°, 45°, 90°, 135°)— con descomposición en cascada, y cuyos parámetros (número de escalas, radio y peso de contraste) se ajustan automáticamente por Optimización por Enjambre de Partículas (PSO). Se lo compara con el método anterior (Torre Top-Hat) y con baselines clásicos (promedio, pirámide de Laplace, curvelet) sobre el TNO Image Fusion Dataset, usando doce métricas sin referencia y pruebas no paramétricas (Friedman, Wilcoxon con corrección de Holm). El método óptimo (PSO: n=6, r≈2,9, m=0,10) lidera en calidad de fusión: mayor preservación de bordes (Qabf=0,514), mayor similitud estructural y correlación con las fuentes (SSIM=0,775; SCD=1,453) y los menores artefactos (Nabf=0,065) entre los métodos reales. Como evaluación orientada a tarea, se midió el efecto de la fusión en la detección de objetos con YOLO: sobre la imagen visible sola el detector apenas halla una persona, mientras que con la fusión la detección de personas asciende notablemente, evidenciando la utilidad práctica de fusionar. Se concluye que el método óptimo multiescala mejora la calidad de fusión frente al método anterior y a los baselines, manteniendo un bajo costo computacional e interpretabilidad morfológica.</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Visible (VIS) and infrared (IR) image fusion is key for computer perception under adverse conditions (surveillance, night driving, search and rescue). This work proposes an OPTIMAL MULTISCALE METHOD based on the Top-Hat transform that combines five structuring elements per scale —one disk and four linear ones (0°, 45°, 90°, 135°)— with cascade decomposition, whose parameters (number of scales, radius and contrast weight) are tuned automatically by Particle Swarm Optimization (PSO). It is compared against the previous method (Top-Hat Tower) and classical baselines (average, Laplacian pyramid, curvelet) on the TNO Image Fusion Dataset, using twelve no-reference metrics and non-parametric tests (Friedman, Wilcoxon with Holm correction). The optimal method (PSO: n=6, r≈2.9, m=0.10) leads in fusion quality: highest edge preservation (Qabf=0.514), highest structural similarity and source correlation (SSIM=0.775; SCD=1.453) and the lowest artifacts (Nabf=0.065) among real methods. As a task-driven evaluation, the effect of fusion on object detection with YOLO was measured: on the visible image alone the detector barely finds a person, whereas fusion substantially increases person detections, evidencing practical usefulness. The optimal multiscale method improves fusion quality over the previous method and the baselines while remaining computationally light and interpretable.</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r>
        <w:tc>
          <w:tcPr>
            <w:tcW w:type="dxa" w:w="2400"/>
          </w:tcPr>
          <w:p>
            <w:r>
              <w:rPr>
                <w:b w:val="0"/>
              </w:rPr>
              <w:t>YOLO</w:t>
            </w:r>
          </w:p>
        </w:tc>
        <w:tc>
          <w:tcPr>
            <w:tcW w:type="dxa" w:w="6960"/>
          </w:tcPr>
          <w:p>
            <w:r>
              <w:rPr>
                <w:b w:val="0"/>
              </w:rPr>
              <w:t>You Only Look Once (detector de objetos)</w:t>
            </w:r>
          </w:p>
        </w:tc>
      </w:tr>
      <w:tr>
        <w:tc>
          <w:tcPr>
            <w:tcW w:type="dxa" w:w="2400"/>
          </w:tcPr>
          <w:p>
            <w:r>
              <w:rPr>
                <w:b w:val="0"/>
              </w:rPr>
              <w:t>FPS</w:t>
            </w:r>
          </w:p>
        </w:tc>
        <w:tc>
          <w:tcPr>
            <w:tcW w:type="dxa" w:w="6960"/>
          </w:tcPr>
          <w:p>
            <w:r>
              <w:rPr>
                <w:b w:val="0"/>
              </w:rPr>
              <w:t>Cuadros por segundo (Frames Per Second)</w:t>
            </w:r>
          </w:p>
        </w:tc>
      </w:tr>
      <w:tr>
        <w:tc>
          <w:tcPr>
            <w:tcW w:type="dxa" w:w="2400"/>
          </w:tcPr>
          <w:p>
            <w:r>
              <w:rPr>
                <w:b w:val="0"/>
              </w:rPr>
              <w:t>mAP</w:t>
            </w:r>
          </w:p>
        </w:tc>
        <w:tc>
          <w:tcPr>
            <w:tcW w:type="dxa" w:w="6960"/>
          </w:tcPr>
          <w:p>
            <w:r>
              <w:rPr>
                <w:b w:val="0"/>
              </w:rPr>
              <w:t>Precisión media promedio (mean Average Precision)</w:t>
            </w:r>
          </w:p>
        </w:tc>
      </w:tr>
      <w:tr>
        <w:tc>
          <w:tcPr>
            <w:tcW w:type="dxa" w:w="2400"/>
          </w:tcPr>
          <w:p>
            <w:r>
              <w:rPr>
                <w:b w:val="0"/>
              </w:rPr>
              <w:t>PSO</w:t>
            </w:r>
          </w:p>
        </w:tc>
        <w:tc>
          <w:tcPr>
            <w:tcW w:type="dxa" w:w="6960"/>
          </w:tcPr>
          <w:p>
            <w:r>
              <w:rPr>
                <w:b w:val="0"/>
              </w:rPr>
              <w:t>Optimización por Enjambre de Partículas (Particle Swarm Optimization)</w:t>
            </w:r>
          </w:p>
        </w:tc>
      </w:tr>
      <w:tr>
        <w:tc>
          <w:tcPr>
            <w:tcW w:type="dxa" w:w="2400"/>
          </w:tcPr>
          <w:p>
            <w:r>
              <w:rPr>
                <w:b w:val="0"/>
              </w:rPr>
              <w:t>PSNR</w:t>
            </w:r>
          </w:p>
        </w:tc>
        <w:tc>
          <w:tcPr>
            <w:tcW w:type="dxa" w:w="6960"/>
          </w:tcPr>
          <w:p>
            <w:r>
              <w:rPr>
                <w:b w:val="0"/>
              </w:rPr>
              <w:t>Relación señal-ruido de pico (Peak Signal-to-Noise Ratio)</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t>Proponer y evaluar un método óptimo multiescala de fusión de imágenes visibles e infrarrojas basado en la transformada Top-Hat con elementos estructurantes circulares y lineales y parámetros optimizados por enjambre de partículas (PSO), comparándolo con el método anterior (Torre Top-Hat) y con baselines clásicos, y analizando su impacto en tareas posteriores de detección de objetos.</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t>Formular el método óptimo multiescala: descomposición en cascada con cinco elementos estructurantes por escala (un disco y cuatro lineales a 0°, 45°, 90° y 135°), combinados por máximo, adaptada al esquema de fusión VIS/IR.</w:t>
      </w:r>
    </w:p>
    <w:p>
      <w:pPr>
        <w:pStyle w:val="ListParagraph"/>
        <w:numPr>
          <w:ilvl w:val="0"/>
          <w:numId w:val="2"/>
        </w:numPr>
        <w:spacing w:after="100" w:line="320"/>
        <w:jc w:val="both"/>
      </w:pPr>
      <w:r>
        <w:t>Optimizar automáticamente los hiperparámetros del método (número de escalas, radio base y peso de contraste) mediante PSO con una función de aptitud orientada a la calidad de fusión.</w:t>
      </w:r>
    </w:p>
    <w:p>
      <w:pPr>
        <w:pStyle w:val="ListParagraph"/>
        <w:numPr>
          <w:ilvl w:val="0"/>
          <w:numId w:val="2"/>
        </w:numPr>
        <w:spacing w:after="100" w:line="320"/>
        <w:jc w:val="both"/>
      </w:pPr>
      <w:r>
        <w:t>Comparar el método óptimo con el método anterior (Torre Top-Hat) y los baselines clásicos (promedio, pirámide de Laplace y curvelet) sobre doce métricas sin referencia, con pruebas no paramétricas (Friedman y Wilcoxon con corrección de Holm).</w:t>
      </w:r>
    </w:p>
    <w:p>
      <w:pPr>
        <w:pStyle w:val="ListParagraph"/>
        <w:numPr>
          <w:ilvl w:val="0"/>
          <w:numId w:val="2"/>
        </w:numPr>
        <w:spacing w:after="100" w:line="320"/>
        <w:jc w:val="both"/>
      </w:pPr>
      <w:r>
        <w:t>Analizar el impacto de la fusión en una tarea posterior de detección de objetos (YOLO), evaluando la detectabilidad por modalidad de entrada.</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p>
      <w:pPr>
        <w:pStyle w:val="Heading3"/>
        <w:spacing w:after="100" w:before="180"/>
      </w:pPr>
      <w:r>
        <w:t>Torre Top-Hat (método anterior)</w:t>
      </w:r>
    </w:p>
    <w:p>
      <w:pPr>
        <w:spacing w:after="160" w:line="360"/>
        <w:jc w:val="both"/>
      </w:pPr>
      <w:r>
        <w:t>Sobre la transformada Top-Hat de una sola escala, esta tesis desarrolló inicialmente una descomposición multiescala iterativa, la Torre Top-Hat, que en este trabajo constituye el método anterior o base de comparación.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p>
      <w:pPr>
        <w:jc w:val="center"/>
      </w:pPr>
      <w:r>
        <w:rPr>
          <w:b/>
        </w:rPr>
        <w:t>F = base_fusionada + Σₖ WTHₖ^fus − Σₖ BTHₖ^fus</w:t>
      </w:r>
    </w:p>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1. Esquema conceptual de la Torre Top-Hat propuesta.</w:t>
      </w:r>
    </w:p>
    <w:p>
      <w:pPr>
        <w:pStyle w:val="Heading3"/>
      </w:pPr>
      <w:r>
        <w:t>Método óptimo multiescala con elementos estructurantes circulares y lineales optimizado por PSO</w:t>
      </w:r>
    </w:p>
    <w:p>
      <w:r>
        <w:t>La propuesta central de esta tesis es un método de fusión morfológica multiescala que generaliza la transformada Top-Hat sobre dos ejes simultáneos: la geometría del elemento estructurante y la escala de análisis. El método adapta a la fusión VIS/IR la metodología de realce de contraste multiescala de Román et al. (2024) para mamografías —sección 2.1.4, ecuaciones (9)–(21)—, que combina elementos estructurantes circulares y lineales en una cascada de escalas, y la integra con el esquema de fusión ponderada y de optimización por enjambre de partículas de Ortega y Espinoza (FPUNA, 2025). Frente a la Torre Top-Hat (método anterior), que emplea un único disco por escala y reglas de selección ajustadas a mano, el método óptimo multiescala enriquece el operador con sensibilidad direccional, encadena las escalas para separar el detalle fino de la estructura gruesa, y reemplaza el ajuste manual de hiperparámetros por una búsqueda automática guiada por la calidad de fusión.</w:t>
      </w:r>
    </w:p>
    <w:p>
      <w:pPr>
        <w:jc w:val="center"/>
      </w:pPr>
      <w:r>
        <w:t>Elementos estructurantes circulares y lineales. En cada escala el operador no usa un único SE, sino cinco: un disco de radio r, que responde de forma isótropa a estructuras sin orientación dominante, y cuatro segmentos lineales de longitud 2r+1 orientados a 0°, 45°, 90° y 135°, cada uno sensible a estructuras alargadas en su dirección. Para una imagen f se calculan las cinco White Top-Hat y las cinco Black Top-Hat —WTH(f,b) = f − γ(f,b) y BTH(f,b) = φ(f,b) − f para cada SE b— y se combinan tomando el máximo por píxel (ecuaciones 9–14 del paper de referencia): WTH_i(f) = máx{ f − γ(f,b_disco), f − γ(f,b_0°), …, f − γ(f,b_135°) }, y de forma análoga BTH_i con los cierres φ. La combinación por máximo conserva en cada punto la respuesta del SE que mejor capta el detalle local, de modo que bordes diagonales, horizontales, verticales y regiones isótropas se realzan sin privilegiar a priori ninguna orientación.</w:t>
      </w:r>
    </w:p>
    <w:p>
      <w:r>
        <w:t>Descomposición multiescala en cascada. El operador anterior se evalúa en n escalas crecientes, con radios r_i = r·i para i = 1,…,n, generando dos familias de mapas {WTH_i} y {BTH_i}. Para aislar los detalles que aparecen entre escalas consecutivas se calculan las diferencias en cascada (ecuaciones 15–16): WTHS_2 = WTH_2 − WTH_1 y, para i ≥ 3, WTHS_i = WTH_i − WTHS_{i−2}, con la construcción dual para BTHS_i. De cada familia se extrae el máximo por píxel a lo largo de las escalas (ecuaciones 17–20): WTH_M y BTH_M agregan el detalle directo de todas las escalas, mientras que WTHS_M y BTHS_M agregan el detalle diferencial entre escalas. Así, las estructuras brillantes y oscuras finas y gruesas quedan representadas en mapas separados pero combinables, evitando que las escalas grandes dominen sobre las pequeñas.</w:t>
      </w:r>
    </w:p>
    <w:p>
      <w:r>
        <w:t>Reconstrucción y regla de fusión. Las imágenes VIS e IR se procesan en paralelo y sus mapas se combinan por máximo por píxel, conservando para cada fuente el detalle más saliente: WTH_M = máx(WTH_M^VIS, WTH_M^IR), e igualmente para BTH_M, WTHS_M y BTHS_M. Sobre la imagen base I_base = (I_VIS + I_IR)/2, que retiene la iluminación y la temperatura global de baja frecuencia, se suman los realces brillantes y se restan los oscuros, ponderados por un peso de contraste m (adaptación de la ecuación 21 del paper de mamografías al esquema de fusión de la ecuación 12 de Ortega y Espinoza): F = I_base + m·(WTH_M + WTHS_M) − m·(BTH_M + BTHS_M). El término con WTH realza las estructuras brillantes —típicamente objetos cálidos del canal IR—, el término con BTH oscurece los valles —contornos y sombras del canal visible— y el peso m gradúa la intensidad del realce: valores altos maximizan el contraste a costa de introducir artefactos, valores bajos preservan la fidelidad a las fuentes.</w:t>
      </w:r>
    </w:p>
    <w:p>
      <w:r>
        <w:t>Optimización por Enjambre de Partículas (PSO). El método tiene tres hiperparámetros —el número de escalas n, el radio base r y el peso de contraste m— cuyo ajuste manual es costoso y subjetivo. Para fijarlos automáticamente se emplea la Optimización por Enjambre de Partículas (Kennedy y Eberhart, 1995), una metaheurística poblacional inspirada en el comportamiento colectivo de las bandadas. Cada partícula es una solución candidata x = (n, r, m) que se desplaza por el espacio de búsqueda recordando su mejor posición propia (pbest) y la mejor posición de todo el enjambre (gbest). En cada iteración t la velocidad y la posición se actualizan según v_{t+1} = w·v_t + c₁·r₁·(pbest − x_t) + c₂·r₂·(gbest − x_t) y x_{t+1} = x_t + v_{t+1}, donde w es la inercia, c₁ y c₂ son los coeficientes cognitivo y social, y r₁, r₂ ∈ [0,1] son números aleatorios. La implementación usa 30 partículas durante 30 iteraciones, con c₁ = c₂ = 1,5 e inercia decreciente de 0,9 a 0,4 para transitar de la exploración global al refinamiento local.</w:t>
      </w:r>
    </w:p>
    <w:p>
      <w:r>
        <w:t>Función de aptitud orientada a la fusión. A diferencia de la formulación original de Ortega y Espinoza —que maximiza F = SSIM + E + PSNR y, al premiar el realce conservador, conduce a óptimos triviales en este problema—, aquí el PSO maximiza una aptitud orientada explícitamente a la calidad de fusión: F = SSIM + Qabf + 0,5·SCD − Nabf, que recompensa la similitud estructural, la preservación de bordes y la correlación de las diferencias, y penaliza los artefactos. El enjambre convergió de forma estable al óptimo n = 6 escalas, r ≈ 2,89 y m = 0,10, configuración con la que se evalúa el método en el capítulo de resultados.</w:t>
      </w:r>
    </w:p>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pStyle w:val="ListParagraph"/>
        <w:numPr>
          <w:ilvl w:val="0"/>
          <w:numId w:val="3"/>
        </w:numPr>
        <w:spacing w:after="100" w:line="320"/>
        <w:jc w:val="both"/>
      </w:pPr>
      <w:r>
        <w:rPr>
          <w:rFonts w:ascii="Arial" w:cs="Arial" w:eastAsia="Arial" w:hAnsi="Arial"/>
          <w:sz w:val="24"/>
          <w:szCs w:val="24"/>
        </w:rPr>
        <w:t xml:space="preserve">Promedio simple. Combinación lineal F = 0,5 · I_VIS + 0,5 · I_IR. Constituye la cota inferior de complejidad y desempeño esperable.</w:t>
      </w:r>
    </w:p>
    <w:p>
      <w:pPr>
        <w:pStyle w:val="ListParagraph"/>
        <w:numPr>
          <w:ilvl w:val="0"/>
          <w:numId w:val="3"/>
        </w:numPr>
        <w:spacing w:after="100" w:line="320"/>
        <w:jc w:val="both"/>
      </w:pPr>
      <w:r>
        <w:rPr>
          <w:rFonts w:ascii="Arial" w:cs="Arial" w:eastAsia="Arial" w:hAnsi="Arial"/>
          <w:sz w:val="24"/>
          <w:szCs w:val="24"/>
        </w:rPr>
        <w:t xml:space="preserve">Pirámide de Laplace. Descomposición Gaussiana–Laplaciana de Burt y Adelson (1983) con cuatro niveles, regla de fusión por máxima actividad local en cada banda y reconstrucción por expansión inversa. Es el baseline canónico en la literatura clásica de fusión.</w:t>
      </w:r>
    </w:p>
    <w:p>
      <w:pPr>
        <w:pStyle w:val="ListParagraph"/>
        <w:numPr>
          <w:ilvl w:val="0"/>
          <w:numId w:val="3"/>
        </w:numPr>
        <w:spacing w:after="100" w:line="320"/>
        <w:jc w:val="both"/>
      </w:pPr>
      <w:r>
        <w:rPr>
          <w:rFonts w:ascii="Arial" w:cs="Arial" w:eastAsia="Arial" w:hAnsi="Arial"/>
          <w:sz w:val="24"/>
          <w:szCs w:val="24"/>
        </w:rPr>
        <w:t xml:space="preserve">Curvelet (vía wavelet 2D). Descomposición discreta en subbandas direccionales mediante PyWavelets con familia Daubechies (db4) y tres niveles. Aproxima el comportamiento multiorientado de las curvelets de Candès et al. (2006), regla de máxima magnitud en subbandas de detalle, promedio en aproximación.</w:t>
      </w:r>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2"/>
      </w:pPr>
      <w:r>
        <w:t>Elemento estructurante lineal</w:t>
      </w:r>
    </w:p>
    <w:p>
      <w: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pPr>
      <w:r>
        <w:t>Combinación de respuestas por máximo</w:t>
      </w:r>
    </w:p>
    <w:p>
      <w:r>
        <w:t>Regla que, dadas varias transformadas Top-Hat obtenidas con distintos elementos estructurantes sobre la misma imagen, conserva en cada píxel el valor máximo. Selecciona localmente el SE que mejor capta el detalle, sin privilegiar a priori ninguna geometría ni orientación.</w:t>
      </w:r>
    </w:p>
    <w:p>
      <w:pPr>
        <w:pStyle w:val="Heading2"/>
      </w:pPr>
      <w:r>
        <w:t>Descomposición multiescala en cascada</w:t>
      </w:r>
    </w:p>
    <w:p>
      <w:r>
        <w:t>Esquema que evalúa la Top-Hat en escalas crecientes (radios r_i = r·i) y calcula diferencias entre escalas consecutivas (WTHS_i, BTHS_i) para separar el detalle fino del grueso, agregando después cada familia por máximo. Permite representar estructuras de distinto tamaño en mapas combinables y es la base del método óptimo multiescala.</w:t>
      </w:r>
    </w:p>
    <w:p>
      <w:pPr>
        <w:pStyle w:val="Heading2"/>
      </w:pPr>
      <w:r>
        <w:t>Peso de ajuste de contraste (m)</w:t>
      </w:r>
    </w:p>
    <w:p>
      <w: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pPr>
      <w:r>
        <w:t>Optimización por Enjambre de Partículas (PSO)</w:t>
      </w:r>
    </w:p>
    <w:p>
      <w:r>
        <w:t>Metaheurística poblacional (Kennedy y Eberhart, 1995) que busca el óptimo de una función moviendo un conjunto de partículas según su mejor posición individual (pbest) y la mejor global del enjambre (gbest). En esta tesis ajusta automáticamente los hiperparámetros (n, r, m) del método óptimo multiescala.</w:t>
      </w:r>
    </w:p>
    <w:p>
      <w:pPr>
        <w:pStyle w:val="Heading2"/>
      </w:pPr>
      <w:r>
        <w:t>Función de aptitud</w:t>
      </w:r>
    </w:p>
    <w:p>
      <w:r>
        <w:t>Criterio escalar que el PSO maximiza para evaluar cada solución candidata. Aquí es una combinación orientada a la fusión, F = SSIM + Qabf + 0,5·SCD − Nabf, que premia la fidelidad estructural, la preservación de bordes y la correlación, y penaliza los artefactos.</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rFonts w:ascii="Arial" w:cs="Arial" w:eastAsia="Arial" w:hAnsi="Arial"/>
          <w:sz w:val="24"/>
          <w:szCs w:val="24"/>
        </w:rPr>
        <w:t xml:space="preserve">La figura 2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2.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rFonts w:ascii="Arial" w:cs="Arial" w:eastAsia="Arial" w:hAnsi="Arial"/>
          <w:sz w:val="24"/>
          <w:szCs w:val="24"/>
        </w:rPr>
        <w:t xml:space="preserve">Una distribución más completa de las métricas, no reducida al promedio, se aprecia en los diagramas de caja de la figura 3.</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t>Figura 3.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t>Figura 4.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rFonts w:ascii="Arial" w:cs="Arial" w:eastAsia="Arial" w:hAnsi="Arial"/>
          <w:sz w:val="24"/>
          <w:szCs w:val="24"/>
        </w:rPr>
        <w:t xml:space="preserve">Más allá de la comparación inter-método, se ejecutó un benchmark exhaustivo de las 36 configuraciones de la Torre Top-Hat. La figura 5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rFonts w:ascii="Arial" w:cs="Arial" w:eastAsia="Arial" w:hAnsi="Arial"/>
          <w:i/>
          <w:iCs/>
          <w:sz w:val="20"/>
          <w:szCs w:val="20"/>
        </w:rPr>
        <w:t xml:space="preserve">Figura 5.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t>Figura 6. Impacto de añadir Black Top-Hat sobre las configuraciones disco L3 y L5: cambio relativo por métrica (verde = mejora, rojo = empeora).</w:t>
      </w:r>
    </w:p>
    <w:p>
      <w:pPr>
        <w:pStyle w:val="Heading2"/>
      </w:pPr>
      <w:r>
        <w:t>Evaluación orientada a tarea: detección con YOLO</w:t>
      </w:r>
    </w:p>
    <w:p>
      <w:r>
        <w:t>Para evaluar la utilidad de la fusión más allá de la calidad de imagen se realizó una evaluación orientada a tarea con un detector YOLOv8n preentrenado (clases COCO). Sin reentrenar ni anotar, se ejecutó inferencia sobre las 20 imágenes en cada versión (VIS, IR y las once fusiones) y se contabilizó la detectabilidad: número de detecciones, clase (persona/vehículo) y confianza. La Tabla 6 agrupa los resultados por tipo de fuente.</w:t>
      </w:r>
    </w:p>
    <w:p>
      <w:r>
        <w:t>Tabla 6. Detectabilidad de YOLOv8n por tipo de fuente (suma sobre 20 imágenes).</w:t>
      </w:r>
    </w:p>
    <w:p>
      <w:r>
        <w:t>El hallazgo principal respalda la utilidad de la fusión: sobre la VIS sola el detector apenas encuentra una (1) persona en todo el conjunto, mientras que con la información infrarroja las fusiones elevan la detección de personas a trece (familia Top-Hat) y dieciséis (variantes con BTH). El método óptimo multiescala detecta en 9 de 20 escenas con la confianza media más alta del grupo de fusiones (0,51) y un balance razonable persona/vehículo, manteniendo la velocidad de inferencia (~30 FPS). Persiste el patrón complementario: la VIS favorece los vehículos y la IR/fusión las personas.</w:t>
      </w:r>
    </w:p>
    <w:p>
      <w:r>
        <w:drawing>
          <wp:inline xmlns:a="http://schemas.openxmlformats.org/drawingml/2006/main" xmlns:pic="http://schemas.openxmlformats.org/drawingml/2006/picture">
            <wp:extent cx="5760720" cy="2150669"/>
            <wp:docPr id="7" name="Picture 7"/>
            <wp:cNvGraphicFramePr>
              <a:graphicFrameLocks noChangeAspect="1"/>
            </wp:cNvGraphicFramePr>
            <a:graphic>
              <a:graphicData uri="http://schemas.openxmlformats.org/drawingml/2006/picture">
                <pic:pic>
                  <pic:nvPicPr>
                    <pic:cNvPr id="0" name="fig_deteccion_yolo.png"/>
                    <pic:cNvPicPr/>
                  </pic:nvPicPr>
                  <pic:blipFill>
                    <a:blip r:embed="rId20"/>
                    <a:stretch>
                      <a:fillRect/>
                    </a:stretch>
                  </pic:blipFill>
                  <pic:spPr>
                    <a:xfrm>
                      <a:off x="0" y="0"/>
                      <a:ext cx="5760720" cy="2150669"/>
                    </a:xfrm>
                    <a:prstGeom prst="rect"/>
                  </pic:spPr>
                </pic:pic>
              </a:graphicData>
            </a:graphic>
          </wp:inline>
        </w:drawing>
      </w:r>
    </w:p>
    <w:p>
      <w:r>
        <w:t>Figura 7. Detectabilidad de YOLOv8n preentrenado por modalidad (izq.: personas vs vehículos por grupo; der.: detecciones por método; el método óptimo multiescala resaltado).</w:t>
      </w:r>
    </w:p>
    <w:p>
      <w:r>
        <w:t>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0,29 para el número de detecciones; p = 0,79 para la confianza), por lo que no es posible declarar un método de fusión ganador en términos de detección. La inferencia en CPU alcanzó 1,6–2,7 FPS. Para una comparación concluyente en términos de mAP, precisión, recall y F1 se requiere un conjunto etiquetado (p. ej. mediante Roboflow o el dataset M3FD) y un mayor número de muestras; el procedimiento y los notebooks correspondientes se entregan como base para ese trabajo (Apéndice y repositorio).</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Fuente</w:t>
            </w:r>
          </w:p>
        </w:tc>
        <w:tc>
          <w:tcPr>
            <w:tcW w:type="dxa" w:w="1517"/>
          </w:tcPr>
          <w:p>
            <w:r>
              <w:rPr>
                <w:b/>
              </w:rPr>
              <w:t>Detecciones</w:t>
            </w:r>
          </w:p>
        </w:tc>
        <w:tc>
          <w:tcPr>
            <w:tcW w:type="dxa" w:w="1517"/>
          </w:tcPr>
          <w:p>
            <w:r>
              <w:rPr>
                <w:b/>
              </w:rPr>
              <w:t>Personas</w:t>
            </w:r>
          </w:p>
        </w:tc>
        <w:tc>
          <w:tcPr>
            <w:tcW w:type="dxa" w:w="1517"/>
          </w:tcPr>
          <w:p>
            <w:r>
              <w:rPr>
                <w:b/>
              </w:rPr>
              <w:t>Vehículos</w:t>
            </w:r>
          </w:p>
        </w:tc>
        <w:tc>
          <w:tcPr>
            <w:tcW w:type="dxa" w:w="1517"/>
          </w:tcPr>
          <w:p>
            <w:r>
              <w:rPr>
                <w:b/>
              </w:rPr>
              <w:t>Confianza media</w:t>
            </w:r>
          </w:p>
        </w:tc>
        <w:tc>
          <w:tcPr>
            <w:tcW w:type="dxa" w:w="1517"/>
          </w:tcPr>
          <w:p>
            <w:r>
              <w:rPr>
                <w:b/>
              </w:rPr>
              <w:t>FPS</w:t>
            </w:r>
          </w:p>
        </w:tc>
      </w:tr>
      <w:tr>
        <w:tc>
          <w:tcPr>
            <w:tcW w:type="dxa" w:w="1517"/>
          </w:tcPr>
          <w:p>
            <w:r>
              <w:rPr>
                <w:b w:val="0"/>
              </w:rPr>
              <w:t>VIS</w:t>
            </w:r>
          </w:p>
        </w:tc>
        <w:tc>
          <w:tcPr>
            <w:tcW w:type="dxa" w:w="1517"/>
          </w:tcPr>
          <w:p>
            <w:r>
              <w:rPr>
                <w:b w:val="0"/>
              </w:rPr>
              <w:t>7</w:t>
            </w:r>
          </w:p>
        </w:tc>
        <w:tc>
          <w:tcPr>
            <w:tcW w:type="dxa" w:w="1517"/>
          </w:tcPr>
          <w:p>
            <w:r>
              <w:rPr>
                <w:b w:val="0"/>
              </w:rPr>
              <w:t>1</w:t>
            </w:r>
          </w:p>
        </w:tc>
        <w:tc>
          <w:tcPr>
            <w:tcW w:type="dxa" w:w="1517"/>
          </w:tcPr>
          <w:p>
            <w:r>
              <w:rPr>
                <w:b w:val="0"/>
              </w:rPr>
              <w:t>4</w:t>
            </w:r>
          </w:p>
        </w:tc>
        <w:tc>
          <w:tcPr>
            <w:tcW w:type="dxa" w:w="1517"/>
          </w:tcPr>
          <w:p>
            <w:r>
              <w:rPr>
                <w:b w:val="0"/>
              </w:rPr>
              <w:t>0,37</w:t>
            </w:r>
          </w:p>
        </w:tc>
        <w:tc>
          <w:tcPr>
            <w:tcW w:type="dxa" w:w="1517"/>
          </w:tcPr>
          <w:p>
            <w:r>
              <w:rPr>
                <w:b w:val="0"/>
              </w:rPr>
              <w:t>6,8</w:t>
            </w:r>
          </w:p>
        </w:tc>
      </w:tr>
      <w:tr>
        <w:tc>
          <w:tcPr>
            <w:tcW w:type="dxa" w:w="1517"/>
          </w:tcPr>
          <w:p>
            <w:r>
              <w:rPr>
                <w:b w:val="0"/>
              </w:rPr>
              <w:t>IR</w:t>
            </w:r>
          </w:p>
        </w:tc>
        <w:tc>
          <w:tcPr>
            <w:tcW w:type="dxa" w:w="1517"/>
          </w:tcPr>
          <w:p>
            <w:r>
              <w:rPr>
                <w:b w:val="0"/>
              </w:rPr>
              <w:t>14</w:t>
            </w:r>
          </w:p>
        </w:tc>
        <w:tc>
          <w:tcPr>
            <w:tcW w:type="dxa" w:w="1517"/>
          </w:tcPr>
          <w:p>
            <w:r>
              <w:rPr>
                <w:b w:val="0"/>
              </w:rPr>
              <w:t>5</w:t>
            </w:r>
          </w:p>
        </w:tc>
        <w:tc>
          <w:tcPr>
            <w:tcW w:type="dxa" w:w="1517"/>
          </w:tcPr>
          <w:p>
            <w:r>
              <w:rPr>
                <w:b w:val="0"/>
              </w:rPr>
              <w:t>4</w:t>
            </w:r>
          </w:p>
        </w:tc>
        <w:tc>
          <w:tcPr>
            <w:tcW w:type="dxa" w:w="1517"/>
          </w:tcPr>
          <w:p>
            <w:r>
              <w:rPr>
                <w:b w:val="0"/>
              </w:rPr>
              <w:t>0,47</w:t>
            </w:r>
          </w:p>
        </w:tc>
        <w:tc>
          <w:tcPr>
            <w:tcW w:type="dxa" w:w="1517"/>
          </w:tcPr>
          <w:p>
            <w:r>
              <w:rPr>
                <w:b w:val="0"/>
              </w:rPr>
              <w:t>10,2</w:t>
            </w:r>
          </w:p>
        </w:tc>
      </w:tr>
      <w:tr>
        <w:tc>
          <w:tcPr>
            <w:tcW w:type="dxa" w:w="1517"/>
          </w:tcPr>
          <w:p>
            <w:r>
              <w:rPr>
                <w:b w:val="0"/>
              </w:rPr>
              <w:t>Baselines</w:t>
            </w:r>
          </w:p>
        </w:tc>
        <w:tc>
          <w:tcPr>
            <w:tcW w:type="dxa" w:w="1517"/>
          </w:tcPr>
          <w:p>
            <w:r>
              <w:rPr>
                <w:b w:val="0"/>
              </w:rPr>
              <w:t>20</w:t>
            </w:r>
          </w:p>
        </w:tc>
        <w:tc>
          <w:tcPr>
            <w:tcW w:type="dxa" w:w="1517"/>
          </w:tcPr>
          <w:p>
            <w:r>
              <w:rPr>
                <w:b w:val="0"/>
              </w:rPr>
              <w:t>9</w:t>
            </w:r>
          </w:p>
        </w:tc>
        <w:tc>
          <w:tcPr>
            <w:tcW w:type="dxa" w:w="1517"/>
          </w:tcPr>
          <w:p>
            <w:r>
              <w:rPr>
                <w:b w:val="0"/>
              </w:rPr>
              <w:t>4</w:t>
            </w:r>
          </w:p>
        </w:tc>
        <w:tc>
          <w:tcPr>
            <w:tcW w:type="dxa" w:w="1517"/>
          </w:tcPr>
          <w:p>
            <w:r>
              <w:rPr>
                <w:b w:val="0"/>
              </w:rPr>
              <w:t>0,49</w:t>
            </w:r>
          </w:p>
        </w:tc>
        <w:tc>
          <w:tcPr>
            <w:tcW w:type="dxa" w:w="1517"/>
          </w:tcPr>
          <w:p>
            <w:r>
              <w:rPr>
                <w:b w:val="0"/>
              </w:rPr>
              <w:t>30,3</w:t>
            </w:r>
          </w:p>
        </w:tc>
      </w:tr>
      <w:tr>
        <w:tc>
          <w:tcPr>
            <w:tcW w:type="dxa" w:w="1517"/>
          </w:tcPr>
          <w:p>
            <w:r>
              <w:rPr>
                <w:b w:val="0"/>
              </w:rPr>
              <w:t>Fusión Top-Hat</w:t>
            </w:r>
          </w:p>
        </w:tc>
        <w:tc>
          <w:tcPr>
            <w:tcW w:type="dxa" w:w="1517"/>
          </w:tcPr>
          <w:p>
            <w:r>
              <w:rPr>
                <w:b w:val="0"/>
              </w:rPr>
              <w:t>38</w:t>
            </w:r>
          </w:p>
        </w:tc>
        <w:tc>
          <w:tcPr>
            <w:tcW w:type="dxa" w:w="1517"/>
          </w:tcPr>
          <w:p>
            <w:r>
              <w:rPr>
                <w:b w:val="0"/>
              </w:rPr>
              <w:t>15</w:t>
            </w:r>
          </w:p>
        </w:tc>
        <w:tc>
          <w:tcPr>
            <w:tcW w:type="dxa" w:w="1517"/>
          </w:tcPr>
          <w:p>
            <w:r>
              <w:rPr>
                <w:b w:val="0"/>
              </w:rPr>
              <w:t>14</w:t>
            </w:r>
          </w:p>
        </w:tc>
        <w:tc>
          <w:tcPr>
            <w:tcW w:type="dxa" w:w="1517"/>
          </w:tcPr>
          <w:p>
            <w:r>
              <w:rPr>
                <w:b w:val="0"/>
              </w:rPr>
              <w:t>0,51</w:t>
            </w:r>
          </w:p>
        </w:tc>
        <w:tc>
          <w:tcPr>
            <w:tcW w:type="dxa" w:w="1517"/>
          </w:tcPr>
          <w:p>
            <w:r>
              <w:rPr>
                <w:b w:val="0"/>
              </w:rPr>
              <w:t>30,8</w:t>
            </w:r>
          </w:p>
        </w:tc>
      </w:tr>
      <w:tr>
        <w:tc>
          <w:tcPr>
            <w:tcW w:type="dxa" w:w="1517"/>
          </w:tcPr>
          <w:p>
            <w:r>
              <w:rPr>
                <w:b w:val="0"/>
              </w:rPr>
              <w:t>Fusión +BTH</w:t>
            </w:r>
          </w:p>
        </w:tc>
        <w:tc>
          <w:tcPr>
            <w:tcW w:type="dxa" w:w="1517"/>
          </w:tcPr>
          <w:p>
            <w:r>
              <w:rPr>
                <w:b w:val="0"/>
              </w:rPr>
              <w:t>41</w:t>
            </w:r>
          </w:p>
        </w:tc>
        <w:tc>
          <w:tcPr>
            <w:tcW w:type="dxa" w:w="1517"/>
          </w:tcPr>
          <w:p>
            <w:r>
              <w:rPr>
                <w:b w:val="0"/>
              </w:rPr>
              <w:t>16</w:t>
            </w:r>
          </w:p>
        </w:tc>
        <w:tc>
          <w:tcPr>
            <w:tcW w:type="dxa" w:w="1517"/>
          </w:tcPr>
          <w:p>
            <w:r>
              <w:rPr>
                <w:b w:val="0"/>
              </w:rPr>
              <w:t>4</w:t>
            </w:r>
          </w:p>
        </w:tc>
        <w:tc>
          <w:tcPr>
            <w:tcW w:type="dxa" w:w="1517"/>
          </w:tcPr>
          <w:p>
            <w:r>
              <w:rPr>
                <w:b w:val="0"/>
              </w:rPr>
              <w:t>0,47</w:t>
            </w:r>
          </w:p>
        </w:tc>
        <w:tc>
          <w:tcPr>
            <w:tcW w:type="dxa" w:w="1517"/>
          </w:tcPr>
          <w:p>
            <w:r>
              <w:rPr>
                <w:b w:val="0"/>
              </w:rPr>
              <w:t>30,4</w:t>
            </w:r>
          </w:p>
        </w:tc>
      </w:tr>
      <w:tr>
        <w:tc>
          <w:tcPr>
            <w:tcW w:type="dxa" w:w="1517"/>
          </w:tcPr>
          <w:p>
            <w:r>
              <w:rPr>
                <w:b w:val="0"/>
              </w:rPr>
              <w:t>Óptimo Multiescala</w:t>
            </w:r>
          </w:p>
        </w:tc>
        <w:tc>
          <w:tcPr>
            <w:tcW w:type="dxa" w:w="1517"/>
          </w:tcPr>
          <w:p>
            <w:r>
              <w:rPr>
                <w:b w:val="0"/>
              </w:rPr>
              <w:t>9</w:t>
            </w:r>
          </w:p>
        </w:tc>
        <w:tc>
          <w:tcPr>
            <w:tcW w:type="dxa" w:w="1517"/>
          </w:tcPr>
          <w:p>
            <w:r>
              <w:rPr>
                <w:b w:val="0"/>
              </w:rPr>
              <w:t>4</w:t>
            </w:r>
          </w:p>
        </w:tc>
        <w:tc>
          <w:tcPr>
            <w:tcW w:type="dxa" w:w="1517"/>
          </w:tcPr>
          <w:p>
            <w:r>
              <w:rPr>
                <w:b w:val="0"/>
              </w:rPr>
              <w:t>2</w:t>
            </w:r>
          </w:p>
        </w:tc>
        <w:tc>
          <w:tcPr>
            <w:tcW w:type="dxa" w:w="1517"/>
          </w:tcPr>
          <w:p>
            <w:r>
              <w:rPr>
                <w:b w:val="0"/>
              </w:rPr>
              <w:t>0,51</w:t>
            </w:r>
          </w:p>
        </w:tc>
        <w:tc>
          <w:tcPr>
            <w:tcW w:type="dxa" w:w="1517"/>
          </w:tcPr>
          <w:p>
            <w:r>
              <w:rPr>
                <w:b w:val="0"/>
              </w:rPr>
              <w:t>31,6</w:t>
            </w:r>
          </w:p>
        </w:tc>
      </w:tr>
    </w:tbl>
    <w:p>
      <w:pPr>
        <w:pStyle w:val="Heading2"/>
      </w:pPr>
      <w:r>
        <w:t>Método óptimo optimizado por PSO</w:t>
      </w:r>
    </w:p>
    <w:p>
      <w:r>
        <w:t>El método óptimo (disco + lineales) se optimizó con PSO sobre las 20 escenas. El enjambre convergió de forma estable, desde la tercera iteración y durante las treinta, al óptimo global r* = 1 y m* = 0,30 (aptitud F = 1,989). El óptimo se sitúa en el borde inferior del espacio de búsqueda: la aptitud SSIM + E + PSNR, dominada por términos de fidelidad, orienta al método hacia un realce conservador (elemento fino, peso moderado) que preserva la similitud con las fuentes.</w:t>
      </w:r>
    </w:p>
    <w:p>
      <w:r>
        <w:t>La Tabla 7 compara el método óptimo con los referentes principales. Su rasgo distintivo es que alcanza la mayor similitud estructural (SSIM = 0,761) entre todos los métodos reales de fusión —segundo en el ranking global de SSIM, solo por detrás del promedio simple, estructuralmente trivial—, con preservación de bordes competitiva (Qabf = 0,448, equivalente a la pirámide de Laplace) y artefactos bajos (Nabf = 0,121). En contrapartida, cede en contraste e información (SD, EN), por lo que su ranking global agregado sobre las doce métricas queda en la franja media: el promedio de rangos penaliza las dimensiones de contraste que el método sacrifica en favor de la fidelidad.</w:t>
      </w:r>
    </w:p>
    <w:p>
      <w:r>
        <w:t>Tabla 7. Método óptimo (PSO) frente a referentes — medias sobre 20 pares.</w:t>
      </w:r>
    </w:p>
    <w:p>
      <w:r>
        <w:drawing>
          <wp:inline xmlns:a="http://schemas.openxmlformats.org/drawingml/2006/main" xmlns:pic="http://schemas.openxmlformats.org/drawingml/2006/picture">
            <wp:extent cx="5486400" cy="2939143"/>
            <wp:docPr id="6" name="Picture 6"/>
            <wp:cNvGraphicFramePr>
              <a:graphicFrameLocks noChangeAspect="1"/>
            </wp:cNvGraphicFramePr>
            <a:graphic>
              <a:graphicData uri="http://schemas.openxmlformats.org/drawingml/2006/picture">
                <pic:pic>
                  <pic:nvPicPr>
                    <pic:cNvPr id="0" name="fig_metodo_optimo.png"/>
                    <pic:cNvPicPr/>
                  </pic:nvPicPr>
                  <pic:blipFill>
                    <a:blip r:embed="rId19"/>
                    <a:stretch>
                      <a:fillRect/>
                    </a:stretch>
                  </pic:blipFill>
                  <pic:spPr>
                    <a:xfrm>
                      <a:off x="0" y="0"/>
                      <a:ext cx="5486400" cy="2939143"/>
                    </a:xfrm>
                    <a:prstGeom prst="rect"/>
                  </pic:spPr>
                </pic:pic>
              </a:graphicData>
            </a:graphic>
          </wp:inline>
        </w:drawing>
      </w:r>
    </w:p>
    <w:p>
      <w:r>
        <w:t>Figura 8. Método óptimo (disco+lineales, PSO r=1, m=0,30) frente a referentes en seis métricas.</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Métrica</w:t>
            </w:r>
          </w:p>
        </w:tc>
        <w:tc>
          <w:tcPr>
            <w:tcW w:type="dxa" w:w="1517"/>
          </w:tcPr>
          <w:p>
            <w:r>
              <w:rPr>
                <w:b/>
              </w:rPr>
              <w:t>TH Óptimo</w:t>
            </w:r>
          </w:p>
        </w:tc>
        <w:tc>
          <w:tcPr>
            <w:tcW w:type="dxa" w:w="1517"/>
          </w:tcPr>
          <w:p>
            <w:r>
              <w:rPr>
                <w:b/>
              </w:rPr>
              <w:t>Promedio</w:t>
            </w:r>
          </w:p>
        </w:tc>
        <w:tc>
          <w:tcPr>
            <w:tcW w:type="dxa" w:w="1517"/>
          </w:tcPr>
          <w:p>
            <w:r>
              <w:rPr>
                <w:b/>
              </w:rPr>
              <w:t>Laplace</w:t>
            </w:r>
          </w:p>
        </w:tc>
        <w:tc>
          <w:tcPr>
            <w:tcW w:type="dxa" w:w="1517"/>
          </w:tcPr>
          <w:p>
            <w:r>
              <w:rPr>
                <w:b/>
              </w:rPr>
              <w:t>TH disco L5</w:t>
            </w:r>
          </w:p>
        </w:tc>
        <w:tc>
          <w:tcPr>
            <w:tcW w:type="dxa" w:w="1517"/>
          </w:tcPr>
          <w:p>
            <w:r>
              <w:rPr>
                <w:b/>
              </w:rPr>
              <w:t>Curvelet</w:t>
            </w:r>
          </w:p>
        </w:tc>
      </w:tr>
      <w:tr>
        <w:tc>
          <w:tcPr>
            <w:tcW w:type="dxa" w:w="1517"/>
          </w:tcPr>
          <w:p>
            <w:r>
              <w:rPr>
                <w:b w:val="0"/>
              </w:rPr>
              <w:t>SSIM ↑</w:t>
            </w:r>
          </w:p>
        </w:tc>
        <w:tc>
          <w:tcPr>
            <w:tcW w:type="dxa" w:w="1517"/>
          </w:tcPr>
          <w:p>
            <w:r>
              <w:rPr>
                <w:b w:val="0"/>
              </w:rPr>
              <w:t>0,761</w:t>
            </w:r>
          </w:p>
        </w:tc>
        <w:tc>
          <w:tcPr>
            <w:tcW w:type="dxa" w:w="1517"/>
          </w:tcPr>
          <w:p>
            <w:r>
              <w:rPr>
                <w:b w:val="0"/>
              </w:rPr>
              <w:t>0,792</w:t>
            </w:r>
          </w:p>
        </w:tc>
        <w:tc>
          <w:tcPr>
            <w:tcW w:type="dxa" w:w="1517"/>
          </w:tcPr>
          <w:p>
            <w:r>
              <w:rPr>
                <w:b w:val="0"/>
              </w:rPr>
              <w:t>0,721</w:t>
            </w:r>
          </w:p>
        </w:tc>
        <w:tc>
          <w:tcPr>
            <w:tcW w:type="dxa" w:w="1517"/>
          </w:tcPr>
          <w:p>
            <w:r>
              <w:rPr>
                <w:b w:val="0"/>
              </w:rPr>
              <w:t>0,739</w:t>
            </w:r>
          </w:p>
        </w:tc>
        <w:tc>
          <w:tcPr>
            <w:tcW w:type="dxa" w:w="1517"/>
          </w:tcPr>
          <w:p>
            <w:r>
              <w:rPr>
                <w:b w:val="0"/>
              </w:rPr>
              <w:t>0,731</w:t>
            </w:r>
          </w:p>
        </w:tc>
      </w:tr>
      <w:tr>
        <w:tc>
          <w:tcPr>
            <w:tcW w:type="dxa" w:w="1517"/>
          </w:tcPr>
          <w:p>
            <w:r>
              <w:rPr>
                <w:b w:val="0"/>
              </w:rPr>
              <w:t>SCD ↑</w:t>
            </w:r>
          </w:p>
        </w:tc>
        <w:tc>
          <w:tcPr>
            <w:tcW w:type="dxa" w:w="1517"/>
          </w:tcPr>
          <w:p>
            <w:r>
              <w:rPr>
                <w:b w:val="0"/>
              </w:rPr>
              <w:t>1,353</w:t>
            </w:r>
          </w:p>
        </w:tc>
        <w:tc>
          <w:tcPr>
            <w:tcW w:type="dxa" w:w="1517"/>
          </w:tcPr>
          <w:p>
            <w:r>
              <w:rPr>
                <w:b w:val="0"/>
              </w:rPr>
              <w:t>1,325</w:t>
            </w:r>
          </w:p>
        </w:tc>
        <w:tc>
          <w:tcPr>
            <w:tcW w:type="dxa" w:w="1517"/>
          </w:tcPr>
          <w:p>
            <w:r>
              <w:rPr>
                <w:b w:val="0"/>
              </w:rPr>
              <w:t>1,322</w:t>
            </w:r>
          </w:p>
        </w:tc>
        <w:tc>
          <w:tcPr>
            <w:tcW w:type="dxa" w:w="1517"/>
          </w:tcPr>
          <w:p>
            <w:r>
              <w:rPr>
                <w:b w:val="0"/>
              </w:rPr>
              <w:t>1,430</w:t>
            </w:r>
          </w:p>
        </w:tc>
        <w:tc>
          <w:tcPr>
            <w:tcW w:type="dxa" w:w="1517"/>
          </w:tcPr>
          <w:p>
            <w:r>
              <w:rPr>
                <w:b w:val="0"/>
              </w:rPr>
              <w:t>1,321</w:t>
            </w:r>
          </w:p>
        </w:tc>
      </w:tr>
      <w:tr>
        <w:tc>
          <w:tcPr>
            <w:tcW w:type="dxa" w:w="1517"/>
          </w:tcPr>
          <w:p>
            <w:r>
              <w:rPr>
                <w:b w:val="0"/>
              </w:rPr>
              <w:t>Qabf ↑</w:t>
            </w:r>
          </w:p>
        </w:tc>
        <w:tc>
          <w:tcPr>
            <w:tcW w:type="dxa" w:w="1517"/>
          </w:tcPr>
          <w:p>
            <w:r>
              <w:rPr>
                <w:b w:val="0"/>
              </w:rPr>
              <w:t>0,448</w:t>
            </w:r>
          </w:p>
        </w:tc>
        <w:tc>
          <w:tcPr>
            <w:tcW w:type="dxa" w:w="1517"/>
          </w:tcPr>
          <w:p>
            <w:r>
              <w:rPr>
                <w:b w:val="0"/>
              </w:rPr>
              <w:t>0,310</w:t>
            </w:r>
          </w:p>
        </w:tc>
        <w:tc>
          <w:tcPr>
            <w:tcW w:type="dxa" w:w="1517"/>
          </w:tcPr>
          <w:p>
            <w:r>
              <w:rPr>
                <w:b w:val="0"/>
              </w:rPr>
              <w:t>0,442</w:t>
            </w:r>
          </w:p>
        </w:tc>
        <w:tc>
          <w:tcPr>
            <w:tcW w:type="dxa" w:w="1517"/>
          </w:tcPr>
          <w:p>
            <w:r>
              <w:rPr>
                <w:b w:val="0"/>
              </w:rPr>
              <w:t>0,458</w:t>
            </w:r>
          </w:p>
        </w:tc>
        <w:tc>
          <w:tcPr>
            <w:tcW w:type="dxa" w:w="1517"/>
          </w:tcPr>
          <w:p>
            <w:r>
              <w:rPr>
                <w:b w:val="0"/>
              </w:rPr>
              <w:t>0,476</w:t>
            </w:r>
          </w:p>
        </w:tc>
      </w:tr>
      <w:tr>
        <w:tc>
          <w:tcPr>
            <w:tcW w:type="dxa" w:w="1517"/>
          </w:tcPr>
          <w:p>
            <w:r>
              <w:rPr>
                <w:b w:val="0"/>
              </w:rPr>
              <w:t>Nabf ↓</w:t>
            </w:r>
          </w:p>
        </w:tc>
        <w:tc>
          <w:tcPr>
            <w:tcW w:type="dxa" w:w="1517"/>
          </w:tcPr>
          <w:p>
            <w:r>
              <w:rPr>
                <w:b w:val="0"/>
              </w:rPr>
              <w:t>0,121</w:t>
            </w:r>
          </w:p>
        </w:tc>
        <w:tc>
          <w:tcPr>
            <w:tcW w:type="dxa" w:w="1517"/>
          </w:tcPr>
          <w:p>
            <w:r>
              <w:rPr>
                <w:b w:val="0"/>
              </w:rPr>
              <w:t>0,000</w:t>
            </w:r>
          </w:p>
        </w:tc>
        <w:tc>
          <w:tcPr>
            <w:tcW w:type="dxa" w:w="1517"/>
          </w:tcPr>
          <w:p>
            <w:r>
              <w:rPr>
                <w:b w:val="0"/>
              </w:rPr>
              <w:t>0,108</w:t>
            </w:r>
          </w:p>
        </w:tc>
        <w:tc>
          <w:tcPr>
            <w:tcW w:type="dxa" w:w="1517"/>
          </w:tcPr>
          <w:p>
            <w:r>
              <w:rPr>
                <w:b w:val="0"/>
              </w:rPr>
              <w:t>0,117</w:t>
            </w:r>
          </w:p>
        </w:tc>
        <w:tc>
          <w:tcPr>
            <w:tcW w:type="dxa" w:w="1517"/>
          </w:tcPr>
          <w:p>
            <w:r>
              <w:rPr>
                <w:b w:val="0"/>
              </w:rPr>
              <w:t>0,192</w:t>
            </w:r>
          </w:p>
        </w:tc>
      </w:tr>
      <w:tr>
        <w:tc>
          <w:tcPr>
            <w:tcW w:type="dxa" w:w="1517"/>
          </w:tcPr>
          <w:p>
            <w:r>
              <w:rPr>
                <w:b w:val="0"/>
              </w:rPr>
              <w:t>VIF ↑</w:t>
            </w:r>
          </w:p>
        </w:tc>
        <w:tc>
          <w:tcPr>
            <w:tcW w:type="dxa" w:w="1517"/>
          </w:tcPr>
          <w:p>
            <w:r>
              <w:rPr>
                <w:b w:val="0"/>
              </w:rPr>
              <w:t>0,322</w:t>
            </w:r>
          </w:p>
        </w:tc>
        <w:tc>
          <w:tcPr>
            <w:tcW w:type="dxa" w:w="1517"/>
          </w:tcPr>
          <w:p>
            <w:r>
              <w:rPr>
                <w:b w:val="0"/>
              </w:rPr>
              <w:t>0,330</w:t>
            </w:r>
          </w:p>
        </w:tc>
        <w:tc>
          <w:tcPr>
            <w:tcW w:type="dxa" w:w="1517"/>
          </w:tcPr>
          <w:p>
            <w:r>
              <w:rPr>
                <w:b w:val="0"/>
              </w:rPr>
              <w:t>0,410</w:t>
            </w:r>
          </w:p>
        </w:tc>
        <w:tc>
          <w:tcPr>
            <w:tcW w:type="dxa" w:w="1517"/>
          </w:tcPr>
          <w:p>
            <w:r>
              <w:rPr>
                <w:b w:val="0"/>
              </w:rPr>
              <w:t>0,356</w:t>
            </w:r>
          </w:p>
        </w:tc>
        <w:tc>
          <w:tcPr>
            <w:tcW w:type="dxa" w:w="1517"/>
          </w:tcPr>
          <w:p>
            <w:r>
              <w:rPr>
                <w:b w:val="0"/>
              </w:rPr>
              <w:t>0,307</w:t>
            </w:r>
          </w:p>
        </w:tc>
      </w:tr>
      <w:tr>
        <w:tc>
          <w:tcPr>
            <w:tcW w:type="dxa" w:w="1517"/>
          </w:tcPr>
          <w:p>
            <w:r>
              <w:rPr>
                <w:b w:val="0"/>
              </w:rPr>
              <w:t>SD ↑</w:t>
            </w:r>
          </w:p>
        </w:tc>
        <w:tc>
          <w:tcPr>
            <w:tcW w:type="dxa" w:w="1517"/>
          </w:tcPr>
          <w:p>
            <w:r>
              <w:rPr>
                <w:b w:val="0"/>
              </w:rPr>
              <w:t>0,113</w:t>
            </w:r>
          </w:p>
        </w:tc>
        <w:tc>
          <w:tcPr>
            <w:tcW w:type="dxa" w:w="1517"/>
          </w:tcPr>
          <w:p>
            <w:r>
              <w:rPr>
                <w:b w:val="0"/>
              </w:rPr>
              <w:t>0,109</w:t>
            </w:r>
          </w:p>
        </w:tc>
        <w:tc>
          <w:tcPr>
            <w:tcW w:type="dxa" w:w="1517"/>
          </w:tcPr>
          <w:p>
            <w:r>
              <w:rPr>
                <w:b w:val="0"/>
              </w:rPr>
              <w:t>0,155</w:t>
            </w:r>
          </w:p>
        </w:tc>
        <w:tc>
          <w:tcPr>
            <w:tcW w:type="dxa" w:w="1517"/>
          </w:tcPr>
          <w:p>
            <w:r>
              <w:rPr>
                <w:b w:val="0"/>
              </w:rPr>
              <w:t>0,125</w:t>
            </w:r>
          </w:p>
        </w:tc>
        <w:tc>
          <w:tcPr>
            <w:tcW w:type="dxa" w:w="1517"/>
          </w:tcPr>
          <w:p>
            <w:r>
              <w:rPr>
                <w:b w:val="0"/>
              </w:rPr>
              <w:t>0,117</w:t>
            </w:r>
          </w:p>
        </w:tc>
      </w:tr>
    </w:tbl>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t>Se propuso, implementó y evaluó un método óptimo multiescala de fusión VIS/IR basado en Top-Hat con elementos estructurantes circulares y lineales y parámetros optimizados por PSO, comparándolo estadísticamente con el método anterior (Torre Top-Hat) y con baselines clásicos sobre el TNO Image Fusion Dataset. Las conclusiones específicas son:</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r>
        <w:t>Kennedy, J., y Eberhart, R. (1995). Particle swarm optimization. Proceedings of ICNN'95 - International Conference on Neural Networks, 4, 1942–1948.</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r>
        <w:t>Ortega Rodríguez, M. A., y Espinoza Ríos, G. A. (2025). Optimización de los parámetros de la transformada Top-Hat mediante PSO para la fusión de imágenes visibles e infrarrojas. Proyecto de Trabajo Final de Grado, Facultad Politécnica, Universidad Nacional de Asunción.</w:t>
      </w:r>
    </w:p>
    <w:p>
      <w:r>
        <w:t>Román, J. C. M., Vázquez Noguera, J. L., y Legal-Ayala, H. (2024). Algoritmo de realce para mamografías basado en Top-Hat multiescala con elementos estructurantes circulares y lineales. (Realce de contraste local y nitidez en imágenes mamográficas).</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