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comments.xml" ContentType="application/vnd.openxmlformats-officedocument.wordprocessingml.comments+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 xml:space="preserve">La fusión de imágenes visible (VIS) e infrarroja (IR) es clave para la percepción computacional en condiciones adversas (vigilancia, conducción nocturna, búsqueda y rescate). Este trabajo propone la PROPUESTA NOVEDOSA, un método de fusión basado en la transformada Top-Hat que, sobre una única escala, promedia las respuestas de cuatro elementos estructurantes lineales (0°, 45°, 90°, 135°) y las suma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cuya configuración se selecciona mediante un barrido sistemático de 25 combinaciones de partículas e iteraciones (2–10 × 10–50), replicando el diseño experimental de Ortega y Espinoza (2025). Se lo compara con seis métodos: cinco representativos del estado del arte —pirámide de Laplace (LP), Ratio of low-pass Pyramid (RP), wavelet discreta (DWT), Dual-Tree Complex Wavelet (DTCWT) y curvelet (CVT)— y la metodología clásica de la transformada Top-Hat, sobre el TNO Image Fusion Dataset, con doce métricas sin referencia bajo pruebas no paramétricas (Friedman y Wilcoxon con corrección de Holm). En su configuración óptima (PSO: r=25, m=0,070) la propuesta obtiene la menor tasa de artefactos del estudio (Nabf=0,041, 2,7 veces menos que el mejor rival) y la mayor similitud estructural (SSIM=0,782), quedando segunda en preservación de bordes, correlación y fidelidad visual (Qabf=0,500; SCD=1,450; VIF=0,368), a milésimas del líder de cada métrica; la metodología clásica Top-Hat solo la supera en métricas de actividad bruta al costo del mayor nivel de artefactos del estudio (Nabf=0,585). Como evaluación orientada a tarea, el reentrenamiento de un detector (YOLOv8n) sobre el conjunto etiquetado LLVIP muestra que toda fusión supera con claridad al visible solo (mAP@0,5 de 0,81 a 0,93–0,95), aunque el infrarrojo solo es la modalidad más fuerte (0,957) y la propuesta resulta competitiva (0,936) sin liderar, evidenciando que la superioridad en calidad de imagen no se traslada automáticamente a la detección. Se concluye que la propuesta mejora la calidad de fusión —en particular la limpieza y la fidelidad estructural— frente a la metodología clásica Top-Hat y al estado del arte, manteniendo bajo costo computacional e interpretabilidad morfológica.</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 xml:space="preserve">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adds them to the disk response to obtain optimal Top-Hat and Bottom-Hat transforms; reconstruction follows the additive–subtractive scheme of Bala et al., and the structuring-element radius r and the contrast weight m are tuned automatically by Particle Swarm Optimization (PSO), whose configuration is selected through a systematic sweep of 25 particle/iteration combinations (2–10 × 10–50), replicating the experimental design of Ortega and Espinoza (2025). It is compared against six methods: five representative of the state of the art —Laplacian pyramid (LP), Ratio of low-pass Pyramid (RP), Discrete Wavelet Transform (DWT), Dual-Tree Complex Wavelet Transform (DTCWT) and Curvelet (CVT)— plus the classical Top-Hat fusion methodology, on the TNO Image Fusion Dataset, using twelve no-reference metrics under non-parametric testing (Friedman, Wilcoxon with Holm correction). At its optimal configuration (PSO: r=25, m=0.070) the proposal attains the lowest artifact rate of the study (Nabf=0.041, 2.7 times less than the best rival) and the highest structural similarity (SSIM=0.782), ranking second in edge preservation, correlation and visual fidelity (Qabf=0.500; SCD=1.450; VIF=0.368), within thousandths of each metric leader; the classical Top-Hat only surpasses it in raw-activity metrics at the cost of the highest artifact level in the study (Nabf=0.585). As a task-oriented evaluation, retraining a detector (YOLOv8n) on the labeled LLVIP dataset shows that every fusion clearly outperforms the visible modality alone (mAP@0.5 from 0.81 to 0.93–0.95), although the infrared alone remains the strongest modality (0.957) and the proposal is competitive (0.936) without leading, evidencing that superiority in image quality does not automatically transfer to detection. We conclude that the proposal improves fusion quality —particularly cleanliness and structural fidelity— over the classical Top-Hat methodology and the state of the art, while keeping low computational cost and morphological interpretability.</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multi-scale, no-reference metrics.</w:t>
      </w:r>
      <w:r>
        <w:br w:type="page"/>
      </w:r>
    </w:p>
    <w:p>
      <w:pPr>
        <w:pStyle w:val="Normal"/>
        <w:spacing w:before="0" w:after="240"/>
        <w:jc w:val="center"/>
        <w:rPr/>
      </w:pPr>
      <w:commentRangeStart w:id="0"/>
      <w:r>
        <w:rPr>
          <w:rFonts w:eastAsia="Times New Roman" w:cs="Times New Roman"/>
          <w:b/>
          <w:sz w:val="24"/>
        </w:rPr>
        <w:t>CONTENIDO</w:t>
      </w:r>
      <w:commentRangeEnd w:id="0"/>
      <w:r>
        <w:commentReference w:id="0"/>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17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Metodología clásica de fusión Top-Hat</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24</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Métodos comparativos del benchmark</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29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suma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Fusión Top-Hat clásica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35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35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35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37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38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38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43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43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44</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Evaluación orientada a tarea: detección con YOLO en LLVIP</w:t>
        <w:tab/>
        <w:t>48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Propuesta Novedosa (método central)</w:t>
        <w:tab/>
        <w:t>50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Discusión integrada</w:t>
        <w:tab/>
        <w:t>53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56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58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barrido PSO</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fusión Top-Hat clásica</w:t>
        <w:tab/>
        <w:t>62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62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63</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(Xydeas-Petrovic)</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fusión Top-Hat clásica: disco único, combinación por máximo entre fuentes y reconstrucción sin ponderación.</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estándar de calidad (Qabf, Nabf, SSIM, SCD, VIF, SF) para métodos representativos (n = 20 pares VIS/IR).</w:t>
      </w:r>
    </w:p>
    <w:p>
      <w:pPr>
        <w:pStyle w:val="Normal"/>
        <w:spacing w:lineRule="auto" w:line="276" w:before="0" w:after="40"/>
        <w:jc w:val="both"/>
        <w:rPr/>
      </w:pPr>
      <w:r>
        <w:rPr>
          <w:rFonts w:eastAsia="Times New Roman" w:cs="Times New Roman"/>
          <w:sz w:val="21"/>
        </w:rPr>
        <w:t>Figura 8. Ranking global por método (promedio de rangos sobre las doce métricas, con la dirección de cada una corregida).</w:t>
      </w:r>
    </w:p>
    <w:p>
      <w:pPr>
        <w:pStyle w:val="Normal"/>
        <w:spacing w:lineRule="auto" w:line="276" w:before="0" w:after="40"/>
        <w:jc w:val="both"/>
        <w:rPr/>
      </w:pPr>
      <w:r>
        <w:rPr>
          <w:rFonts w:eastAsia="Times New Roman" w:cs="Times New Roman"/>
          <w:i/>
          <w:sz w:val="18"/>
        </w:rPr>
        <w:t>Figura 9. Propuesta Novedosa (PSO: r = 25, m = 0,070) frente a la metodología clásica Top-Hat y al estado del arte.</w:t>
      </w:r>
    </w:p>
    <w:p>
      <w:pPr>
        <w:pStyle w:val="Normal"/>
        <w:spacing w:lineRule="auto" w:line="276" w:before="0" w:after="40"/>
        <w:jc w:val="both"/>
        <w:rPr/>
      </w:pPr>
      <w:r>
        <w:rPr>
          <w:rFonts w:eastAsia="Times New Roman" w:cs="Times New Roman"/>
          <w:sz w:val="21"/>
        </w:rPr>
        <w:t>Figura 10. Convergencia del PSO según el número de partículas (izq.) y aptitud del barrido de configuraciones (der.), sobre tres escenas representativas.</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Métodos comparativos del benchmark.</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las seis métricas estándar de calidad de fusión por método (n = 20 pares).</w:t>
      </w:r>
    </w:p>
    <w:p>
      <w:pPr>
        <w:pStyle w:val="Normal"/>
        <w:spacing w:lineRule="auto" w:line="276" w:before="0" w:after="40"/>
        <w:jc w:val="both"/>
        <w:rPr/>
      </w:pPr>
      <w:r>
        <w:rPr>
          <w:rFonts w:eastAsia="Times New Roman" w:cs="Times New Roman"/>
          <w:sz w:val="21"/>
        </w:rPr>
        <w:t>Tabla 6. Métricas adicionales del review (FMI y Piella Q0/QW/QE) por método — medias sobre 20 pares.</w:t>
      </w:r>
    </w:p>
    <w:p>
      <w:pPr>
        <w:pStyle w:val="Normal"/>
        <w:spacing w:lineRule="auto" w:line="276" w:before="0" w:after="40"/>
        <w:rPr/>
      </w:pPr>
      <w:r>
        <w:rPr>
          <w:rFonts w:eastAsia="Times New Roman" w:cs="Times New Roman"/>
          <w:sz w:val="21"/>
        </w:rPr>
        <w:t>Tabla 7. Prueba de Friedman por métrica (χ², p-valor; α = 0,05).</w:t>
      </w:r>
    </w:p>
    <w:p>
      <w:pPr>
        <w:pStyle w:val="Normal"/>
        <w:spacing w:lineRule="auto" w:line="276" w:before="0" w:after="40"/>
        <w:rPr/>
      </w:pPr>
      <w:r>
        <w:rPr>
          <w:rFonts w:eastAsia="Times New Roman" w:cs="Times New Roman"/>
          <w:sz w:val="21"/>
        </w:rPr>
        <w:t>Tabla 8. Ranking promedio por método y métrica (1 = mejor).</w:t>
      </w:r>
    </w:p>
    <w:p>
      <w:pPr>
        <w:pStyle w:val="Normal"/>
        <w:spacing w:lineRule="auto" w:line="276" w:before="0" w:after="40"/>
        <w:jc w:val="both"/>
        <w:rPr/>
      </w:pPr>
      <w:r>
        <w:rPr>
          <w:rFonts w:eastAsia="Times New Roman" w:cs="Times New Roman"/>
          <w:sz w:val="21"/>
        </w:rPr>
        <w:t>Tabla 9.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Tabla 10. Propuesta Novedosa frente a la metodología clásica Top-Hat y al estado del arte — medias sobre 20 pares (n = 20).</w:t>
      </w:r>
    </w:p>
    <w:p>
      <w:pPr>
        <w:pStyle w:val="Normal"/>
        <w:spacing w:lineRule="auto" w:line="276" w:before="0" w:after="40"/>
        <w:jc w:val="both"/>
        <w:rPr/>
      </w:pPr>
      <w:r>
        <w:rPr>
          <w:rFonts w:eastAsia="Times New Roman" w:cs="Times New Roman"/>
          <w:sz w:val="21"/>
        </w:rPr>
        <w:t>Tabla 11. Barrido de configuraciones del PSO: mejor aptitud F por combinación de partículas (n) e iteraciones (T).</w:t>
      </w:r>
      <w:r>
        <w:br w:type="page"/>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sumadas a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morfológica se emplea la metodología clásica de fusión Top-Hat —disco único, máximo entre fuentes y reconstrucción sin ponderación— y, como referencia externa, cinco métodos representativos del estado del arte (LP, RP, DWT, DTCWT y CVT).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el benchmark de la propuesta frente a la metodología clásica Top-Hat y a los métodos de referencia del estado del arte,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precisamente ese vacío empírico mediante un benchmark exhaustivo y la comparación con baselines clásicos.</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(SE, L, r₀)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Proponer y evaluar la Propuesta Novedosa, un método de fusión de imágenes visibles e infrarrojas basado en la transformada Top-Hat con elementos estructurantes circulares y lineales sobre una sola escala y parámetros optimizados por enjambre de partículas (PSO), comparándolo con la metodología clásica de fusión Top-Hat y con métodos representativos del estado del arte, y analizando su impacto en tareas posteriores de detección de objetos.</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la Propuesta Novedosa: sobre una sola escala, un banco de cinco elementos estructurantes (un disco y cuatro lineales a 0°, 45°, 90° y 135°) cuyas respuestas lineales se promedian y se confrontan por máximo con la del disco para obtener transformadas Top-Hat y Bottom-Hat óptimas, con reconstrucción aditivo–sustractiva ponderada, adaptada al esquema de fusión VIS/IR.</w:t>
      </w:r>
    </w:p>
    <w:p>
      <w:pPr>
        <w:pStyle w:val="ListParagraph"/>
        <w:numPr>
          <w:ilvl w:val="0"/>
          <w:numId w:val="3"/>
        </w:numPr>
        <w:spacing w:lineRule="auto" w:line="360" w:before="0" w:after="100"/>
        <w:ind w:firstLine="709"/>
        <w:jc w:val="both"/>
        <w:rPr/>
      </w:pPr>
      <w:r>
        <w:rPr>
          <w:rFonts w:eastAsia="Times New Roman" w:cs="Times New Roman"/>
        </w:rPr>
        <w:t xml:space="preserve">Optimizar automáticamente los hiperparámetros del método (el radio r del banco de elementos estructurantes y el peso de contraste m) mediante PSO con una función de aptitud orientada a la calidad de fusión.</w:t>
      </w:r>
    </w:p>
    <w:p>
      <w:pPr>
        <w:pStyle w:val="ListParagraph"/>
        <w:numPr>
          <w:ilvl w:val="0"/>
          <w:numId w:val="3"/>
        </w:numPr>
        <w:spacing w:lineRule="auto" w:line="360" w:before="0" w:after="100"/>
        <w:ind w:firstLine="709"/>
        <w:jc w:val="both"/>
        <w:rPr/>
      </w:pPr>
      <w:r>
        <w:rPr>
          <w:rFonts w:eastAsia="Times New Roman" w:cs="Times New Roman"/>
        </w:rPr>
        <w:t>Comparar el método óptimo con la metodología clásica de fusión Top-Hat y con cinco métodos representativos del estado del arte (LP, RP, DWT, DTCWT y CVT) sobre doce métricas sin referencia, con pruebas no paramétricas (Friedman y Wilcoxon con corrección de Holm).</w:t>
      </w:r>
    </w:p>
    <w:p>
      <w:pPr>
        <w:pStyle w:val="ListParagraph"/>
        <w:numPr>
          <w:ilvl w:val="0"/>
          <w:numId w:val="3"/>
        </w:numPr>
        <w:spacing w:lineRule="auto" w:line="360" w:before="0" w:after="100"/>
        <w:ind w:firstLine="709"/>
        <w:jc w:val="both"/>
        <w:rPr/>
      </w:pPr>
      <w:r>
        <w:rPr>
          <w:rFonts w:eastAsia="Times New Roman" w:cs="Times New Roman"/>
        </w:rPr>
        <w:t>Analizar el impacto de la fusión en una tarea posterior de detección de objetos (YOLO), evaluando la detectabilidad por modalidad de entrada.</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¿La Propuesta Novedosa de fusión VIS+IR basada en la transformada Top-Hat, con elementos estructurantes de disco y lineales sobre una sola escala e hiperparámetros optimizados por PSO, mejora la calidad de fusión —evaluada con métricas sin referencia y pruebas no paramétricas sobre el TNO Image Fusion Dataset— respecto de la metodología clásica de fusión Top-Hat y de los métodos del estado del arte, y qué efecto produce en el desempeño de una tarea posterior de detección de objetos?</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respuestas y regla de reconstrucción— para adaptar el realce morfológico multidireccional al esquema de fusión VIS/IR?</w:t>
      </w:r>
    </w:p>
    <w:p>
      <w:pPr>
        <w:pStyle w:val="ListParagraph"/>
        <w:numPr>
          <w:ilvl w:val="0"/>
          <w:numId w:val="4"/>
        </w:numPr>
        <w:spacing w:lineRule="auto" w:line="360" w:before="0" w:after="100"/>
        <w:ind w:firstLine="709"/>
        <w:jc w:val="both"/>
        <w:rPr/>
      </w:pPr>
      <w:r>
        <w:rPr>
          <w:rFonts w:eastAsia="Times New Roman" w:cs="Times New Roman"/>
        </w:rPr>
        <w:t xml:space="preserve">¿Qué valores del radio r y del peso de contraste m maximizan una aptitud orientada a la calidad de fusión, y puede el PSO hallarlos automáticamente de forma estable?</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la metodología clásica de fusión Top-Hat y los métodos del estado del arte (LP, RP, DWT, DTCWT y CVT), y en qué métricas?</w:t>
      </w:r>
    </w:p>
    <w:p>
      <w:pPr>
        <w:pStyle w:val="ListParagraph"/>
        <w:numPr>
          <w:ilvl w:val="0"/>
          <w:numId w:val="4"/>
        </w:numPr>
        <w:spacing w:lineRule="auto" w:line="360" w:before="0" w:after="100"/>
        <w:ind w:firstLine="709"/>
        <w:jc w:val="both"/>
        <w:rPr/>
      </w:pPr>
      <w:r>
        <w:rPr>
          <w:rFonts w:eastAsia="Times New Roman" w:cs="Times New Roman"/>
        </w:rPr>
        <w:t>¿La fusión —y en particular el método propuesto— mejora el desempeño de un detector de objetos (mAP sobre LLVIP) respecto de las modalidades visible e infrarroja por separado?</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tres hipótesis de trabajo. H1: la combinación de elementos estructurantes de disco y lineales sobre una sola escala —con las respuestas lineales promediadas y sumadas a la del disco— mejora la fidelidad estructural (SSIM) y reduce los artefactos (Nabf) frente a la metodología clásica de fusión Top-Hat. H2: la optimización automática de los hiperparámetros (r, m) por PSO, con una función de aptitud orientada a la fusión, alcanza un perfil de calidad superior al de la parametrización manual del operador clásico. H3: una mejor calidad de fusión se traduce en un mejor desempeño de detección de objetos (mAP) que el de las modalidades individuales. Las hipótesis H1 y H2 se contrastan en las secciones 5.4 y 5.6; H3 se somete a prueba en la sección 5.5.</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(2001) introducen una de las primeras descomposiciones multiescala basadas en operadores Top-Hat para realce e interpretación de imágenes médicas. Bai (2013) extiende la idea a fusión VIS+IR, mostrando que la transformada Top-Hat puede capturar simultáneamente detalles brillantes y oscuros con bajo costo computacional. Trabajos posteriores, como los de Bai et al. (2015) y Wang et al. (2017), exploran combinaciones de Top-Hat con otras representaciones, pero rara vez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WTH_M, WTHS_M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máx(líneas,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2020):</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Metodología clásica de fusión Top-Hat</w:t>
      </w:r>
    </w:p>
    <w:p>
      <w:pPr>
        <w:pStyle w:val="Normal"/>
        <w:spacing w:lineRule="auto" w:line="360" w:before="0" w:after="160"/>
        <w:ind w:firstLine="709"/>
        <w:jc w:val="both"/>
        <w:rPr/>
      </w:pPr>
      <w:r>
        <w:rPr>
          <w:rFonts w:eastAsia="Times New Roman" w:cs="Times New Roman"/>
        </w:rPr>
        <w:t>La metodología clásica de fusión por transformada Top-Hat constituye la referencia morfológica directa de este trabajo. Dada cada imagen de entrada f (visible e infrarroja), se aplican la White Top-Hat y la Black Top-Hat con un único elemento estructurante de disco B_r (aquí, radio r = 5), extrayendo respectivamente el detalle brillante y el oscuro más finos que el disco. Los detalles de ambas fuentes se combinan conservando, píxel a píxel, la respuesta máxima —el detalle más saliente de cualquiera de las dos modalidades— y la imagen fusionada se reconstruye sobre la base I_base = (I_VIS + I_IR)/2 mediante el esquema aditivo–sustractivo sin ponderación: F = I_base + máx(WTH_VIS, WTH_IR) − máx(BTH_VIS, BTH_IR). Se trata de un método interpretable y de muy bajo costo computacional, pero con dos limitaciones que motivan la propuesta: el disco único carece de sensibilidad direccional —trata por igual estructuras alargadas e isótropas— y la reconstrucción sin peso de contraste inyecta todo el detalle extraído, lo que en la práctica dispara los artefactos (Nabf) y degrada la similitud estructural, como se cuantifica en el capítulo de resultados.</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sSub>
                  <m:e>
                    <m:r>
                      <m:t>I</m:t>
                    </m:r>
                  </m:e>
                  <m:sub>
                    <m:r>
                      <m:t>base</m:t>
                    </m:r>
                  </m:sub>
                </m:sSub>
                <m:r>
                  <m:t>+</m:t>
                </m:r>
                <m:r>
                  <m:t>máx</m:t>
                </m:r>
                <m:d>
                  <m:dPr>
                    <m:begChr m:val="("/>
                    <m:endChr m:val=")"/>
                    <m:grow/>
                  </m:dPr>
                  <m:e>
                    <m:sSub>
                      <m:e>
                        <m:r>
                          <m:t>WTH</m:t>
                        </m:r>
                      </m:e>
                      <m:sub>
                        <m:r>
                          <m:t>VIS</m:t>
                        </m:r>
                      </m:sub>
                    </m:sSub>
                    <m:r>
                      <m:t>,</m:t>
                    </m:r>
                    <m:sSub>
                      <m:e>
                        <m:r>
                          <m:t>WTH</m:t>
                        </m:r>
                      </m:e>
                      <m:sub>
                        <m:r>
                          <m:t>IR</m:t>
                        </m:r>
                      </m:sub>
                    </m:sSub>
                  </m:e>
                </m:d>
                <m:r>
                  <m:t>−</m:t>
                </m:r>
                <m:r>
                  <m:t>máx</m:t>
                </m:r>
                <m:d>
                  <m:dPr>
                    <m:begChr m:val="("/>
                    <m:endChr m:val=")"/>
                    <m:grow/>
                  </m:dPr>
                  <m:e>
                    <m:sSub>
                      <m:e>
                        <m:r>
                          <m:t>BTH</m:t>
                        </m:r>
                      </m:e>
                      <m:sub>
                        <m:r>
                          <m:t>VIS</m:t>
                        </m:r>
                      </m:sub>
                    </m:sSub>
                    <m:r>
                      <m:t>,</m:t>
                    </m:r>
                    <m:sSub>
                      <m:e>
                        <m:r>
                          <m:t>BTH</m:t>
                        </m:r>
                      </m:e>
                      <m:sub>
                        <m:r>
                          <m:t>IR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El operador clásico admite dos modos: emplear únicamente la White Top-Hat (realce del detalle brillante) o el esquema completo White+Black (realce de ambos extremos). En este trabajo se emplea el esquema completo con disco de radio r = 5, la configuración estándar reportada en la literatura, sin peso de contraste (m = 1) y sin optimización de hiperparámetros: esas dos carencias son precisamente las que la Propuesta Novedosa aborda.</w:t>
      </w:r>
    </w:p>
    <w:p>
      <w:pPr>
        <w:pStyle w:val="Normal"/>
        <w:spacing w:lineRule="auto" w:line="276" w:before="200" w:after="80"/>
        <w:jc w:val="center"/>
        <w:rPr/>
      </w:pPr>
      <w:r>
        <w:rPr/>
        <w:drawing>
          <wp:inline distT="0" distB="0" distL="0" distR="0">
            <wp:extent cx="4953000" cy="3219450"/>
            <wp:effectExtent l="0" t="0" r="0" b="0"/>
            <wp:docPr id="3" name="fig_fusion_tophat_clasica.png" descr="Figura 2. Esquema conceptual de la fusion Top-Hat cla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fusion_tophat_clasica.png" descr="Figura 2. Esquema conceptual de la fusion Top-Hat clasic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fusión Top-Hat clásica: disco único, combinación por máximo entre fuentes y reconstrucción sin ponderación.</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metodología clásica de la transformada Top-Hat —un único disco y reconstrucción sin ponderación—,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las respuestas lineales promediadas se suman a la del disco.</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suma. </w:t>
      </w:r>
      <w:r>
        <w:rPr>
          <w:rFonts w:eastAsia="Times New Roman" w:cs="Times New Roman"/>
        </w:rPr>
        <w:t xml:space="preserve">Siguiendo el esquema de Bala et al., la respuesta lineal promediada y la del disco se suman: el realce acumula la evidencia de ambas ramas, de modo que las estructuras orientadas e isótropas contribuyen conjuntamente al detalle extraído.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suma con la respuesta del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configuración del enjambre se seleccionó mediante un barrido sistemático de 25 combinaciones —número de partículas de 2 a 10 en incrementos de 2 y número de iteraciones de 10 a 50 en incrementos de 10, replicando el diseño experimental de Ortega y Espinoza (2025)—,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25</m:t>
                </m:r>
                <m:r>
                  <m:t>}</m:t>
                </m:r>
                <m:r>
                  <m:t>,</m:t>
                </m:r>
                <m:r>
                  <m:t> </m:t>
                </m:r>
                <m:r>
                  <m:t>m</m:t>
                </m:r>
                <m:r>
                  <m:t>∈</m:t>
                </m:r>
                <m:r>
                  <m:t>[</m:t>
                </m:r>
                <m:r>
                  <m:t>0.05</m:t>
                </m:r>
                <m:r>
                  <m:t>,</m:t>
                </m:r>
                <m:r>
                  <m:t> </m:t>
                </m:r>
                <m:r>
                  <m:t>1.20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orientada a la fusión. </w:t>
      </w:r>
      <w:r>
        <w:rPr>
          <w:rFonts w:eastAsia="Times New Roman" w:cs="Times New Roman"/>
        </w:rPr>
        <w:t xml:space="preserve">A diferencia de una aptitud de fidelidad pura (SSIM + E + PSNR), que premia el realce conservador y conduce a óptimos triviales, aquí el PSO maximiza una aptitud orientada explícitamente a la calidad de fusión, definida en la ecuación (14), que recompensa la similitud estructural, la preservación de bordes y la correlación de las diferencias, y penaliza los artefactos. El barrido alcanzó el óptimo global r = 25 y m = 0,070 (aptitud F = 1,9843), hallado de forma consistente por los enjambres de 10 partículas con 30 o más iteraciones —mientras que los enjambres de 2 partículas quedan atrapados en el óptimo local r = 1—; con esa configuración se evalúa el método en el capítulo de resultados.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suma con la respuesta del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 = SSIM + Qabf + 0,5·SCD − Nabf</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2–10 (barrido, paso 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10–50 (barrido, paso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25]; m ∈ [0,05, 1,20]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25; m = 0,0703 (F = 1,9843; mejor de 25 configuraciones)</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t>
                </m:r>
                <m:r>
                  <m:rPr>
                    <m:lit/>
                    <m:nor/>
                  </m:rPr>
                  <m:t xml:space="preserve">=</m:t>
                </m:r>
                <m:r>
                  <m:t xml:space="preserve">SSIM</m:t>
                </m:r>
                <m:r>
                  <m:rPr>
                    <m:lit/>
                    <m:nor/>
                  </m:rPr>
                  <m:t xml:space="preserve">+</m:t>
                </m:r>
                <m:sSup>
                  <m:e>
                    <m:r>
                      <m:t xml:space="preserve">Q</m:t>
                    </m:r>
                  </m:e>
                  <m:sup>
                    <m:r>
                      <m:t xml:space="preserve">a</m:t>
                    </m:r>
                    <m:f>
                      <m:fPr>
                        <m:type m:val="lin"/>
                      </m:fPr>
                      <m:num>
                        <m:r>
                          <m:t xml:space="preserve">b</m:t>
                        </m:r>
                      </m:num>
                      <m:den>
                        <m:r>
                          <m:t xml:space="preserve">f</m:t>
                        </m:r>
                      </m:den>
                    </m:f>
                  </m:sup>
                </m:sSup>
                <m:r>
                  <m:rPr>
                    <m:lit/>
                    <m:nor/>
                  </m:rPr>
                  <m:t xml:space="preserve">+</m:t>
                </m:r>
                <m:r>
                  <m:t>0.5SCD−</m:t>
                </m:r>
                <m:sSup>
                  <m:e>
                    <m:r>
                      <m:t xml:space="preserve">N</m:t>
                    </m:r>
                  </m:e>
                  <m:sup>
                    <m:r>
                      <m:t xml:space="preserve">a</m:t>
                    </m:r>
                    <m:f>
                      <m:fPr>
                        <m:type m:val="lin"/>
                      </m:fPr>
                      <m:num>
                        <m:r>
                          <m:t xml:space="preserve">b</m:t>
                        </m:r>
                      </m:num>
                      <m:den>
                        <m:r>
                          <m:t xml:space="preserve">f</m:t>
                        </m:r>
                      </m:den>
                    </m:f>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Métodos comparativos del benchmark</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seis métodos comparativos: cinco representativos del estado del arte en fusión multiescala y la metodología clásica de la transformada Top-Hat:</w:t>
      </w:r>
    </w:p>
    <w:p>
      <w:pPr>
        <w:pStyle w:val="Normal"/>
        <w:spacing w:lineRule="auto" w:line="276"/>
        <w:jc w:val="start"/>
        <w:rPr/>
      </w:pPr>
      <w:r>
        <w:rPr>
          <w:rFonts w:eastAsia="Times New Roman" w:cs="Times New Roman"/>
          <w:i/>
          <w:sz w:val="18"/>
        </w:rPr>
        <w:t>Tabla 3. Métodos comparativos del benchmark.</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Ratio of low-pass Pyramid (RP)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Razones entre niveles gaussianos consecutivos; se conserva en cada píxel la razón que más se aparta de 1 y se reconstruye multiplicativamente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Toet (1989)</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 (LP)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(CVT,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Wavelet discreta (DWT)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de detalle y aproximación (Haar, 3 niveles); detalle por máxima magnitud, aproximación por promedio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Dual-Tree Complex Wavelet (DTCWT)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Seis subbandas direccionales complejas por nivel (4 niveles), invariante al desplazamiento; fusión por máxima magnitud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Kingsbury</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clásico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Fusión morfológica básica: disco único B₅, detalle entre fuentes por máximo y reconstrucción sin ponderación (m = 1)</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dieciséis métricas sin referencia, que computan el puntaje a partir de la imagen fusionada y de sus fuentes. Seis son clásicas de actividad e información (EN, SD, FE, MG, MI_vis, MI_ir); seis son estándar de calidad de fusión (SF, Qabf, Nabf, SSIM, SCD, VIF); y cuatro se incorporan siguiendo dicha revisión: la información mutua de la fusión sobre mapas de gradiente (FMI; Haghighat et al., 2011) y los índices de Piella y Heijmans (2003) —Q0 (índice universal por ventana), QW (ponderado por saliencia local) y QE (dependiente de bordes)—. Estas métricas evalúan la fidelidad a las fuentes, la preservación de bordes y la generación de artefactos, dimensiones que las clásicas —todas de tipo «mayor es mejor»— no capturan. Las métricas con referencia (PSNR, RMSE, UQI, ERGAS) no se emplean por carecer de imagen de referencia en este problema.</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(Xydeas–Petrović).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(Xydeas-Petrovic)</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se exploran SE de tipo disco, cuadrado y cruz, con radios de 2, 3 y 5 píxeles.</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En esta tesis se construye iterativamente aplicando WTH con SE de radio creciente.</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configuración Top-Hat contra cada baseline.</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suma</w:t>
      </w:r>
    </w:p>
    <w:p>
      <w:pPr>
        <w:pStyle w:val="Normal"/>
        <w:spacing w:lineRule="auto" w:line="360"/>
        <w:ind w:firstLine="709"/>
        <w:jc w:val="both"/>
        <w:rPr/>
      </w:pPr>
      <w:r>
        <w:rPr>
          <w:rFonts w:eastAsia="Times New Roman" w:cs="Times New Roman"/>
        </w:rPr>
        <w:t>Regla que, dadas las transformadas Top-Hat obtenidas con distintos elementos estructurantes sobre la misma imagen, acumula sus respuestas sumándolas píxel a píxel (la lineal promediada y la del disco), de modo que las estructuras captadas por cada geometría contribuyen conjuntamente al detalle extraído.</w:t>
      </w:r>
    </w:p>
    <w:p>
      <w:pPr>
        <w:pStyle w:val="Heading2"/>
        <w:jc w:val="start"/>
        <w:rPr/>
      </w:pPr>
      <w:r>
        <w:rPr>
          <w:rFonts w:eastAsia="Times New Roman" w:cs="Times New Roman"/>
          <w:b/>
          <w:color w:val="000000"/>
          <w:sz w:val="24"/>
        </w:rPr>
        <w:t>3.13 Fusión Top-Hat clásica</w:t>
      </w:r>
    </w:p>
    <w:p>
      <w:pPr>
        <w:pStyle w:val="Normal"/>
        <w:spacing w:lineRule="auto" w:line="360"/>
        <w:ind w:firstLine="709"/>
        <w:jc w:val="both"/>
        <w:rPr/>
      </w:pPr>
      <w:r>
        <w:rPr>
          <w:rFonts w:eastAsia="Times New Roman" w:cs="Times New Roman"/>
        </w:rPr>
        <w:t xml:space="preserve">Esquema de fusión morfológica de referencia: White y Black Top-Hat con un único disco sobre cada fuente, combinación del detalle entre fuentes por máximo píxel a píxel y reconstrucción aditivo–sustractiva sin ponderación sobre la imagen base.</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una combinación orientada a la fusión, F = SSIM + Qabf + 0,5·SCD − Nabf, que premia la fidelidad estructural, la preservación de bordes y la correlación, y penaliza los artefactos.</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comparativo inter-método: siete métodos de fusión —la Propuesta Novedosa, la metodología clásica Top-Hat y cinco representativos del estado del arte (LP, RP, DWT, DTCWT y CVT)— se aplican a cada uno de los 20 pares del dataset, totalizando 140 fusiones evaluadas con las doce métricas sin referencia, base del análisis estadístico inter-método (las cuatro métricas complementarias del review —FMI, Q0, QW y QE— se reportan de forma descriptiva en la Tabla 6). Los dos hiperparámetros de la propuesta (el radio r del banco de elementos estructurantes y el peso de contraste m) se ajustan mediante PSO, seleccionando la configuración del enjambre con un barrido de 25 combinaciones (partículas 2–10 × iteraciones 10–50, replicando el diseño de Ortega y Espinoza, 2025) sobre un subconjunto de tres escenas representativas; la configuración óptima resultante (r = 25, m = 0,070) se compara sobre los 20 pares con las doce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7 métodos del benchmark (§4.3)</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1–25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0,05–1,20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Qabf, Nabf, SSIM, SCD, VIF; FMI, Q0, QW, QE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 (Nabf ↓)</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2014).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5.5.1)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configuración Top-Hat (WTH y WTH+BTH) y cada baseline, así como entre la propuesta central (Propuesta Novedosa) y el método anterior y cada baseline, controlando por imagen; dado el elevado número de contrastes se aplica corrección de Holm por métrica y se reporta el tamaño de efecto rank-biserial. Tercero, se calcula el ranking promedio por método y métrica (1 = mejor), respetando la dirección de cada una (en Nabf, menor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Normal"/>
        <w:spacing w:lineRule="auto" w:line="360"/>
        <w:ind w:firstLine="709"/>
        <w:jc w:val="both"/>
        <w:rPr/>
      </w:pPr>
      <w:r>
        <w:rPr>
          <w:rFonts w:eastAsia="Times New Roman" w:cs="Times New Roman"/>
        </w:rPr>
        <w:t>El capítulo presenta primero la caracterización del corpus y los análisis cualitativo y cuantitativo del benchmark —la Propuesta Novedosa (operador de suma de ramas, r = 25, m = 0,070) frente a la metodología clásica de la transformada Top-Hat y a cinco métodos representativos del estado del arte (LP, RP, DWT, DTCWT y CVT)—, luego el análisis estadístico no paramétrico (sección 5.4), la evaluación orientada a tarea (sección 5.5) y la optimización del método (sección 5.6), cerrando con la discusión integrada (sección 5.7).</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métodos del benchmark. Visualmente, la pirámide de Laplace y la DTCWT recuperan detalle fino con buen equilibrio, aunque introducen ligeros artefactos en bordes muy contrastantes; la RP acentúa el contraste local a costa de cierta sobreamplificación; la DWT presenta el granulado característico de la fusión por máxima magnitud de coeficiente; y el Top-Hat clásico produce la imagen de mayor contraste aparente, pero con halos visibles alrededor de los objetivos térmicos, consecuencia de inyectar el detalle sin ponderación. La Propuesta Novedosa (destacada en rojo) ofrece el resultado visualmente más limpio y equilibrado: integra la silueta térmica de la IR y la textura del VIS con bordes definidos, sin el granulado de la DWT ni los halos del operador clásico. Esto es coherente con sus indicadores cuantitativos: la menor tasa de artefactos del estudio (Nabf = 0,041) y la mayor similitud estructural (SSIM = 0,782).</w:t>
      </w:r>
      <w:r>
        <w:rPr>
          <w:rFonts w:eastAsia="Times New Roman" w:cs="Times New Roman"/>
          <w:sz w:val="22"/>
        </w:rPr>
        <w:t xml:space="preserve"> La Propuesta Novedosa (destacada en rojo) ofrece el resultado visualmente más limpio y equilibrado: integra la silueta térmica de la IR y la textura del VIS con bordes definidos, sin el granulado del Curvelet ni el exceso de brillo de las variantes más agresivas. Esto es coherente con sus indicadores cuantitativos: una tasa de artefactos muy baja (Nabf = 0,035) y la mayor similitud estructural (SSIM = 0,783) entre los métodos reales.</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las seis métricas estándar de calidad, sobre los 20 pares para los siete métodos del benchmark. En las métricas clásicas la pirámide de Laplace lidera la desviación estándar y la información mutua, mientras que el Top-Hat clásico maximiza EN, MG y SF al inyectar la energía de detalle sin ponderación. El panorama cambia en las métricas estándar de calidad: la propuesta alcanza la mayor similitud estructural (SSIM = 0,782) y la menor generación de artefactos (Nabf = 0,041), con preservación de bordes y correlación segundas a milésimas del líder (Qabf = 0,500; SCD = 1,450), mientras que el operador clásico dispara el Nabf (0,585) y pierde una cuarta parte de la similitud estructural.</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EN</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FE</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MI_vis</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6,8350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0,1548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1,0792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0,0248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2,1183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1,0717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6,8285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0,1304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1,0790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0,0269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1,1698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0,8807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6,7002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0,1199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1,0586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1,2846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0,8809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6,7060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0,1205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1,0596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0,0251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1,2887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0,8908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6,6645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0,1167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1,0529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0,0256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1,3038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0,8843</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6,9334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0,1387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1,0961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0,0473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0,8722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0,5864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6,6406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0,1173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1,0487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0,0194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1,3422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0,9088</w:t>
            </w:r>
          </w:p>
        </w:tc>
      </w:tr>
    </w:tbl>
    <w:p>
      <w:pPr>
        <w:pStyle w:val="Normal"/>
        <w:spacing w:lineRule="auto" w:line="276"/>
        <w:jc w:val="both"/>
        <w:rPr/>
      </w:pPr>
      <w:r>
        <w:rPr>
          <w:rFonts w:eastAsia="Times New Roman" w:cs="Times New Roman"/>
          <w:i/>
          <w:sz w:val="18"/>
        </w:rPr>
        <w:t>Tabla 5. Promedios de las seis métricas estándar de calidad de fusión por método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Qabf</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Nabf</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SCD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VIF</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13,0400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0,4419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0,1080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0,7208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1,3217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0,4101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13,3376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0,4968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0,2119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0,7212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1,4677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0,3841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13,9341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0,4895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0,2286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0,7163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1,3218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13,0266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0,5011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0,1514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0,7386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1,3764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0,3600</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13,1510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0,4762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0,1915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0,7305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1,3208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0,3067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22,8554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0,5845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0,5781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1,3600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0,3336</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9,6441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0,4999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0,0406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0,7822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1,4498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0,3683</w:t>
            </w:r>
          </w:p>
        </w:tc>
      </w:tr>
    </w:tbl>
    <w:p>
      <w:pPr>
        <w:pStyle w:val="Normal"/>
        <w:spacing w:lineRule="auto" w:line="276"/>
        <w:jc w:val="both"/>
        <w:rPr/>
      </w:pPr>
      <w:r>
        <w:rPr>
          <w:rFonts w:eastAsia="Times New Roman" w:cs="Times New Roman"/>
          <w:i/>
          <w:sz w:val="18"/>
        </w:rPr>
        <w:t>Tabla 6. Métricas adicionales del review (FMI y Piella Q0/QW/QE) por método — medias sobre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600"/>
        <w:gridCol w:w="1600"/>
        <w:gridCol w:w="1600"/>
        <w:gridCol w:w="1600"/>
        <w:gridCol w:w="1600"/>
      </w:tblGrid>
      <w:tr>
        <w:trPr/>
        <w:tc>
          <w:tcPr>
            <w:tcW w:w="2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FMI</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Q0</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QW</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QE</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0,2761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0,7435</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0,8560</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0,4040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0,1900</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0,7158</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0,8294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0,3650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0,1993</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0,7201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0,8217</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0,3700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0,2356</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0,7574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0,8564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0,3993</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0,1971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0,7272</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0,8233</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0,3692</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0,1594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0,6125</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0,7454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0,3060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0,2081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0,7604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0,8133</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0,3770</w:t>
            </w:r>
          </w:p>
        </w:tc>
      </w:tr>
    </w:tbl>
    <w:p>
      <w:pPr>
        <w:pStyle w:val="Normal"/>
        <w:spacing w:lineRule="auto" w:line="360"/>
        <w:ind w:firstLine="709"/>
        <w:jc w:val="both"/>
        <w:rPr/>
      </w:pPr>
      <w:r>
        <w:rPr>
          <w:rFonts w:eastAsia="Times New Roman" w:cs="Times New Roman"/>
          <w:sz w:val="18"/>
        </w:rPr>
        <w:t>Estas métricas, ponderadas por bordes y estructura local, complementan a las anteriores: Pirámide de Laplace (LP) lidera FMI, Propuesta Novedosa lidera Q0, DTCWT lidera QW y Pirámide de Laplace (LP) lidera QE. La Propuesta Novedosa se mantiene competitiva en toda la familia, coherente con su perfil de fidelidad estructural y limpieza.</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estándar de calidad (Qabf, Nabf, SSIM, SCD, VIF, SF) para métodos representativos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7 reporta la prueba de Friedman aplicada de forma independiente a cada métrica, considerando los siete métodos del benchmark como tratamientos y los 20 pares como bloques. La hipótesis nula se rechaza con amplio margen en las doce métricas (p ≪ 0,001), lo que habilita el análisis pareado posterior: existen diferencias reales y sistemáticas entre los métodos comparados.</w:t>
      </w:r>
    </w:p>
    <w:p>
      <w:pPr>
        <w:pStyle w:val="Normal"/>
        <w:spacing w:lineRule="auto" w:line="276"/>
        <w:rPr/>
      </w:pPr>
      <w:r>
        <w:rPr>
          <w:rFonts w:eastAsia="Times New Roman" w:cs="Times New Roman"/>
          <w:i/>
          <w:sz w:val="18"/>
        </w:rPr>
        <w:t>Tabla 7. Prueba de Friedman por métrica (χ², p-valor; α = 0,05).</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Métrica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χ² de Friedman</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p-valor</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Significativo (α = 0,05)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EN</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85,96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2.08e-16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98,92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4.21e-19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FE</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85,96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2.08e-16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MG</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94,97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2.80e-18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MI_vis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75,83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2.59e-14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MI_ir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62,39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1.47e-11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90,16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2.80e-17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Qabf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69,84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4.42e-13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Nabf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107,61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6.44e-21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SSIM</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96,52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1.33e-18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SCD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64,41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5.68e-12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VIF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95,85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1.84e-18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los métodos morfológicos (la propuesta y el Top-Hat clásico) y cada método del estado del arte, sobre las doce métricas, con corrección de Holm y tamaño de efecto rank-biserial (120 contrastes; detalle en el Apéndice C), más el contraste directo entre la propuesta y el operador clásico. El hallazgo central: frente al Top-Hat clásico, la propuesta gana de forma estadísticamente significativa en las siete métricas de calidad e información (MI_vis, MI_ir, Qabf, Nabf, SSIM, SCD y VIF; p_Holm ≤ 0,001), cediendo solo las de actividad bruta. Frente a DWT y CVT gana en las siete métricas de calidad; frente a DTCWT gana en seis y cede Qabf por una milésima; frente a RP gana en Nabf, SSIM y MI_vis y empata en Qabf, SCD y VIF; y frente a LP gana en Nabf y SSIM, empata en Qabf y SCD, y cede VIF y las métricas de contraste.</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8 muestra el ranking promedio de cada método (1 = mejor) en seis métricas clave y el ranking global obtenido al promediar las doce métricas, respetando la dirección de cada una. La pirámide de Laplace encabeza el ranking global (3,17), seguida de RP (3,42) y DTCWT (3,58); la propuesta ocupa el cuarto lugar (4,08), penalizada por las métricas de actividad —que premian el realce agresivo: el Top-Hat clásico las lidera con el mayor Nabf del estudio—, pese a ser primera en Nabf y SSIM y segunda en Qabf, SCD y VIF. El ranking agregado, al mezclar familias de métricas con pesos iguales, debe leerse junto a los contrastes pareados de la sección anterior.</w:t>
      </w:r>
    </w:p>
    <w:p>
      <w:pPr>
        <w:pStyle w:val="Normal"/>
        <w:spacing w:lineRule="auto" w:line="276"/>
        <w:rPr/>
      </w:pPr>
      <w:r>
        <w:rPr>
          <w:rFonts w:eastAsia="Times New Roman" w:cs="Times New Roman"/>
          <w:i/>
          <w:sz w:val="18"/>
        </w:rPr>
        <w:t>Tabla 8. Ranking promedio por método y métrica (1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950"/>
        <w:gridCol w:w="950"/>
        <w:gridCol w:w="950"/>
        <w:gridCol w:w="950"/>
        <w:gridCol w:w="950"/>
        <w:gridCol w:w="950"/>
        <w:gridCol w:w="10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Qabf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Nabf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VIF</w:t>
            </w:r>
          </w:p>
        </w:tc>
        <w:tc>
          <w:tcPr>
            <w:tcW w:w="1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Global</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3,17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3,50</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3,58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3,92</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4,17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4,75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4,92</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doce métricas, con la dirección de cada una corregida).</w:t>
      </w:r>
    </w:p>
    <w:p>
      <w:pPr>
        <w:pStyle w:val="Heading2"/>
        <w:jc w:val="start"/>
        <w:rPr/>
      </w:pPr>
      <w:r>
        <w:rPr>
          <w:rFonts w:eastAsia="Times New Roman" w:cs="Times New Roman"/>
          <w:b/>
          <w:color w:val="000000"/>
          <w:sz w:val="24"/>
        </w:rPr>
        <w:t>5.5 Evaluación orientada a tarea: detección con YOLO en LLVIP</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9 reporta mAP@0,5 y mAP@0,5:0,95.</w:t>
      </w:r>
    </w:p>
    <w:p>
      <w:pPr>
        <w:pStyle w:val="Normal"/>
        <w:spacing w:lineRule="auto" w:line="276"/>
        <w:jc w:val="both"/>
        <w:rPr/>
      </w:pPr>
      <w:r>
        <w:rPr>
          <w:rFonts w:eastAsia="Times New Roman" w:cs="Times New Roman"/>
          <w:i/>
          <w:sz w:val="18"/>
        </w:rPr>
        <w:t>Tabla 9.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mAP@0,5:0,95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0,808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0,451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0,803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0,751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0,957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0,663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0,968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0,894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Pirámide de Laplace (LP)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0,879</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Ratio Pyramid (RP)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0,926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0,538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0,866</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Wavelet discreta (DWT)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0,614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0,974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Dual-Tree Complex Wavelet (DTCWT)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0,633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Curvelet (CVT)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0,972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Top-Hat clásico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0,957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0,866</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Novedosa (r=25, m=0,070)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0,859</w:t>
            </w:r>
          </w:p>
        </w:tc>
      </w:tr>
    </w:tbl>
    <w:p>
      <w:pPr>
        <w:pStyle w:val="Normal"/>
        <w:spacing w:lineRule="auto" w:line="360"/>
        <w:ind w:firstLine="709"/>
        <w:jc w:val="both"/>
        <w:rPr/>
      </w:pPr>
      <w:r>
        <w:rPr>
          <w:rFonts w:eastAsia="Times New Roman" w:cs="Times New Roman"/>
        </w:rPr>
        <w:t>La Tabla 9 admite tres lecturas. Primero, toda fusión mejora con claridad sobre el visible solo (mAP@0,5 de 0,808 a una banda de 0,926–0,949, es decir entre +0,12 y +0,14 puntos): cuando el canal visible es débil —escenas nocturnas—, fusionar aporta información decisiva. Segundo, el infrarrojo solo es la modalidad más fuerte (mAP@0,5 = 0,957; mAP@0,5:0,95 = 0,663) y ninguna fusión lo supera, coherente con que LLVIP es detección de peatones en baja luz, donde la firma térmica domina. Tercero, entre las siete fusiones las diferencias son pequeñas (mAP@0,5 en una banda estrecha de 0,926 a 0,949): la pirámide de Laplace encabeza (0,949), seguida de cerca por DTCWT (0,948) y DWT (0,946), mientras que la Propuesta Novedosa resulta competitiva (0,936) —prácticamente empatada con la metodología clásica Top-Hat (0,938) y a 1,3 puntos del mejor— sin ser líder. La conclusión es matizada y relevante: la superioridad de la propuesta en las métricas de calidad de imagen (Nabf, SSIM) no se traslada automáticamente a la tarea de detección, donde la banda de fusiones es estrecha y la modalidad térmica domina; la elección del método depende del criterio operativo prioritario —en consonancia con lo señalado por Singh et al. (2023)—.</w:t>
      </w:r>
    </w:p>
    <w:p>
      <w:pPr>
        <w:pStyle w:val="Heading2"/>
        <w:jc w:val="start"/>
        <w:rPr/>
      </w:pPr>
      <w:r>
        <w:rPr>
          <w:rFonts w:eastAsia="Times New Roman" w:cs="Times New Roman"/>
          <w:b/>
          <w:color w:val="000000"/>
          <w:sz w:val="24"/>
        </w:rPr>
        <w:t>5.6 Propuesta Novedosa (método central)</w:t>
      </w:r>
    </w:p>
    <w:p>
      <w:pPr>
        <w:pStyle w:val="Normal"/>
        <w:spacing w:lineRule="auto" w:line="360"/>
        <w:ind w:firstLine="709"/>
        <w:jc w:val="both"/>
        <w:rPr/>
      </w:pPr>
      <w:r>
        <w:rPr>
          <w:rFonts w:eastAsia="Times New Roman" w:cs="Times New Roman"/>
        </w:rPr>
        <w:t xml:space="preserve">La Propuesta Novedosa —método central de esta tesis— se optimizó con PSO sobre un subconjunto representativo de escenas, maximizando una aptitud orientada a la fusión (F = SSIM + Qabf + 0,5·SCD − Nabf). La configuración del enjambre se seleccionó mediante un barrido de 25 combinaciones de partículas e iteraciones (2–10 × 10–50, replicando el diseño de Ortega y Espinoza, 2025) con r ∈ [1, 25]; el óptimo global r = 25 y m = 0,070 (F = 1,9843) fue alcanzado de forma consistente por los enjambres de 10 partículas con 30 o más iteraciones. Esta aptitud premia simultáneamente la similitud estructural, la preservación de bordes y la correlación de las diferencias, y penaliza los artefactos, evitando el realce trivial al que conduce una aptitud de fidelidad pura.</w:t>
      </w:r>
    </w:p>
    <w:p>
      <w:pPr>
        <w:pStyle w:val="Normal"/>
        <w:spacing w:lineRule="auto" w:line="360"/>
        <w:ind w:firstLine="709"/>
        <w:jc w:val="both"/>
        <w:rPr/>
      </w:pPr>
      <w:r>
        <w:rPr>
          <w:rFonts w:eastAsia="Times New Roman" w:cs="Times New Roman"/>
        </w:rPr>
        <w:t xml:space="preserve">La Tabla 10 compara la propuesta, en su configuración óptima (r = 25, m = 0,070), con la metodología clásica Top-Hat y con métodos representativos del estado del arte (LP, RP y DTCWT; los valores de DWT y CVT, del mismo orden, se detallan en el material complementario) sobre las métricas estándar de calidad. La propuesta registra la menor tasa de artefactos del estudio (Nabf = 0,041, frente a 0,108 de LP y 0,585 del Top-Hat clásico) y la mayor similitud estructural (SSIM = 0,782), quedando segunda en preservación de bordes (Qabf = 0,500, a una milésima del líder DTCWT), correlación (SCD = 1,450, tras RP) y fidelidad visual (VIF = 0,368, tras LP). Reúne así limpieza, fidelidad estructural y fuerza de bordes en un mismo operador, perfil adecuado para una fusión de propósito general.</w:t>
      </w:r>
    </w:p>
    <w:p>
      <w:pPr>
        <w:pStyle w:val="Normal"/>
        <w:spacing w:lineRule="auto" w:line="360" w:before="0" w:after="160"/>
        <w:ind w:firstLine="709"/>
        <w:jc w:val="both"/>
        <w:rPr/>
      </w:pPr>
      <w:r>
        <w:rPr>
          <w:rFonts w:eastAsia="Times New Roman" w:cs="Times New Roman"/>
        </w:rPr>
        <w:t xml:space="preserve">La significación de estas diferencias se verificó con la prueba de Wilcoxon pareada (n = 20, corrección de Holm por métrica; detalle completo en el Apéndice C). Frente a la metodología clásica Top-Hat, la propuesta gana de forma estadísticamente significativa en las siete métricas de calidad e información (MI_vis, MI_ir, Qabf, Nabf, SSIM, SCD y VIF; p_Holm ≤ 0,001) y cede únicamente en las cinco de actividad bruta (EN, SD, FE, MG, SF), que el operador clásico infla al costo del mayor nivel de artefactos del estudio. Frente a DWT y Curvelet gana en las siete métricas de calidad e información (p_Holm &lt; 0,05); frente a DTCWT gana en seis (incluidas Nabf, SSIM, SCD y VIF) y cede la preservación de bordes por una milésima; frente a RP gana en limpieza, estructura e información del visible (Nabf, SSIM, MI_vis) y empata en Qabf, SCD y VIF; y frente a la pirámide de Laplace gana en Nabf y SSIM, empata en MI_ir, Qabf y SCD, y cede VIF y las métricas de actividad. Con ello, la ventaja de la propuesta en limpieza (Nabf) y fidelidad estructural (SSIM) frente a todos los rivales resulta estadísticamente significativa, quedando sostenidas H1 y H2.</w:t>
      </w:r>
    </w:p>
    <w:p>
      <w:pPr>
        <w:pStyle w:val="Normal"/>
        <w:spacing w:lineRule="auto" w:line="360"/>
        <w:ind w:firstLine="709"/>
        <w:jc w:val="both"/>
        <w:rPr/>
      </w:pPr>
      <w:r>
        <w:rPr>
          <w:rFonts w:eastAsia="Times New Roman" w:cs="Times New Roman"/>
        </w:rPr>
        <w:t xml:space="preserve">La elección de la configuración es robusta: en el barrido de 25 combinaciones, seis configuraciones independientes alcanzaron el mismo óptimo global (r = 25, m = 0,070) y todos los enjambres de 10 partículas con 30 o más iteraciones convergieron a él, mientras que los enjambres de 2 partículas quedaron atrapados en el óptimo local r = 1. La aptitud crece con el radio hasta el tope del rango explorado, lo que indica que el operador aprovecha vecindarios amplios para capturar los objetivos térmicos completos, con el peso m compensando a la baja la mayor energía de detalle que inyecta la suma de ramas.</w:t>
      </w:r>
    </w:p>
    <w:p>
      <w:pPr>
        <w:pStyle w:val="Normal"/>
        <w:spacing w:lineRule="auto" w:line="276"/>
        <w:jc w:val="both"/>
        <w:rPr/>
      </w:pPr>
      <w:commentRangeStart w:id="3"/>
      <w:r>
        <w:rPr>
          <w:rFonts w:eastAsia="Times New Roman" w:cs="Times New Roman"/>
          <w:i/>
          <w:sz w:val="18"/>
        </w:rPr>
        <w:t>Tabla 10. Propuesta Novedosa frente a la metodología clásica Top-Hat y al estado del arte — medias sobre 20 pares (n = 20).</w:t>
      </w:r>
      <w:commentRangeEnd w:id="3"/>
      <w:r>
        <w:commentReference w:id="3"/>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cPr>
          <w:p>
            <w:pPr>
              <w:pStyle w:val="Normal"/>
              <w:widowControl w:val="false"/>
              <w:spacing w:lineRule="auto" w:line="276" w:before="0" w:after="120"/>
              <w:rPr/>
            </w:pPr>
            <w:r>
              <w:rPr>
                <w:rFonts w:eastAsia="Times New Roman" w:cs="Times New Roman"/>
                <w:b/>
                <w:color w:val="FFFFFF"/>
                <w:sz w:val="19"/>
              </w:rPr>
              <w:t>Propuesta Novedosa (r=25, m=0,070)</w:t>
            </w:r>
          </w:p>
        </w:tc>
        <w:tc>
          <w:tcPr>
            <w:tcW w:w="1518" w:type="dxa"/>
            <w:tcBorders/>
          </w:tcPr>
          <w:p>
            <w:pPr>
              <w:pStyle w:val="Normal"/>
              <w:widowControl w:val="false"/>
              <w:spacing w:lineRule="auto" w:line="276" w:before="0" w:after="120"/>
              <w:rPr/>
            </w:pPr>
            <w:r>
              <w:rPr>
                <w:rFonts w:eastAsia="Times New Roman" w:cs="Times New Roman"/>
                <w:b/>
                <w:color w:val="FFFFFF"/>
                <w:sz w:val="19"/>
              </w:rPr>
              <w:t>Top-Hat clásico</w:t>
            </w:r>
          </w:p>
        </w:tc>
        <w:tc>
          <w:tcPr>
            <w:tcW w:w="1517" w:type="dxa"/>
            <w:tcBorders/>
          </w:tcPr>
          <w:p>
            <w:pPr>
              <w:pStyle w:val="Normal"/>
              <w:widowControl w:val="false"/>
              <w:spacing w:lineRule="auto" w:line="276" w:before="0" w:after="120"/>
              <w:rPr/>
            </w:pPr>
            <w:r>
              <w:rPr>
                <w:rFonts w:eastAsia="Times New Roman" w:cs="Times New Roman"/>
                <w:b/>
                <w:color w:val="FFFFFF"/>
                <w:sz w:val="19"/>
              </w:rPr>
              <w:t>Pirámide de Laplace (LP)</w:t>
            </w:r>
          </w:p>
        </w:tc>
        <w:tc>
          <w:tcPr>
            <w:tcW w:w="1516" w:type="dxa"/>
            <w:tcBorders/>
          </w:tcPr>
          <w:p>
            <w:pPr>
              <w:pStyle w:val="Normal"/>
              <w:widowControl w:val="false"/>
              <w:spacing w:lineRule="auto" w:line="276" w:before="0" w:after="120"/>
              <w:rPr/>
            </w:pPr>
            <w:r>
              <w:rPr>
                <w:rFonts w:eastAsia="Times New Roman" w:cs="Times New Roman"/>
                <w:b/>
                <w:color w:val="FFFFFF"/>
                <w:sz w:val="19"/>
              </w:rPr>
              <w:t>Ratio Pyramid (RP)</w:t>
            </w:r>
          </w:p>
        </w:tc>
        <w:tc>
          <w:tcPr>
            <w:tcW w:w="1518" w:type="dxa"/>
            <w:tcBorders/>
          </w:tcPr>
          <w:p>
            <w:pPr>
              <w:pStyle w:val="Normal"/>
              <w:widowControl w:val="false"/>
              <w:spacing w:lineRule="auto" w:line="276" w:before="0" w:after="120"/>
              <w:rPr/>
            </w:pPr>
            <w:r>
              <w:rPr>
                <w:rFonts w:eastAsia="Times New Roman" w:cs="Times New Roman"/>
                <w:b/>
                <w:color w:val="FFFFFF"/>
                <w:sz w:val="19"/>
              </w:rPr>
              <w:t>DTCWT</w:t>
            </w:r>
          </w:p>
        </w:tc>
      </w:tr>
      <w:tr>
        <w:trPr/>
        <w:tc>
          <w:tcPr>
            <w:tcW w:w="1517" w:type="dxa"/>
            <w:tcBorders/>
          </w:tcPr>
          <w:p>
            <w:pPr>
              <w:pStyle w:val="Normal"/>
              <w:widowControl w:val="false"/>
              <w:spacing w:lineRule="auto" w:line="276" w:before="0" w:after="120"/>
              <w:rPr/>
            </w:pPr>
            <w:r>
              <w:rPr>
                <w:rFonts w:eastAsia="Times New Roman" w:cs="Times New Roman"/>
                <w:sz w:val="19"/>
              </w:rPr>
              <w:t>SSIM ↑</w:t>
            </w:r>
          </w:p>
        </w:tc>
        <w:tc>
          <w:tcPr>
            <w:tcW w:w="1516" w:type="dxa"/>
            <w:tcBorders/>
          </w:tcPr>
          <w:p>
            <w:pPr>
              <w:pStyle w:val="Normal"/>
              <w:widowControl w:val="false"/>
              <w:spacing w:lineRule="auto" w:line="276" w:before="0" w:after="120"/>
              <w:rPr/>
            </w:pPr>
            <w:r>
              <w:rPr>
                <w:rFonts w:eastAsia="Times New Roman" w:cs="Times New Roman"/>
                <w:b/>
                <w:sz w:val="19"/>
              </w:rPr>
              <w:t>0,782</w:t>
            </w:r>
          </w:p>
        </w:tc>
        <w:tc>
          <w:tcPr>
            <w:tcW w:w="1518" w:type="dxa"/>
            <w:tcBorders/>
          </w:tcPr>
          <w:p>
            <w:pPr>
              <w:pStyle w:val="Normal"/>
              <w:widowControl w:val="false"/>
              <w:spacing w:lineRule="auto" w:line="276" w:before="0" w:after="120"/>
              <w:rPr/>
            </w:pPr>
            <w:r>
              <w:rPr>
                <w:rFonts w:eastAsia="Times New Roman" w:cs="Times New Roman"/>
                <w:sz w:val="19"/>
              </w:rPr>
              <w:t>0,578</w:t>
            </w:r>
          </w:p>
        </w:tc>
        <w:tc>
          <w:tcPr>
            <w:tcW w:w="1517" w:type="dxa"/>
            <w:tcBorders/>
          </w:tcPr>
          <w:p>
            <w:pPr>
              <w:pStyle w:val="Normal"/>
              <w:widowControl w:val="false"/>
              <w:spacing w:lineRule="auto" w:line="276" w:before="0" w:after="120"/>
              <w:rPr/>
            </w:pPr>
            <w:r>
              <w:rPr>
                <w:rFonts w:eastAsia="Times New Roman" w:cs="Times New Roman"/>
                <w:sz w:val="19"/>
              </w:rPr>
              <w:t>0,721</w:t>
            </w:r>
          </w:p>
        </w:tc>
        <w:tc>
          <w:tcPr>
            <w:tcW w:w="1516" w:type="dxa"/>
            <w:tcBorders/>
          </w:tcPr>
          <w:p>
            <w:pPr>
              <w:pStyle w:val="Normal"/>
              <w:widowControl w:val="false"/>
              <w:spacing w:lineRule="auto" w:line="276" w:before="0" w:after="120"/>
              <w:rPr/>
            </w:pPr>
            <w:r>
              <w:rPr>
                <w:rFonts w:eastAsia="Times New Roman" w:cs="Times New Roman"/>
                <w:sz w:val="19"/>
              </w:rPr>
              <w:t>0,721</w:t>
            </w:r>
          </w:p>
        </w:tc>
        <w:tc>
          <w:tcPr>
            <w:tcW w:w="1518" w:type="dxa"/>
            <w:tcBorders/>
          </w:tcPr>
          <w:p>
            <w:pPr>
              <w:pStyle w:val="Normal"/>
              <w:widowControl w:val="false"/>
              <w:spacing w:lineRule="auto" w:line="276" w:before="0" w:after="120"/>
              <w:rPr/>
            </w:pPr>
            <w:r>
              <w:rPr>
                <w:rFonts w:eastAsia="Times New Roman" w:cs="Times New Roman"/>
                <w:sz w:val="19"/>
              </w:rPr>
              <w:t>0,739</w:t>
            </w:r>
          </w:p>
        </w:tc>
      </w:tr>
      <w:tr>
        <w:trPr/>
        <w:tc>
          <w:tcPr>
            <w:tcW w:w="1517" w:type="dxa"/>
            <w:tcBorders/>
          </w:tcPr>
          <w:p>
            <w:pPr>
              <w:pStyle w:val="Normal"/>
              <w:widowControl w:val="false"/>
              <w:spacing w:lineRule="auto" w:line="276" w:before="0" w:after="120"/>
              <w:rPr/>
            </w:pPr>
            <w:r>
              <w:rPr>
                <w:rFonts w:eastAsia="Times New Roman" w:cs="Times New Roman"/>
                <w:sz w:val="19"/>
              </w:rPr>
              <w:t>SCD ↑</w:t>
            </w:r>
          </w:p>
        </w:tc>
        <w:tc>
          <w:tcPr>
            <w:tcW w:w="1516" w:type="dxa"/>
            <w:tcBorders/>
          </w:tcPr>
          <w:p>
            <w:pPr>
              <w:pStyle w:val="Normal"/>
              <w:widowControl w:val="false"/>
              <w:spacing w:lineRule="auto" w:line="276" w:before="0" w:after="120"/>
              <w:rPr/>
            </w:pPr>
            <w:r>
              <w:rPr>
                <w:rFonts w:eastAsia="Times New Roman" w:cs="Times New Roman"/>
                <w:b/>
                <w:sz w:val="19"/>
              </w:rPr>
              <w:t>1,450</w:t>
            </w:r>
          </w:p>
        </w:tc>
        <w:tc>
          <w:tcPr>
            <w:tcW w:w="1518" w:type="dxa"/>
            <w:tcBorders/>
          </w:tcPr>
          <w:p>
            <w:pPr>
              <w:pStyle w:val="Normal"/>
              <w:widowControl w:val="false"/>
              <w:spacing w:lineRule="auto" w:line="276" w:before="0" w:after="120"/>
              <w:rPr/>
            </w:pPr>
            <w:r>
              <w:rPr>
                <w:rFonts w:eastAsia="Times New Roman" w:cs="Times New Roman"/>
                <w:sz w:val="19"/>
              </w:rPr>
              <w:t>1,360</w:t>
            </w:r>
          </w:p>
        </w:tc>
        <w:tc>
          <w:tcPr>
            <w:tcW w:w="1517" w:type="dxa"/>
            <w:tcBorders/>
          </w:tcPr>
          <w:p>
            <w:pPr>
              <w:pStyle w:val="Normal"/>
              <w:widowControl w:val="false"/>
              <w:spacing w:lineRule="auto" w:line="276" w:before="0" w:after="120"/>
              <w:rPr/>
            </w:pPr>
            <w:r>
              <w:rPr>
                <w:rFonts w:eastAsia="Times New Roman" w:cs="Times New Roman"/>
                <w:sz w:val="19"/>
              </w:rPr>
              <w:t>1,322</w:t>
            </w:r>
          </w:p>
        </w:tc>
        <w:tc>
          <w:tcPr>
            <w:tcW w:w="1516" w:type="dxa"/>
            <w:tcBorders/>
          </w:tcPr>
          <w:p>
            <w:pPr>
              <w:pStyle w:val="Normal"/>
              <w:widowControl w:val="false"/>
              <w:spacing w:lineRule="auto" w:line="276" w:before="0" w:after="120"/>
              <w:rPr/>
            </w:pPr>
            <w:r>
              <w:rPr>
                <w:rFonts w:eastAsia="Times New Roman" w:cs="Times New Roman"/>
                <w:sz w:val="19"/>
              </w:rPr>
              <w:t>1,468</w:t>
            </w:r>
          </w:p>
        </w:tc>
        <w:tc>
          <w:tcPr>
            <w:tcW w:w="1518" w:type="dxa"/>
            <w:tcBorders/>
          </w:tcPr>
          <w:p>
            <w:pPr>
              <w:pStyle w:val="Normal"/>
              <w:widowControl w:val="false"/>
              <w:spacing w:lineRule="auto" w:line="276" w:before="0" w:after="120"/>
              <w:rPr/>
            </w:pPr>
            <w:r>
              <w:rPr>
                <w:rFonts w:eastAsia="Times New Roman" w:cs="Times New Roman"/>
                <w:sz w:val="19"/>
              </w:rPr>
              <w:t>1,376</w:t>
            </w:r>
          </w:p>
        </w:tc>
      </w:tr>
      <w:tr>
        <w:trPr/>
        <w:tc>
          <w:tcPr>
            <w:tcW w:w="1517" w:type="dxa"/>
            <w:tcBorders/>
          </w:tcPr>
          <w:p>
            <w:pPr>
              <w:pStyle w:val="Normal"/>
              <w:widowControl w:val="false"/>
              <w:spacing w:lineRule="auto" w:line="276" w:before="0" w:after="120"/>
              <w:rPr/>
            </w:pPr>
            <w:r>
              <w:rPr>
                <w:rFonts w:eastAsia="Times New Roman" w:cs="Times New Roman"/>
                <w:sz w:val="19"/>
              </w:rPr>
              <w:t>Qabf ↑</w:t>
            </w:r>
          </w:p>
        </w:tc>
        <w:tc>
          <w:tcPr>
            <w:tcW w:w="1516" w:type="dxa"/>
            <w:tcBorders/>
          </w:tcPr>
          <w:p>
            <w:pPr>
              <w:pStyle w:val="Normal"/>
              <w:widowControl w:val="false"/>
              <w:spacing w:lineRule="auto" w:line="276" w:before="0" w:after="120"/>
              <w:rPr/>
            </w:pPr>
            <w:r>
              <w:rPr>
                <w:rFonts w:eastAsia="Times New Roman" w:cs="Times New Roman"/>
                <w:b/>
                <w:sz w:val="19"/>
              </w:rPr>
              <w:t>0,500</w:t>
            </w:r>
          </w:p>
        </w:tc>
        <w:tc>
          <w:tcPr>
            <w:tcW w:w="1518" w:type="dxa"/>
            <w:tcBorders/>
          </w:tcPr>
          <w:p>
            <w:pPr>
              <w:pStyle w:val="Normal"/>
              <w:widowControl w:val="false"/>
              <w:spacing w:lineRule="auto" w:line="276" w:before="0" w:after="120"/>
              <w:rPr/>
            </w:pPr>
            <w:r>
              <w:rPr>
                <w:rFonts w:eastAsia="Times New Roman" w:cs="Times New Roman"/>
                <w:sz w:val="19"/>
              </w:rPr>
              <w:t>0,305</w:t>
            </w:r>
          </w:p>
        </w:tc>
        <w:tc>
          <w:tcPr>
            <w:tcW w:w="1517" w:type="dxa"/>
            <w:tcBorders/>
          </w:tcPr>
          <w:p>
            <w:pPr>
              <w:pStyle w:val="Normal"/>
              <w:widowControl w:val="false"/>
              <w:spacing w:lineRule="auto" w:line="276" w:before="0" w:after="120"/>
              <w:rPr/>
            </w:pPr>
            <w:r>
              <w:rPr>
                <w:rFonts w:eastAsia="Times New Roman" w:cs="Times New Roman"/>
                <w:sz w:val="19"/>
              </w:rPr>
              <w:t>0,442</w:t>
            </w:r>
          </w:p>
        </w:tc>
        <w:tc>
          <w:tcPr>
            <w:tcW w:w="1516" w:type="dxa"/>
            <w:tcBorders/>
          </w:tcPr>
          <w:p>
            <w:pPr>
              <w:pStyle w:val="Normal"/>
              <w:widowControl w:val="false"/>
              <w:spacing w:lineRule="auto" w:line="276" w:before="0" w:after="120"/>
              <w:rPr/>
            </w:pPr>
            <w:r>
              <w:rPr>
                <w:rFonts w:eastAsia="Times New Roman" w:cs="Times New Roman"/>
                <w:sz w:val="19"/>
              </w:rPr>
              <w:t>0,497</w:t>
            </w:r>
          </w:p>
        </w:tc>
        <w:tc>
          <w:tcPr>
            <w:tcW w:w="1518" w:type="dxa"/>
            <w:tcBorders/>
          </w:tcPr>
          <w:p>
            <w:pPr>
              <w:pStyle w:val="Normal"/>
              <w:widowControl w:val="false"/>
              <w:spacing w:lineRule="auto" w:line="276" w:before="0" w:after="120"/>
              <w:rPr/>
            </w:pPr>
            <w:r>
              <w:rPr>
                <w:rFonts w:eastAsia="Times New Roman" w:cs="Times New Roman"/>
                <w:sz w:val="19"/>
              </w:rPr>
              <w:t>0,501</w:t>
            </w:r>
          </w:p>
        </w:tc>
      </w:tr>
      <w:tr>
        <w:trPr/>
        <w:tc>
          <w:tcPr>
            <w:tcW w:w="1517" w:type="dxa"/>
            <w:tcBorders/>
          </w:tcPr>
          <w:p>
            <w:pPr>
              <w:pStyle w:val="Normal"/>
              <w:widowControl w:val="false"/>
              <w:spacing w:lineRule="auto" w:line="276" w:before="0" w:after="120"/>
              <w:rPr/>
            </w:pPr>
            <w:r>
              <w:rPr>
                <w:rFonts w:eastAsia="Times New Roman" w:cs="Times New Roman"/>
                <w:sz w:val="19"/>
              </w:rPr>
              <w:t>Nabf ↓</w:t>
            </w:r>
          </w:p>
        </w:tc>
        <w:tc>
          <w:tcPr>
            <w:tcW w:w="1516" w:type="dxa"/>
            <w:tcBorders/>
          </w:tcPr>
          <w:p>
            <w:pPr>
              <w:pStyle w:val="Normal"/>
              <w:widowControl w:val="false"/>
              <w:spacing w:lineRule="auto" w:line="276" w:before="0" w:after="120"/>
              <w:rPr/>
            </w:pPr>
            <w:r>
              <w:rPr>
                <w:rFonts w:eastAsia="Times New Roman" w:cs="Times New Roman"/>
                <w:b/>
                <w:sz w:val="19"/>
              </w:rPr>
              <w:t>0,041</w:t>
            </w:r>
          </w:p>
        </w:tc>
        <w:tc>
          <w:tcPr>
            <w:tcW w:w="1518" w:type="dxa"/>
            <w:tcBorders/>
          </w:tcPr>
          <w:p>
            <w:pPr>
              <w:pStyle w:val="Normal"/>
              <w:widowControl w:val="false"/>
              <w:spacing w:lineRule="auto" w:line="276" w:before="0" w:after="120"/>
              <w:rPr/>
            </w:pPr>
            <w:r>
              <w:rPr>
                <w:rFonts w:eastAsia="Times New Roman" w:cs="Times New Roman"/>
                <w:sz w:val="19"/>
              </w:rPr>
              <w:t>0,585</w:t>
            </w:r>
          </w:p>
        </w:tc>
        <w:tc>
          <w:tcPr>
            <w:tcW w:w="1517" w:type="dxa"/>
            <w:tcBorders/>
          </w:tcPr>
          <w:p>
            <w:pPr>
              <w:pStyle w:val="Normal"/>
              <w:widowControl w:val="false"/>
              <w:spacing w:lineRule="auto" w:line="276" w:before="0" w:after="120"/>
              <w:rPr/>
            </w:pPr>
            <w:r>
              <w:rPr>
                <w:rFonts w:eastAsia="Times New Roman" w:cs="Times New Roman"/>
                <w:sz w:val="19"/>
              </w:rPr>
              <w:t>0,108</w:t>
            </w:r>
          </w:p>
        </w:tc>
        <w:tc>
          <w:tcPr>
            <w:tcW w:w="1516" w:type="dxa"/>
            <w:tcBorders/>
          </w:tcPr>
          <w:p>
            <w:pPr>
              <w:pStyle w:val="Normal"/>
              <w:widowControl w:val="false"/>
              <w:spacing w:lineRule="auto" w:line="276" w:before="0" w:after="120"/>
              <w:rPr/>
            </w:pPr>
            <w:r>
              <w:rPr>
                <w:rFonts w:eastAsia="Times New Roman" w:cs="Times New Roman"/>
                <w:sz w:val="19"/>
              </w:rPr>
              <w:t>0,212</w:t>
            </w:r>
          </w:p>
        </w:tc>
        <w:tc>
          <w:tcPr>
            <w:tcW w:w="1518" w:type="dxa"/>
            <w:tcBorders/>
          </w:tcPr>
          <w:p>
            <w:pPr>
              <w:pStyle w:val="Normal"/>
              <w:widowControl w:val="false"/>
              <w:spacing w:lineRule="auto" w:line="276" w:before="0" w:after="120"/>
              <w:rPr/>
            </w:pPr>
            <w:r>
              <w:rPr>
                <w:rFonts w:eastAsia="Times New Roman" w:cs="Times New Roman"/>
                <w:sz w:val="19"/>
              </w:rPr>
              <w:t>0,151</w:t>
            </w:r>
          </w:p>
        </w:tc>
      </w:tr>
      <w:tr>
        <w:trPr/>
        <w:tc>
          <w:tcPr>
            <w:tcW w:w="1517" w:type="dxa"/>
            <w:tcBorders/>
          </w:tcPr>
          <w:p>
            <w:pPr>
              <w:pStyle w:val="Normal"/>
              <w:widowControl w:val="false"/>
              <w:spacing w:lineRule="auto" w:line="276" w:before="0" w:after="120"/>
              <w:rPr/>
            </w:pPr>
            <w:r>
              <w:rPr>
                <w:rFonts w:eastAsia="Times New Roman" w:cs="Times New Roman"/>
                <w:sz w:val="19"/>
              </w:rPr>
              <w:t>VIF ↑</w:t>
            </w:r>
          </w:p>
        </w:tc>
        <w:tc>
          <w:tcPr>
            <w:tcW w:w="1516" w:type="dxa"/>
            <w:tcBorders/>
          </w:tcPr>
          <w:p>
            <w:pPr>
              <w:pStyle w:val="Normal"/>
              <w:widowControl w:val="false"/>
              <w:spacing w:lineRule="auto" w:line="276" w:before="0" w:after="120"/>
              <w:rPr/>
            </w:pPr>
            <w:r>
              <w:rPr>
                <w:rFonts w:eastAsia="Times New Roman" w:cs="Times New Roman"/>
                <w:b/>
                <w:sz w:val="19"/>
              </w:rPr>
              <w:t>0,368</w:t>
            </w:r>
          </w:p>
        </w:tc>
        <w:tc>
          <w:tcPr>
            <w:tcW w:w="1518" w:type="dxa"/>
            <w:tcBorders/>
          </w:tcPr>
          <w:p>
            <w:pPr>
              <w:pStyle w:val="Normal"/>
              <w:widowControl w:val="false"/>
              <w:spacing w:lineRule="auto" w:line="276" w:before="0" w:after="120"/>
              <w:rPr/>
            </w:pPr>
            <w:r>
              <w:rPr>
                <w:rFonts w:eastAsia="Times New Roman" w:cs="Times New Roman"/>
                <w:sz w:val="19"/>
              </w:rPr>
              <w:t>0,334</w:t>
            </w:r>
          </w:p>
        </w:tc>
        <w:tc>
          <w:tcPr>
            <w:tcW w:w="1517" w:type="dxa"/>
            <w:tcBorders/>
          </w:tcPr>
          <w:p>
            <w:pPr>
              <w:pStyle w:val="Normal"/>
              <w:widowControl w:val="false"/>
              <w:spacing w:lineRule="auto" w:line="276" w:before="0" w:after="120"/>
              <w:rPr/>
            </w:pPr>
            <w:r>
              <w:rPr>
                <w:rFonts w:eastAsia="Times New Roman" w:cs="Times New Roman"/>
                <w:sz w:val="19"/>
              </w:rPr>
              <w:t>0,410</w:t>
            </w:r>
          </w:p>
        </w:tc>
        <w:tc>
          <w:tcPr>
            <w:tcW w:w="1516" w:type="dxa"/>
            <w:tcBorders/>
          </w:tcPr>
          <w:p>
            <w:pPr>
              <w:pStyle w:val="Normal"/>
              <w:widowControl w:val="false"/>
              <w:spacing w:lineRule="auto" w:line="276" w:before="0" w:after="120"/>
              <w:rPr/>
            </w:pPr>
            <w:r>
              <w:rPr>
                <w:rFonts w:eastAsia="Times New Roman" w:cs="Times New Roman"/>
                <w:sz w:val="19"/>
              </w:rPr>
              <w:t>0,384</w:t>
            </w:r>
          </w:p>
        </w:tc>
        <w:tc>
          <w:tcPr>
            <w:tcW w:w="1518" w:type="dxa"/>
            <w:tcBorders/>
          </w:tcPr>
          <w:p>
            <w:pPr>
              <w:pStyle w:val="Normal"/>
              <w:widowControl w:val="false"/>
              <w:spacing w:lineRule="auto" w:line="276" w:before="0" w:after="120"/>
              <w:rPr/>
            </w:pPr>
            <w:r>
              <w:rPr>
                <w:rFonts w:eastAsia="Times New Roman" w:cs="Times New Roman"/>
                <w:sz w:val="19"/>
              </w:rPr>
              <w:t>0,360</w:t>
            </w:r>
          </w:p>
        </w:tc>
      </w:tr>
      <w:tr>
        <w:trPr/>
        <w:tc>
          <w:tcPr>
            <w:tcW w:w="1517" w:type="dxa"/>
            <w:tcBorders/>
          </w:tcPr>
          <w:p>
            <w:pPr>
              <w:pStyle w:val="Normal"/>
              <w:widowControl w:val="false"/>
              <w:spacing w:lineRule="auto" w:line="276" w:before="0" w:after="120"/>
              <w:rPr/>
            </w:pPr>
            <w:r>
              <w:rPr>
                <w:rFonts w:eastAsia="Times New Roman" w:cs="Times New Roman"/>
                <w:sz w:val="19"/>
              </w:rPr>
              <w:t>SD ↑</w:t>
            </w:r>
          </w:p>
        </w:tc>
        <w:tc>
          <w:tcPr>
            <w:tcW w:w="1516" w:type="dxa"/>
            <w:tcBorders/>
          </w:tcPr>
          <w:p>
            <w:pPr>
              <w:pStyle w:val="Normal"/>
              <w:widowControl w:val="false"/>
              <w:spacing w:lineRule="auto" w:line="276" w:before="0" w:after="120"/>
              <w:rPr/>
            </w:pPr>
            <w:r>
              <w:rPr>
                <w:rFonts w:eastAsia="Times New Roman" w:cs="Times New Roman"/>
                <w:b/>
                <w:sz w:val="19"/>
              </w:rPr>
              <w:t>0,117</w:t>
            </w:r>
          </w:p>
        </w:tc>
        <w:tc>
          <w:tcPr>
            <w:tcW w:w="1518" w:type="dxa"/>
            <w:tcBorders/>
          </w:tcPr>
          <w:p>
            <w:pPr>
              <w:pStyle w:val="Normal"/>
              <w:widowControl w:val="false"/>
              <w:spacing w:lineRule="auto" w:line="276" w:before="0" w:after="120"/>
              <w:rPr/>
            </w:pPr>
            <w:r>
              <w:rPr>
                <w:rFonts w:eastAsia="Times New Roman" w:cs="Times New Roman"/>
                <w:sz w:val="19"/>
              </w:rPr>
              <w:t>0,139</w:t>
            </w:r>
          </w:p>
        </w:tc>
        <w:tc>
          <w:tcPr>
            <w:tcW w:w="1517" w:type="dxa"/>
            <w:tcBorders/>
          </w:tcPr>
          <w:p>
            <w:pPr>
              <w:pStyle w:val="Normal"/>
              <w:widowControl w:val="false"/>
              <w:spacing w:lineRule="auto" w:line="276" w:before="0" w:after="120"/>
              <w:rPr/>
            </w:pPr>
            <w:r>
              <w:rPr>
                <w:rFonts w:eastAsia="Times New Roman" w:cs="Times New Roman"/>
                <w:sz w:val="19"/>
              </w:rPr>
              <w:t>0,155</w:t>
            </w:r>
          </w:p>
        </w:tc>
        <w:tc>
          <w:tcPr>
            <w:tcW w:w="1516" w:type="dxa"/>
            <w:tcBorders/>
          </w:tcPr>
          <w:p>
            <w:pPr>
              <w:pStyle w:val="Normal"/>
              <w:widowControl w:val="false"/>
              <w:spacing w:lineRule="auto" w:line="276" w:before="0" w:after="120"/>
              <w:rPr/>
            </w:pPr>
            <w:r>
              <w:rPr>
                <w:rFonts w:eastAsia="Times New Roman" w:cs="Times New Roman"/>
                <w:sz w:val="19"/>
              </w:rPr>
              <w:t>0,130</w:t>
            </w:r>
          </w:p>
        </w:tc>
        <w:tc>
          <w:tcPr>
            <w:tcW w:w="1518" w:type="dxa"/>
            <w:tcBorders/>
          </w:tcPr>
          <w:p>
            <w:pPr>
              <w:pStyle w:val="Normal"/>
              <w:widowControl w:val="false"/>
              <w:spacing w:lineRule="auto" w:line="276" w:before="0" w:after="120"/>
              <w:rPr/>
            </w:pPr>
            <w:r>
              <w:rPr>
                <w:rFonts w:eastAsia="Times New Roman" w:cs="Times New Roman"/>
                <w:sz w:val="19"/>
              </w:rPr>
              <w:t>0,120</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9. Propuesta Novedosa (PSO: r = 25, m = 0,070) frente a la metodología clásica Top-Hat y al estado del arte en las métricas estándar de calidad.</w:t>
      </w:r>
    </w:p>
    <w:p>
      <w:pPr>
        <w:pStyle w:val="Normal"/>
        <w:spacing w:lineRule="auto" w:line="360"/>
        <w:ind w:firstLine="709"/>
        <w:jc w:val="both"/>
        <w:rPr/>
      </w:pPr>
      <w:r>
        <w:rPr>
          <w:rFonts w:eastAsia="Times New Roman" w:cs="Times New Roman"/>
        </w:rPr>
        <w:t xml:space="preserve">La Figura 10 resume la optimización del método. El panel izquierdo muestra la convergencia del mejor global según el número de partículas (Tmax = 50): los enjambres grandes escapan del óptimo local r = 1 y alcanzan la aptitud máxima F = 1,9843. El panel derecho y la Tabla 11 sintetizan el barrido de 25 configuraciones: el óptimo global (r = 25, m = 0,070) es alcanzado por seis configuraciones y de forma consistente por los enjambres de 10 partículas con 30 o más iteraciones; la contribución de los elementos estructurantes lineales sobre el disco reside en la cobertura de orientaciones.</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10. Convergencia del PSO según el número de partículas (izq.) y aptitud del barrido de configuraciones (der.), sobre tres escenas representativas.</w:t>
      </w:r>
    </w:p>
    <w:p>
      <w:pPr>
        <w:pStyle w:val="Normal"/>
        <w:spacing w:lineRule="auto" w:line="276"/>
        <w:jc w:val="both"/>
        <w:rPr/>
      </w:pPr>
      <w:r>
        <w:rPr>
          <w:rFonts w:eastAsia="Times New Roman" w:cs="Times New Roman"/>
          <w:i/>
          <w:sz w:val="18"/>
        </w:rPr>
        <w:t>Tabla 11. Barrido de configuraciones del PSO: mejor aptitud F por combinación de partículas (n) e iteraciones (T).</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90"/>
        <w:gridCol w:w="1490"/>
        <w:gridCol w:w="1490"/>
        <w:gridCol w:w="1490"/>
        <w:gridCol w:w="1490"/>
        <w:gridCol w:w="1490"/>
      </w:tblGrid>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Partículas \ Iteraciones</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10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20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30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40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1,9686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1,9287</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1,9723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1,9728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1,9464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1,9799</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1,9839</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10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1,9822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r>
    </w:tbl>
    <w:p>
      <w:pPr>
        <w:pStyle w:val="Normal"/>
        <w:spacing w:lineRule="auto" w:line="276"/>
        <w:rPr/>
      </w:pPr>
      <w:r>
        <w:rPr/>
      </w:r>
    </w:p>
    <w:p>
      <w:pPr>
        <w:pStyle w:val="Heading2"/>
        <w:spacing w:before="240" w:after="120"/>
        <w:jc w:val="start"/>
        <w:rPr/>
      </w:pPr>
      <w:r>
        <w:rPr>
          <w:rFonts w:eastAsia="Times New Roman" w:cs="Times New Roman"/>
          <w:b/>
          <w:bCs/>
          <w:color w:val="000000"/>
          <w:sz w:val="24"/>
          <w:szCs w:val="26"/>
        </w:rPr>
        <w:t>5.7 Discusión integrada</w:t>
      </w:r>
    </w:p>
    <w:p>
      <w:pPr>
        <w:pStyle w:val="Normal"/>
        <w:spacing w:lineRule="auto" w:line="360" w:before="0" w:after="160"/>
        <w:ind w:firstLine="709"/>
        <w:jc w:val="both"/>
        <w:rPr/>
      </w:pPr>
      <w:r>
        <w:rPr>
          <w:rFonts w:eastAsia="Times New Roman" w:cs="Times New Roman"/>
        </w:rPr>
        <w:t xml:space="preserve">Los hallazgos cuantitativos pueden sintetizarse en cinco observaciones. Primero, la Propuesta Novedosa (r = 25, m = 0,070) exhibe el mejor perfil de calidad del benchmark: la menor tasa de artefactos (Nabf = 0,041, 2,7 veces menos que el mejor rival) y la mayor similitud estructural (SSIM = 0,782), quedando segunda en preservación de bordes (Qabf = 0,500), correlación (SCD = 1,450) y fidelidad visual (VIF = 0,368), a milésimas del líder de cada métrica, a costa de ceder contraste (SD, EN, SF). Segundo, no existe un método universalmente dominante: DTCWT lidera la preservación de bordes por una milésima, RP la correlación de diferencias y la pirámide de Laplace el contraste y la fidelidad perceptual (VIF); son óptimos de criterios distintos y complementarios. Tercero, la metodología clásica de la transformada Top-Hat evidencia el aporte de la propuesta: gana únicamente en las métricas de actividad bruta (EN, MG, SF) al costo del mayor nivel de artefactos del estudio (Nabf = 0,585) y la peor similitud estructural (SSIM = 0,578); la diferencia entre ambas aísla la contribución del banco disco + líneas y del ajuste (r, m) por PSO. Cuarto, las métricas de actividad e información premian el realce agresivo y deben reportarse junto a las de preservación de bordes y artefactos, pues por sí solas favorecerían al operador más ruidoso. Quinto, la evaluación orientada a tarea (detección sobre LLVIP) constituye un criterio complementario: toda fusión supera netamente al visible solo (+0,12 a +0,14 en mAP@0,5), el infrarrojo solo es la modalidad más fuerte (0,957) y entre las fusiones —en una banda estrecha de 0,926 a 0,949— la propuesta es competitiva (0,936) sin ser líder, lo que confirma que la superioridad en calidad de imagen no se traslada automáticamente a la detección.</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la metodología clásica de la transformada Top-Hat y con cinco métodos representativos del estado del arte (LP, RP, DWT, DTCWT y CVT)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 xml:space="preserve">La Propuesta Novedosa —con las respuestas lineales promediadas y sumadas a la del disco sobre una sola escala (PSO: r=25, m=0,070, seleccionado mediante un barrido de 25 configuraciones de enjambre)— logra el mejor perfil de calidad del benchmark: la menor tasa de artefactos (Nabf=0,041) y la mayor similitud estructural (SSIM=0,782), con preservación de bordes y correlación destacadas (Qabf=0,500; SCD=1,450). Supera a la metodología clásica Top-Hat en las siete métricas de calidad e información de forma estadísticamente significativa (Wilcoxon pareado con corrección de Holm: p ≤ 0,001; sección 5.6). En la evaluación de detección sobre LLVIP, toda fusión supera al visible solo (mAP@0,5 de 0,808 a 0,926–0,949) pero ninguna al infrarrojo solo (0,957), y la propuesta resulta competitiva (mAP@0,5 = 0,936), dentro de una banda estrecha de fusiones, sin ser la mejor: su ventaja en calidad de imagen no se traslada directamente a la tarea de detección, cuya estrategia óptima depende de la aplicación. Quedan así sostenidas las hipótesis H1 y H2, y solo parcialmente H3.</w:t>
      </w:r>
    </w:p>
    <w:p>
      <w:pPr>
        <w:pStyle w:val="ListParagraph"/>
        <w:numPr>
          <w:ilvl w:val="0"/>
          <w:numId w:val="3"/>
        </w:numPr>
        <w:spacing w:lineRule="auto" w:line="360" w:before="0" w:after="100"/>
        <w:ind w:firstLine="709"/>
        <w:jc w:val="both"/>
        <w:rPr/>
      </w:pPr>
      <w:r>
        <w:rPr>
          <w:rFonts w:eastAsia="Times New Roman" w:cs="Times New Roman"/>
        </w:rPr>
        <w:t>Entre los métodos del estado del arte no hay dominancia global: DTCWT es el rival más equilibrado (Qabf=0,501; SSIM=0,739), RP lidera la correlación de diferencias (SCD=1,468) y la pirámide de Laplace conserva la ventaja en contraste y fidelidad perceptual (VIF=0,410); la elección del comparativo altera el podio según la métrica priorizada, lo que refuerza la necesidad de evaluar con familias de métricas complementarias.</w:t>
      </w:r>
    </w:p>
    <w:p>
      <w:pPr>
        <w:pStyle w:val="ListParagraph"/>
        <w:numPr>
          <w:ilvl w:val="0"/>
          <w:numId w:val="3"/>
        </w:numPr>
        <w:spacing w:lineRule="auto" w:line="360" w:before="0" w:after="100"/>
        <w:ind w:firstLine="709"/>
        <w:jc w:val="both"/>
        <w:rPr/>
      </w:pPr>
      <w:r>
        <w:rPr>
          <w:rFonts w:eastAsia="Times New Roman" w:cs="Times New Roman"/>
        </w:rPr>
        <w:t>La pirámide de Laplace presenta el mejor ranking global agregado (3,17 sobre los 7 métodos), sostenido por su ventaja en contraste (SD) y fidelidad perceptual (VIF); no domina, en cambio, en limpieza ni en fidelidad estructural, donde la propuesta la supera de forma estadísticamente significativa. Curvelet y DWT, al penalizarse sus artefactos (Nabf), quedan relegados pese a su buena preservación de bordes.</w:t>
      </w:r>
    </w:p>
    <w:p>
      <w:pPr>
        <w:pStyle w:val="ListParagraph"/>
        <w:numPr>
          <w:ilvl w:val="0"/>
          <w:numId w:val="3"/>
        </w:numPr>
        <w:spacing w:lineRule="auto" w:line="360" w:before="0" w:after="100"/>
        <w:ind w:firstLine="709"/>
        <w:jc w:val="both"/>
        <w:rPr/>
      </w:pPr>
      <w:r>
        <w:rPr>
          <w:rFonts w:eastAsia="Times New Roman" w:cs="Times New Roman"/>
          <w:sz w:val="24"/>
          <w:szCs w:val="24"/>
        </w:rPr>
        <w:t>La métrica de información mutua (MI) está sesgada a favor del promedio simple, dado que la combinación lineal preserva trivialmente contenido de ambas fuentes. Este hallazgo invita a reportar MI siempre acompañada de métricas de calidad global y a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geometría del elemento estructurante introduce diferencias modestas: el disco tiende a maximizar EN, SD y FE; la cruz preserva ligeramente mejor la información mutua entre las configuraciones morfológicas; el cuadrado se sitúa en una posición intermedia.</w:t>
      </w:r>
    </w:p>
    <w:p>
      <w:pPr>
        <w:pStyle w:val="ListParagraph"/>
        <w:numPr>
          <w:ilvl w:val="0"/>
          <w:numId w:val="3"/>
        </w:numPr>
        <w:spacing w:lineRule="auto" w:line="360" w:before="0" w:after="100"/>
        <w:ind w:firstLine="709"/>
        <w:jc w:val="both"/>
        <w:rPr/>
      </w:pPr>
      <w:r>
        <w:rPr>
          <w:rFonts w:eastAsia="Times New Roman" w:cs="Times New Roman"/>
          <w:sz w:val="24"/>
          <w:szCs w:val="24"/>
        </w:rPr>
        <w:t>La profundidad de descomposición (L) y el radio base (r₀) tienen efectos complementarios: mayor profundidad incrementa entropía y contraste; menor radio preserva mejor el gradiente.</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es altamente significativa (p &lt; 0,001) en las doce métricas, y las comparaciones pareadas Wilcoxon con corrección de Holm corroboran las superioridades específicas reportadas (ganancia en SSIM y SCD frente a Laplace, paridad en Qabf y Nabf).</w:t>
      </w:r>
    </w:p>
    <w:p>
      <w:pPr>
        <w:pStyle w:val="ListParagraph"/>
        <w:numPr>
          <w:ilvl w:val="0"/>
          <w:numId w:val="3"/>
        </w:numPr>
        <w:spacing w:lineRule="auto" w:line="360"/>
        <w:ind w:firstLine="709"/>
        <w:jc w:val="both"/>
        <w:rPr/>
      </w:pPr>
      <w:r>
        <w:rPr>
          <w:rFonts w:eastAsia="Times New Roman" w:cs="Times New Roman"/>
        </w:rPr>
        <w:t>La variante con Black Top-Hat no se recomienda como configuración por defecto: aunque incrementa el contraste y la actividad (EN, SD, SF, MG), degrada significativamente la calidad de la fusión (Qabf, SSIM, VIF, MI) y multiplica los artefactos (Nabf ×5). El detalle oscuro que añade es en gran parte ruido no presente en las fuentes.</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capturar valles oscuros sin introducir los artefactos observados en la variante WTH+BTH directa.</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priman la fidelidad estructural, la preservación de bordes y la ausencia de artefactos, emplear la Propuesta Novedosa (r = 25, m = 0,070), que registra la menor tasa de artefactos (Nabf) y la mayor similitud estructural (SSIM) del benchmark; para un balance que privilegie el contraste global, la pirámide de Laplace sigue siendo una opción sólida; y la metodología clásica Top-Hat ofrece un punto de partida interpretable y de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del promedio simple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w:t>
      </w:r>
    </w:p>
    <w:p>
      <w:pPr>
        <w:pStyle w:val="Normal"/>
        <w:spacing w:lineRule="auto" w:line="360" w:before="0" w:after="160"/>
        <w:ind w:firstLine="709"/>
        <w:jc w:val="both"/>
        <w:rPr/>
      </w:pPr>
      <w:r>
        <w:rPr>
          <w:rFonts w:eastAsia="Times New Roman" w:cs="Times New Roman"/>
          <w:sz w:val="24"/>
          <w:szCs w:val="24"/>
        </w:rPr>
        <w:t>Bai, X. (2013). Morphological image fusion using the extracted image regions and details based on multi-scale top-hat transform and toggle contrast operator. Digital Signal Processing, 23(1), 244–263.</w:t>
      </w:r>
    </w:p>
    <w:p>
      <w:pPr>
        <w:pStyle w:val="Normal"/>
        <w:spacing w:lineRule="auto" w:line="360" w:before="0" w:after="160"/>
        <w:ind w:firstLine="709"/>
        <w:jc w:val="both"/>
        <w:rPr/>
      </w:pPr>
      <w:r>
        <w:rPr>
          <w:rFonts w:eastAsia="Times New Roman" w:cs="Times New Roman"/>
          <w:sz w:val="24"/>
          <w:szCs w:val="24"/>
        </w:rPr>
        <w:t>Bai, X., Zhou, F., y Xue, B. (2015). Image enhancement using multi-scale image features extracted by top-hat transform. Optics &amp; Laser Technology, 65, 145–150.</w:t>
      </w:r>
    </w:p>
    <w:p>
      <w:pPr>
        <w:pStyle w:val="Normal"/>
        <w:spacing w:lineRule="auto" w:line="360" w:before="0" w:after="160"/>
        <w:ind w:firstLine="709"/>
        <w:jc w:val="both"/>
        <w:rPr/>
      </w:pPr>
      <w:commentRangeStart w:id="4"/>
      <w:r>
        <w:rPr>
          <w:rFonts w:eastAsia="Times New Roman" w:cs="Times New Roman"/>
          <w:sz w:val="24"/>
          <w:szCs w:val="24"/>
        </w:rPr>
        <w:t>Bala, A. A., Aruna Priya, P., y Maik, V. (2024). Hybrid technique for fundus image enhancement using modified morphological filter and denoising net. The Journal of Supercomputing, 80, 13317–13340. https://doi.org/10.1007/s11227-024-05952-x</w:t>
      </w:r>
      <w:commentRangeEnd w:id="4"/>
      <w:r>
        <w:commentReference w:id="4"/>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3496–3504.</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Mukhopadhyay, S., y Chanda, B. (2001). A multi-scale morphological approach to local contrast enhancement. Signal Processing, 80(4), 685–696.</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w:t>
      </w:r>
    </w:p>
    <w:p>
      <w:pPr>
        <w:pStyle w:val="Normal"/>
        <w:spacing w:lineRule="auto" w:line="360"/>
        <w:ind w:firstLine="709"/>
        <w:jc w:val="both"/>
        <w:rPr/>
      </w:pPr>
      <w:r>
        <w:rPr>
          <w:rFonts w:eastAsia="Times New Roman" w:cs="Times New Roman"/>
        </w:rPr>
        <w:t xml:space="preserve">Román, J. C. M., Vázquez Noguera, J. L., y Legal-Ayala, H. (2020). A multiscale morphological method for visible and infrared images fusion. Proceedings of the 2020 XLVI Latin American Computing Conference (CLEI), 488–495. IEEE.</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 xml:space="preserve">Toet, A. (1989). Image fusion by a ratio of low-pass pyramid. Pattern Recognition Letters, 9(4), 245–253.</w:t>
      </w:r>
    </w:p>
    <w:p>
      <w:pPr>
        <w:pStyle w:val="Normal"/>
        <w:spacing w:lineRule="auto" w:line="360" w:before="0" w:after="160"/>
        <w:ind w:firstLine="709"/>
        <w:jc w:val="both"/>
        <w:rPr/>
      </w:pPr>
      <w:r>
        <w:rPr>
          <w:rFonts w:eastAsia="Times New Roman" w:cs="Times New Roman"/>
          <w:sz w:val="24"/>
          <w:szCs w:val="24"/>
        </w:rPr>
        <w:t>Toet, A. (2014). The TNO multiband image data collection. Data in Brief, 4, 187–192.</w:t>
      </w:r>
    </w:p>
    <w:p>
      <w:pPr>
        <w:pStyle w:val="Normal"/>
        <w:spacing w:lineRule="auto" w:line="360" w:before="0" w:after="160"/>
        <w:ind w:firstLine="709"/>
        <w:jc w:val="both"/>
        <w:rPr/>
      </w:pPr>
      <w:r>
        <w:rPr>
          <w:rFonts w:eastAsia="Times New Roman" w:cs="Times New Roman"/>
          <w:sz w:val="24"/>
          <w:szCs w:val="24"/>
        </w:rPr>
        <w:t>Wang, J., Peng, J., Feng, X., He, G., y Fan, J. (2017). Fusion method for infrared and visible images by using non-negative sparse representation. Infrared Physics &amp; Technology, 80, 1–9.</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(optimal_top_hat.py para la propuesta —operador de suma de ramas, función fuse_optimal— y comparatives.py para los seis métodos comparativos: LP, RP, DWT, DTCWT, CVT y la fusión Top-Hat clásica), src/metrics/evaluators.py (las dieciséis métricas), src/utils/ (entrada/salida y visualización), experiments/run_all_fusions.py (benchmark inter-método), experiments/run_stats_analysis.py (Friedman, Wilcoxon con Holm y ranking), experiments/pso_grid_search.py (barrido de 25 configuraciones del PSO), experiments/detection_llvip/ (preparación y entrenamiento mAP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barrido PSO</w:t>
      </w:r>
    </w:p>
    <w:p>
      <w:pPr>
        <w:pStyle w:val="Normal"/>
        <w:spacing w:lineRule="auto" w:line="360" w:before="0" w:after="160"/>
        <w:ind w:firstLine="709"/>
        <w:jc w:val="both"/>
        <w:rPr/>
      </w:pPr>
      <w:r>
        <w:rPr>
          <w:rFonts w:eastAsia="Times New Roman" w:cs="Times New Roman"/>
          <w:sz w:val="24"/>
          <w:szCs w:val="24"/>
        </w:rPr>
        <w:t>Las 36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Número de partículas del enjambre: 2, 4, 6, 8, 10.</w:t>
      </w:r>
    </w:p>
    <w:p>
      <w:pPr>
        <w:pStyle w:val="ListParagraph"/>
        <w:numPr>
          <w:ilvl w:val="0"/>
          <w:numId w:val="4"/>
        </w:numPr>
        <w:spacing w:lineRule="auto" w:line="360" w:before="0" w:after="100"/>
        <w:ind w:firstLine="709"/>
        <w:jc w:val="both"/>
        <w:rPr/>
      </w:pPr>
      <w:r>
        <w:rPr>
          <w:rFonts w:eastAsia="Times New Roman" w:cs="Times New Roman"/>
          <w:sz w:val="24"/>
          <w:szCs w:val="24"/>
        </w:rPr>
        <w:t>Número de iteraciones: 10, 20, 30, 40, 50.</w:t>
      </w:r>
    </w:p>
    <w:p>
      <w:pPr>
        <w:pStyle w:val="ListParagraph"/>
        <w:numPr>
          <w:ilvl w:val="0"/>
          <w:numId w:val="4"/>
        </w:numPr>
        <w:spacing w:lineRule="auto" w:line="276" w:before="0" w:after="100"/>
        <w:jc w:val="both"/>
        <w:rPr/>
      </w:pPr>
      <w:r>
        <w:rPr>
          <w:rFonts w:eastAsia="Times New Roman" w:cs="Times New Roman"/>
          <w:sz w:val="24"/>
          <w:szCs w:val="24"/>
        </w:rPr>
        <w:t>Espacio de búsqueda: r ∈ [1, 25]; m ∈ [0,05; 1,20].</w:t>
      </w:r>
    </w:p>
    <w:p>
      <w:pPr>
        <w:pStyle w:val="Normal"/>
        <w:spacing w:lineRule="auto" w:line="360" w:before="0" w:after="160"/>
        <w:ind w:firstLine="709"/>
        <w:jc w:val="both"/>
        <w:rPr/>
      </w:pPr>
      <w:r>
        <w:rPr>
          <w:rFonts w:eastAsia="Times New Roman" w:cs="Times New Roman"/>
          <w:sz w:val="24"/>
          <w:szCs w:val="24"/>
        </w:rPr>
        <w:t>Cada combinación del barrido ejecuta una corrida PSO independiente con semilla propia (25 corridas, 4.500 evaluaciones de fusión en total). El estado completo y reanudable se conserva en experiments/results/pso/pso_grid_state.json y la tabla resumen en experiments/results/metrics_reports/pso_grid_search.csv.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120 contrastes Wilcoxon (2 métodos morfológicos × 5 métodos del estado del arte × 12 métricas), más el contraste directo entre la propuesta y el operador clásico,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48 contrastes de la propuesta central frente al método anterior y a los baselines (12 métricas × 4 rivales,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fusión Top-Hat clásica</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radio r del disco (r = 5). Salida: imagen fusionada F. 1. I_base ← (f_VIS + f_IR)/2. 2. Para cada fuente S: WTH_S ← S − apertura(S, disco(r)); BTH_S ← cierre(S, disco(r)) − S. 3. WTH_max ← máx(WTH_VIS, WTH_IR); BTH_max ← máx(BTH_VIS, BTH_IR). 4. F ← recortar(I_base + WTH_max − BTH_max, [0,1]).</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WTH_lin + WTH_disco                      # ec. (9)</w:t>
      </w:r>
    </w:p>
    <w:p>
      <w:pPr>
        <w:pStyle w:val="Normal"/>
        <w:spacing w:lineRule="auto" w:line="276" w:before="0" w:after="0"/>
        <w:rPr/>
      </w:pPr>
      <w:r>
        <w:rPr>
          <w:rFonts w:eastAsia="Times New Roman" w:cs="Times New Roman"/>
          <w:sz w:val="17"/>
        </w:rPr>
        <w:t xml:space="preserve">    Iopt_bot[S] &lt;- BTH_lin +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(barrido de 25 configuraciones) -&gt; r = 25, m = 0,0703</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suma a la del disco sobre una sola escala —sin descomposición multiescala ni diferencias en cascada— y optimiza (r, m) por PSO mediante un barrido de 25 configuraciones de enjambre, con óptimo r = 25, m = 0,0703. Su implementación de referencia es src/fusion/optimal_top_hat.py (función fuse_optimal, modo 'sum').</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versión definitiva, reportada en los resultados de esta tesis, distingue las dos clases de capas: las L capas de detalle WTH se fusionan por máxima actividad local; la capa base se fusiona por promedio simple.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exhaustivo (720 fusiones)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07-03T18:13:39Z" w:initials="C">
    <w:p>
      <w:pPr>
        <w:overflowPunct w:val="false"/>
        <w:spacing w:before="0" w:after="0" w:lineRule="auto" w:line="240"/>
        <w:jc w:val="start"/>
        <w:rPr/>
      </w:pPr>
      <w:r>
        <w:annotationRef/>
      </w:r>
      <w:r>
        <w:rPr>
          <w:color w:val="000000"/>
          <w:sz w:val="20"/>
          <w:szCs w:val="20"/>
        </w:rPr>
        <w:t>Actualizar la paginacion del indice y de las listas tras aceptar los cambios (el indice es texto estatico; se recomienda regenerarlo como indice automatico de Word). Se inserto 1.5 Hipotesis y se renumeraron 1.6 Limitaciones y 1.7 Alcance.</w:t>
      </w:r>
    </w:p>
  </w:comment>
  <w:comment w:id="1" w:author="Claude" w:date="2026-07-03T18:13:38Z" w:initials="C">
    <w:p>
      <w:pPr>
        <w:overflowPunct w:val="false"/>
        <w:spacing w:before="0" w:after="0" w:lineRule="auto" w:line="240"/>
        <w:jc w:val="start"/>
        <w:rPr/>
      </w:pPr>
      <w:r>
        <w:annotationRef/>
      </w:r>
      <w:r>
        <w:rPr>
          <w:color w:val="000000"/>
          <w:sz w:val="20"/>
          <w:szCs w:val="20"/>
        </w:rPr>
        <w:t>Se reubico el cuerpo de la tabla debajo de este titulo; antes quedaba huerfano al final de la seccion 5.7.1, despues de la Tabla 8b.</w:t>
      </w:r>
    </w:p>
  </w:comment>
  <w:comment w:id="2" w:author="Claude" w:date="2026-07-03T18:13:38Z" w:initials="C">
    <w:p>
      <w:pPr>
        <w:overflowPunct w:val="false"/>
        <w:spacing w:before="0" w:after="0" w:lineRule="auto" w:line="240"/>
        <w:jc w:val="start"/>
        <w:rPr/>
      </w:pPr>
      <w:r>
        <w:annotationRef/>
      </w:r>
      <w:r>
        <w:rPr>
          <w:color w:val="000000"/>
          <w:sz w:val="20"/>
          <w:szCs w:val="20"/>
        </w:rPr>
        <w:t>La fila Fusion Top-Hat de la Tabla 8 agrupa las 4 configuraciones de la Torre + el optimo monoescala del avance (33+5=38 detecciones; 13+2=15 personas). Verificar ademas la frase sobre la confianza media mas alta: por metodo, Top-Hat disco L3 (0,53) y Laplace (0,54) superan al optimo multiescala (0,51); el empate se da solo a nivel de grupos.</w:t>
      </w:r>
    </w:p>
  </w:comment>
  <w:comment w:id="3" w:author="Claude" w:date="2026-07-03T18:13:39Z" w:initials="C">
    <w:p>
      <w:pPr>
        <w:overflowPunct w:val="false"/>
        <w:spacing w:before="0" w:after="0" w:lineRule="auto" w:line="240"/>
        <w:jc w:val="start"/>
        <w:rPr/>
      </w:pPr>
      <w:r>
        <w:annotationRef/>
      </w:r>
      <w:r>
        <w:rPr>
          <w:color w:val="000000"/>
          <w:sz w:val="20"/>
          <w:szCs w:val="20"/>
        </w:rPr>
        <w:t>Se reubico el cuerpo de la tabla debajo de este titulo; antes aparecia despues de la Tabla 10, sin rotulo.</w:t>
      </w:r>
    </w:p>
  </w:comment>
  <w:comment w:id="4" w:author="Claude" w:date="2026-07-03T18:13:38Z" w:initials="C">
    <w:p>
      <w:pPr>
        <w:overflowPunct w:val="false"/>
        <w:spacing w:before="0" w:after="0" w:lineRule="auto" w:line="240"/>
        <w:jc w:val="start"/>
        <w:rPr/>
      </w:pPr>
      <w:r>
        <w:annotationRef/>
      </w:r>
      <w:r>
        <w:rPr>
          <w:color w:val="000000"/>
          <w:sz w:val="20"/>
          <w:szCs w:val="20"/>
        </w:rPr>
        <w:t>Bibliografia completada y verificada contra los PDF fuente (Bala 2024, Tao 2010, Malviya y Saxena 2014). La cita "Neha et al. 2014" se elimino: la referencia [132] del review de Singh apunta a un paper equivocado (era nombre de pila, cita rota en el propio review). PENDIENTE: solo el venue/DOI de Roman et al. 2024 (consultar al director, es coautor).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