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edge content (EN=6.9888; FE=1.1045) and ranks second in contrast, mean gradient and spatial frequency (SD=0.1477; MG=0.0353; SF=17.3435), with a statistically significant advantage over the five state-of-the-art methods in EN, FE, MG and SF; it yields, in turn, on the fidelity metrics (SSIM=0.6677; PSNR=17.2546) and on mutual information, led by the multiscale methods. In the aggregate ranking over the nine metrics it ranks second (3.67), behind the Laplacian pyramid (3.44). As a task-oriented evaluation, retraining a detector (YOLOv8n) on the labeled LLVIP dataset shows that every fusion clearly outperforms the visible modality alone (mAP@0.5 from 0.81 to 0.91–0.95), although the infrared alone remains the strongest modality (0.957) and the proposal falls at the lower end of the fusion band (0.913), evidencing that the enhancement rewarded by activity metrics does not transfer to detection. In a complementary experiment on M3FD, with two classes of opposite visibility (people/IR and lamps/VIS) and a single detector trained on both modalities, every fusion detects both classes in a single image —which the infrared alone cannot— and the Ratio Pyramid attains the best complementary-pair average (0.165), while the proposal reaches an intermediate value (0.124).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62</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71</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el orden del ranking no cambia y la propuesta sigue primera (3,63 frente a 3,99 de la pirámide de Laplace).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el orden no cambia y la propuesta sigue primera (3,63 frente a 3,99 de la pirámide de Laplace).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quedan sostenidas H1 y H2.</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el orden no cambia y la propuesta sigue primera (3,631 frente a 3,994 de la pirámide de Laplace), de modo que la redundancia no explica su primer lugar.</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las hipótesis H1 y H2, mientras que H3 no se sostiene para la configuración adoptada: una mejor calidad de imagen medida por actividad no implica un mejor desempeño de detección,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(SSIM=0,739), la pirámide de Laplace el contraste (SD=0,155)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la fidelidad estructural (SSIM) y la información mutua con las fuentes (MI).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5802–5811.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(9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