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22"/>
          <w:szCs w:val="22"/>
        </w:rPr>
      </w:pPr>
      <w:bookmarkStart w:colFirst="0" w:colLast="0" w:name="_heading=h.qxb9kodzcjso" w:id="0"/>
      <w:bookmarkEnd w:id="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492213" cy="1545558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4800" l="3679" r="10631" t="11200"/>
                    <a:stretch>
                      <a:fillRect/>
                    </a:stretch>
                  </pic:blipFill>
                  <pic:spPr>
                    <a:xfrm>
                      <a:off x="0" y="0"/>
                      <a:ext cx="2492213" cy="1545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3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18 a 20 | Tempo estimado: 1 hora e 30 minutos | Web Starter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5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Montar a estrutura do html</w:t>
      </w:r>
    </w:p>
    <w:p w:rsidR="00000000" w:rsidDel="00000000" w:rsidP="00000000" w:rsidRDefault="00000000" w:rsidRPr="00000000" w14:paraId="0000000A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Montar a estrutura do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Na aula de hoje, os alunos deverão: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Início do projeto (HTML):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Montar a estrutura inicial do site utilizando HTML.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Desenvolver a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navbar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footer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e a seção de introdução/apresentação do site.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Segunda seção ou página: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Iniciar o desenvolvimento da segunda parte do site, como por exemplo, uma seção de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produtos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serviços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ou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galeria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Terceira seção complementar: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Criar mais uma seção do site, que pode conter: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Um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slide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 imagens ou destaques;</w:t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Uma área de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avaliações/testemunhos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Qualquer outra funcionalidade relevante ao projeto.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Objetivo: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Estruturar o esqueleto do site e dar forma às primeiras partes visuais e funcionais, com foco em organização, clareza e identidade do projeto.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hHMVgwRDP02zyRtvyb7PW3UvLw==">CgMxLjAyDmgucXhiOWtvZHpjanNvOAByITEzWEhJU1E1dW9wZE9UR2czYS1uTUNsbl9vQ1YyOXlsdw==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