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Quicksand" w:cs="Quicksand" w:eastAsia="Quicksand" w:hAnsi="Quicksand"/>
          <w:b w:val="1"/>
        </w:rPr>
      </w:pPr>
      <w:r w:rsidDel="00000000" w:rsidR="00000000" w:rsidRPr="00000000">
        <w:rPr>
          <w:rFonts w:ascii="Quicksand" w:cs="Quicksand" w:eastAsia="Quicksand" w:hAnsi="Quicksand"/>
          <w:b w:val="1"/>
          <w:rtl w:val="0"/>
        </w:rPr>
        <w:t xml:space="preserve">PLANO DE AULA</w:t>
      </w:r>
    </w:p>
    <w:p w:rsidR="00000000" w:rsidDel="00000000" w:rsidP="00000000" w:rsidRDefault="00000000" w:rsidRPr="00000000" w14:paraId="00000002">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Aula 22 | Tempo estimado: 1 hora e 30 minutos | Web Starter</w:t>
      </w:r>
    </w:p>
    <w:p w:rsidR="00000000" w:rsidDel="00000000" w:rsidP="00000000" w:rsidRDefault="00000000" w:rsidRPr="00000000" w14:paraId="00000003">
      <w:pPr>
        <w:rPr>
          <w:rFonts w:ascii="Quicksand" w:cs="Quicksand" w:eastAsia="Quicksand" w:hAnsi="Quicksand"/>
        </w:rPr>
      </w:pPr>
      <w:r w:rsidDel="00000000" w:rsidR="00000000" w:rsidRPr="00000000">
        <w:rPr>
          <w:rFonts w:ascii="Quicksand SemiBold" w:cs="Quicksand SemiBold" w:eastAsia="Quicksand SemiBold" w:hAnsi="Quicksand SemiBold"/>
          <w:rtl w:val="0"/>
        </w:rPr>
        <w:t xml:space="preserve">Tipo da atividade:</w:t>
      </w:r>
      <w:r w:rsidDel="00000000" w:rsidR="00000000" w:rsidRPr="00000000">
        <w:rPr>
          <w:rFonts w:ascii="Quicksand" w:cs="Quicksand" w:eastAsia="Quicksand" w:hAnsi="Quicksand"/>
          <w:rtl w:val="0"/>
        </w:rPr>
        <w:t xml:space="preserve"> Offline</w:t>
      </w:r>
    </w:p>
    <w:p w:rsidR="00000000" w:rsidDel="00000000" w:rsidP="00000000" w:rsidRDefault="00000000" w:rsidRPr="00000000" w14:paraId="00000004">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Ferramenta(s):</w:t>
      </w:r>
      <w:r w:rsidDel="00000000" w:rsidR="00000000" w:rsidRPr="00000000">
        <w:rPr>
          <w:rFonts w:ascii="Quicksand" w:cs="Quicksand" w:eastAsia="Quicksand" w:hAnsi="Quicksand"/>
          <w:rtl w:val="0"/>
        </w:rPr>
        <w:t xml:space="preserve"> Computador, Git, nodeJS e VS Code</w:t>
      </w:r>
      <w:r w:rsidDel="00000000" w:rsidR="00000000" w:rsidRPr="00000000">
        <w:rPr>
          <w:rtl w:val="0"/>
        </w:rPr>
      </w:r>
    </w:p>
    <w:p w:rsidR="00000000" w:rsidDel="00000000" w:rsidP="00000000" w:rsidRDefault="00000000" w:rsidRPr="00000000" w14:paraId="00000005">
      <w:pPr>
        <w:rPr>
          <w:rFonts w:ascii="Quicksand SemiBold" w:cs="Quicksand SemiBold" w:eastAsia="Quicksand SemiBold" w:hAnsi="Quicksand SemiBold"/>
        </w:rPr>
      </w:pPr>
      <w:r w:rsidDel="00000000" w:rsidR="00000000" w:rsidRPr="00000000">
        <w:rPr>
          <w:rtl w:val="0"/>
        </w:rPr>
      </w:r>
    </w:p>
    <w:p w:rsidR="00000000" w:rsidDel="00000000" w:rsidP="00000000" w:rsidRDefault="00000000" w:rsidRPr="00000000" w14:paraId="00000006">
      <w:pPr>
        <w:rPr>
          <w:rFonts w:ascii="Quicksand SemiBold" w:cs="Quicksand SemiBold" w:eastAsia="Quicksand SemiBold" w:hAnsi="Quicksand SemiBold"/>
        </w:rPr>
      </w:pPr>
      <w:r w:rsidDel="00000000" w:rsidR="00000000" w:rsidRPr="00000000">
        <w:rPr>
          <w:rtl w:val="0"/>
        </w:rPr>
      </w:r>
    </w:p>
    <w:p w:rsidR="00000000" w:rsidDel="00000000" w:rsidP="00000000" w:rsidRDefault="00000000" w:rsidRPr="00000000" w14:paraId="00000007">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Conteúdos</w:t>
      </w:r>
    </w:p>
    <w:p w:rsidR="00000000" w:rsidDel="00000000" w:rsidP="00000000" w:rsidRDefault="00000000" w:rsidRPr="00000000" w14:paraId="00000008">
      <w:pPr>
        <w:numPr>
          <w:ilvl w:val="0"/>
          <w:numId w:val="6"/>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Contexto API.</w:t>
      </w:r>
    </w:p>
    <w:p w:rsidR="00000000" w:rsidDel="00000000" w:rsidP="00000000" w:rsidRDefault="00000000" w:rsidRPr="00000000" w14:paraId="00000009">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0A">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0B">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Objetivos</w:t>
      </w:r>
    </w:p>
    <w:p w:rsidR="00000000" w:rsidDel="00000000" w:rsidP="00000000" w:rsidRDefault="00000000" w:rsidRPr="00000000" w14:paraId="0000000C">
      <w:pPr>
        <w:numPr>
          <w:ilvl w:val="0"/>
          <w:numId w:val="3"/>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Aprender sobre contextos.</w:t>
      </w:r>
    </w:p>
    <w:p w:rsidR="00000000" w:rsidDel="00000000" w:rsidP="00000000" w:rsidRDefault="00000000" w:rsidRPr="00000000" w14:paraId="0000000D">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0E">
      <w:pPr>
        <w:rPr>
          <w:rFonts w:ascii="Quicksand" w:cs="Quicksand" w:eastAsia="Quicksand" w:hAnsi="Quicksand"/>
        </w:rPr>
      </w:pPr>
      <w:r w:rsidDel="00000000" w:rsidR="00000000" w:rsidRPr="00000000">
        <w:rPr>
          <w:rtl w:val="0"/>
        </w:rPr>
      </w:r>
    </w:p>
    <w:p w:rsidR="00000000" w:rsidDel="00000000" w:rsidP="00000000" w:rsidRDefault="00000000" w:rsidRPr="00000000" w14:paraId="0000000F">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Estratégias e atividades</w:t>
      </w:r>
    </w:p>
    <w:p w:rsidR="00000000" w:rsidDel="00000000" w:rsidP="00000000" w:rsidRDefault="00000000" w:rsidRPr="00000000" w14:paraId="00000010">
      <w:pPr>
        <w:numPr>
          <w:ilvl w:val="0"/>
          <w:numId w:val="5"/>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Criar um CRUD local que usa o contexto para salvar as anotações.</w:t>
      </w:r>
    </w:p>
    <w:p w:rsidR="00000000" w:rsidDel="00000000" w:rsidP="00000000" w:rsidRDefault="00000000" w:rsidRPr="00000000" w14:paraId="00000011">
      <w:pPr>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12">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Hoje vamos aprender como criar um contexto. O contexto nada mais é que um jeito diferente de salvar os estados. Para ele funcionar, nós precisamos entender sobre como funcionam os Contextos. Eles são camadas de código que podem armazenar os estados, fazendo com que todos os componentes dentro dele não precisem ficar passando os dados como props, podem pegar direto do contexto:</w:t>
      </w:r>
    </w:p>
    <w:p w:rsidR="00000000" w:rsidDel="00000000" w:rsidP="00000000" w:rsidRDefault="00000000" w:rsidRPr="00000000" w14:paraId="00000013">
      <w:pPr>
        <w:ind w:left="72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4586288" cy="3009275"/>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586288" cy="30092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15">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Agora, vamos entender o que será feito. Nós vamos criar um contexto para a nossa página de anotações. Ele será responsável por interagir tanto o formulário quanto os cards:</w:t>
        <w:br w:type="textWrapping"/>
      </w:r>
      <w:r w:rsidDel="00000000" w:rsidR="00000000" w:rsidRPr="00000000">
        <w:rPr>
          <w:rFonts w:ascii="Quicksand" w:cs="Quicksand" w:eastAsia="Quicksand" w:hAnsi="Quicksand"/>
        </w:rPr>
        <w:drawing>
          <wp:inline distB="114300" distT="114300" distL="114300" distR="114300">
            <wp:extent cx="4329113" cy="3617182"/>
            <wp:effectExtent b="0" l="0" r="0" t="0"/>
            <wp:docPr id="8" name="image3.png"/>
            <a:graphic>
              <a:graphicData uri="http://schemas.openxmlformats.org/drawingml/2006/picture">
                <pic:pic>
                  <pic:nvPicPr>
                    <pic:cNvPr id="0" name="image3.png"/>
                    <pic:cNvPicPr preferRelativeResize="0"/>
                  </pic:nvPicPr>
                  <pic:blipFill>
                    <a:blip r:embed="rId7"/>
                    <a:srcRect b="0" l="0" r="0" t="3152"/>
                    <a:stretch>
                      <a:fillRect/>
                    </a:stretch>
                  </pic:blipFill>
                  <pic:spPr>
                    <a:xfrm>
                      <a:off x="0" y="0"/>
                      <a:ext cx="4329113" cy="3617182"/>
                    </a:xfrm>
                    <a:prstGeom prst="rect"/>
                    <a:ln/>
                  </pic:spPr>
                </pic:pic>
              </a:graphicData>
            </a:graphic>
          </wp:inline>
        </w:drawing>
      </w:r>
      <w:r w:rsidDel="00000000" w:rsidR="00000000" w:rsidRPr="00000000">
        <w:rPr>
          <w:rFonts w:ascii="Quicksand" w:cs="Quicksand" w:eastAsia="Quicksand" w:hAnsi="Quicksand"/>
          <w:rtl w:val="0"/>
        </w:rPr>
        <w:br w:type="textWrapping"/>
        <w:t xml:space="preserve"> </w:t>
      </w:r>
    </w:p>
    <w:p w:rsidR="00000000" w:rsidDel="00000000" w:rsidP="00000000" w:rsidRDefault="00000000" w:rsidRPr="00000000" w14:paraId="00000016">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Primeiro de tudo, vamos criar funções em JavaScript que vão nos ajudar como </w:t>
      </w:r>
      <w:r w:rsidDel="00000000" w:rsidR="00000000" w:rsidRPr="00000000">
        <w:rPr>
          <w:rFonts w:ascii="Quicksand" w:cs="Quicksand" w:eastAsia="Quicksand" w:hAnsi="Quicksand"/>
          <w:i w:val="1"/>
          <w:rtl w:val="0"/>
        </w:rPr>
        <w:t xml:space="preserve">helpers</w:t>
      </w:r>
      <w:r w:rsidDel="00000000" w:rsidR="00000000" w:rsidRPr="00000000">
        <w:rPr>
          <w:rFonts w:ascii="Quicksand" w:cs="Quicksand" w:eastAsia="Quicksand" w:hAnsi="Quicksand"/>
          <w:rtl w:val="0"/>
        </w:rPr>
        <w:t xml:space="preserve">:</w:t>
      </w:r>
    </w:p>
    <w:p w:rsidR="00000000" w:rsidDel="00000000" w:rsidP="00000000" w:rsidRDefault="00000000" w:rsidRPr="00000000" w14:paraId="00000017">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A primeira é para criar as datas no formato do Brasil, então é só chamar a função, e temos o horário de Brasília.</w:t>
        <w:br w:type="textWrapping"/>
      </w:r>
      <w:r w:rsidDel="00000000" w:rsidR="00000000" w:rsidRPr="00000000">
        <w:rPr>
          <w:rFonts w:ascii="Quicksand" w:cs="Quicksand" w:eastAsia="Quicksand" w:hAnsi="Quicksand"/>
        </w:rPr>
        <w:drawing>
          <wp:inline distB="114300" distT="114300" distL="114300" distR="114300">
            <wp:extent cx="5731200" cy="19050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E para finalizar, vamos criar uma função para gerar um ID aleatório:</w:t>
        <w:br w:type="textWrapping"/>
      </w:r>
      <w:r w:rsidDel="00000000" w:rsidR="00000000" w:rsidRPr="00000000">
        <w:rPr>
          <w:rFonts w:ascii="Quicksand" w:cs="Quicksand" w:eastAsia="Quicksand" w:hAnsi="Quicksand"/>
        </w:rPr>
        <w:drawing>
          <wp:inline distB="114300" distT="114300" distL="114300" distR="114300">
            <wp:extent cx="5731200" cy="16764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4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Agora, o contexto lembra muito um componente em React, porém a diferença é  que ele permite outros componentes acessarem o estado e funções para manipular os estados, com isto nós vamos criar uma função para adicionar uma anotação e outra para deletar, e por fim vamos adicionar o contexto e o provider:</w:t>
        <w:br w:type="textWrapping"/>
      </w:r>
      <w:r w:rsidDel="00000000" w:rsidR="00000000" w:rsidRPr="00000000">
        <w:rPr>
          <w:rFonts w:ascii="Quicksand" w:cs="Quicksand" w:eastAsia="Quicksand" w:hAnsi="Quicksand"/>
        </w:rPr>
        <w:drawing>
          <wp:inline distB="114300" distT="114300" distL="114300" distR="114300">
            <wp:extent cx="5891213" cy="4149293"/>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91213" cy="41492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Repare que além de usarmos as funções </w:t>
      </w:r>
      <w:r w:rsidDel="00000000" w:rsidR="00000000" w:rsidRPr="00000000">
        <w:rPr>
          <w:rFonts w:ascii="Quicksand" w:cs="Quicksand" w:eastAsia="Quicksand" w:hAnsi="Quicksand"/>
          <w:i w:val="1"/>
          <w:rtl w:val="0"/>
        </w:rPr>
        <w:t xml:space="preserve">helpers</w:t>
      </w:r>
      <w:r w:rsidDel="00000000" w:rsidR="00000000" w:rsidRPr="00000000">
        <w:rPr>
          <w:rFonts w:ascii="Quicksand" w:cs="Quicksand" w:eastAsia="Quicksand" w:hAnsi="Quicksand"/>
          <w:rtl w:val="0"/>
        </w:rPr>
        <w:t xml:space="preserve"> também tem um </w:t>
      </w:r>
      <w:r w:rsidDel="00000000" w:rsidR="00000000" w:rsidRPr="00000000">
        <w:rPr>
          <w:rFonts w:ascii="Quicksand" w:cs="Quicksand" w:eastAsia="Quicksand" w:hAnsi="Quicksand"/>
          <w:i w:val="1"/>
          <w:rtl w:val="0"/>
        </w:rPr>
        <w:t xml:space="preserve">mockNotes</w:t>
      </w:r>
      <w:r w:rsidDel="00000000" w:rsidR="00000000" w:rsidRPr="00000000">
        <w:rPr>
          <w:rFonts w:ascii="Quicksand" w:cs="Quicksand" w:eastAsia="Quicksand" w:hAnsi="Quicksand"/>
          <w:rtl w:val="0"/>
        </w:rPr>
        <w:t xml:space="preserve">, que é para nós podermos validar os testes, não esqueça de importar e exportar os dados:</w:t>
        <w:br w:type="textWrapping"/>
      </w:r>
      <w:r w:rsidDel="00000000" w:rsidR="00000000" w:rsidRPr="00000000">
        <w:rPr>
          <w:rFonts w:ascii="Quicksand" w:cs="Quicksand" w:eastAsia="Quicksand" w:hAnsi="Quicksand"/>
        </w:rPr>
        <w:drawing>
          <wp:inline distB="114300" distT="114300" distL="114300" distR="114300">
            <wp:extent cx="5731200" cy="36830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Vamos agora, criar a página das anotações:</w:t>
      </w:r>
    </w:p>
    <w:p w:rsidR="00000000" w:rsidDel="00000000" w:rsidP="00000000" w:rsidRDefault="00000000" w:rsidRPr="00000000" w14:paraId="0000001F">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Adicione uma rota para o Componente da página lá no </w:t>
      </w:r>
      <w:r w:rsidDel="00000000" w:rsidR="00000000" w:rsidRPr="00000000">
        <w:rPr>
          <w:rFonts w:ascii="Quicksand" w:cs="Quicksand" w:eastAsia="Quicksand" w:hAnsi="Quicksand"/>
          <w:i w:val="1"/>
          <w:rtl w:val="0"/>
        </w:rPr>
        <w:t xml:space="preserve">router.js</w:t>
      </w:r>
      <w:r w:rsidDel="00000000" w:rsidR="00000000" w:rsidRPr="00000000">
        <w:rPr>
          <w:rFonts w:ascii="Quicksand" w:cs="Quicksand" w:eastAsia="Quicksand" w:hAnsi="Quicksand"/>
          <w:rtl w:val="0"/>
        </w:rPr>
        <w:t xml:space="preserve">:</w:t>
        <w:br w:type="textWrapping"/>
      </w:r>
      <w:r w:rsidDel="00000000" w:rsidR="00000000" w:rsidRPr="00000000">
        <w:rPr>
          <w:rFonts w:ascii="Quicksand" w:cs="Quicksand" w:eastAsia="Quicksand" w:hAnsi="Quicksand"/>
        </w:rPr>
        <w:drawing>
          <wp:inline distB="114300" distT="114300" distL="114300" distR="114300">
            <wp:extent cx="5207172" cy="6184598"/>
            <wp:effectExtent b="0" l="0" r="0" t="0"/>
            <wp:docPr id="1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207172" cy="61845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Crie uma página e lembre-se de adicionar o </w:t>
      </w:r>
      <w:r w:rsidDel="00000000" w:rsidR="00000000" w:rsidRPr="00000000">
        <w:rPr>
          <w:rFonts w:ascii="Quicksand" w:cs="Quicksand" w:eastAsia="Quicksand" w:hAnsi="Quicksand"/>
          <w:i w:val="1"/>
          <w:rtl w:val="0"/>
        </w:rPr>
        <w:t xml:space="preserve">Provider</w:t>
      </w:r>
      <w:r w:rsidDel="00000000" w:rsidR="00000000" w:rsidRPr="00000000">
        <w:rPr>
          <w:rFonts w:ascii="Quicksand" w:cs="Quicksand" w:eastAsia="Quicksand" w:hAnsi="Quicksand"/>
          <w:rtl w:val="0"/>
        </w:rPr>
        <w:t xml:space="preserve"> para poder compartilhar os dados entre os componentes:</w:t>
        <w:br w:type="textWrapping"/>
      </w:r>
      <w:r w:rsidDel="00000000" w:rsidR="00000000" w:rsidRPr="00000000">
        <w:rPr>
          <w:rFonts w:ascii="Quicksand" w:cs="Quicksand" w:eastAsia="Quicksand" w:hAnsi="Quicksand"/>
        </w:rPr>
        <w:drawing>
          <wp:inline distB="114300" distT="114300" distL="114300" distR="114300">
            <wp:extent cx="5731200" cy="4406900"/>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22">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NotesPage.css:</w:t>
        <w:br w:type="textWrapping"/>
      </w:r>
      <w:r w:rsidDel="00000000" w:rsidR="00000000" w:rsidRPr="00000000">
        <w:rPr>
          <w:rFonts w:ascii="Quicksand" w:cs="Quicksand" w:eastAsia="Quicksand" w:hAnsi="Quicksand"/>
        </w:rPr>
        <w:drawing>
          <wp:inline distB="114300" distT="114300" distL="114300" distR="114300">
            <wp:extent cx="2895600" cy="1524000"/>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95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Vamos criar o</w:t>
      </w:r>
      <w:r w:rsidDel="00000000" w:rsidR="00000000" w:rsidRPr="00000000">
        <w:rPr>
          <w:rFonts w:ascii="Quicksand" w:cs="Quicksand" w:eastAsia="Quicksand" w:hAnsi="Quicksand"/>
          <w:i w:val="1"/>
          <w:rtl w:val="0"/>
        </w:rPr>
        <w:t xml:space="preserve"> FormNote</w:t>
      </w:r>
      <w:r w:rsidDel="00000000" w:rsidR="00000000" w:rsidRPr="00000000">
        <w:rPr>
          <w:rFonts w:ascii="Quicksand" w:cs="Quicksand" w:eastAsia="Quicksand" w:hAnsi="Quicksand"/>
          <w:rtl w:val="0"/>
        </w:rPr>
        <w:t xml:space="preserve">, começando criando uma anotação dentro do formulário, e pegando a função de adicionar lá do nosso contexto:</w:t>
        <w:br w:type="textWrapping"/>
      </w:r>
      <w:r w:rsidDel="00000000" w:rsidR="00000000" w:rsidRPr="00000000">
        <w:rPr>
          <w:rFonts w:ascii="Quicksand" w:cs="Quicksand" w:eastAsia="Quicksand" w:hAnsi="Quicksand"/>
        </w:rPr>
        <w:drawing>
          <wp:inline distB="114300" distT="114300" distL="114300" distR="114300">
            <wp:extent cx="5731200" cy="23495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440" w:firstLine="0"/>
        <w:rPr>
          <w:rFonts w:ascii="Quicksand" w:cs="Quicksand" w:eastAsia="Quicksand" w:hAnsi="Quicksand"/>
        </w:rPr>
      </w:pPr>
      <w:r w:rsidDel="00000000" w:rsidR="00000000" w:rsidRPr="00000000">
        <w:rPr>
          <w:rFonts w:ascii="Quicksand" w:cs="Quicksand" w:eastAsia="Quicksand" w:hAnsi="Quicksand"/>
          <w:rtl w:val="0"/>
        </w:rPr>
        <w:t xml:space="preserve">O código do retorno é um formulário que interage com o </w:t>
      </w:r>
      <w:r w:rsidDel="00000000" w:rsidR="00000000" w:rsidRPr="00000000">
        <w:rPr>
          <w:rFonts w:ascii="Quicksand" w:cs="Quicksand" w:eastAsia="Quicksand" w:hAnsi="Quicksand"/>
          <w:i w:val="1"/>
          <w:rtl w:val="0"/>
        </w:rPr>
        <w:t xml:space="preserve">noteCreated</w:t>
      </w:r>
      <w:r w:rsidDel="00000000" w:rsidR="00000000" w:rsidRPr="00000000">
        <w:rPr>
          <w:rFonts w:ascii="Quicksand" w:cs="Quicksand" w:eastAsia="Quicksand" w:hAnsi="Quicksand"/>
          <w:rtl w:val="0"/>
        </w:rPr>
        <w:t xml:space="preserve">:</w:t>
        <w:br w:type="textWrapping"/>
      </w:r>
      <w:r w:rsidDel="00000000" w:rsidR="00000000" w:rsidRPr="00000000">
        <w:rPr>
          <w:rFonts w:ascii="Quicksand" w:cs="Quicksand" w:eastAsia="Quicksand" w:hAnsi="Quicksand"/>
        </w:rPr>
        <w:drawing>
          <wp:inline distB="114300" distT="114300" distL="114300" distR="114300">
            <wp:extent cx="5731200" cy="62865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Vamos deixá-lo mais bonitinho, editando o CSS:</w:t>
        <w:br w:type="textWrapping"/>
      </w:r>
      <w:r w:rsidDel="00000000" w:rsidR="00000000" w:rsidRPr="00000000">
        <w:rPr>
          <w:rFonts w:ascii="Quicksand" w:cs="Quicksand" w:eastAsia="Quicksand" w:hAnsi="Quicksand"/>
        </w:rPr>
        <w:drawing>
          <wp:inline distB="114300" distT="114300" distL="114300" distR="114300">
            <wp:extent cx="4302595" cy="7275787"/>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302595" cy="72757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E ficou assim:</w:t>
      </w:r>
    </w:p>
    <w:p w:rsidR="00000000" w:rsidDel="00000000" w:rsidP="00000000" w:rsidRDefault="00000000" w:rsidRPr="00000000" w14:paraId="00000027">
      <w:pPr>
        <w:ind w:left="144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3686175" cy="714375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686175"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Agora, vamos criar a parte de mostrar as anotações:</w:t>
        <w:br w:type="textWrapping"/>
      </w:r>
      <w:r w:rsidDel="00000000" w:rsidR="00000000" w:rsidRPr="00000000">
        <w:rPr>
          <w:rFonts w:ascii="Quicksand" w:cs="Quicksand" w:eastAsia="Quicksand" w:hAnsi="Quicksand"/>
        </w:rPr>
        <w:drawing>
          <wp:inline distB="114300" distT="114300" distL="114300" distR="114300">
            <wp:extent cx="6924675" cy="3772913"/>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6924675" cy="3772913"/>
                    </a:xfrm>
                    <a:prstGeom prst="rect"/>
                    <a:ln/>
                  </pic:spPr>
                </pic:pic>
              </a:graphicData>
            </a:graphic>
          </wp:inline>
        </w:drawing>
      </w:r>
      <w:r w:rsidDel="00000000" w:rsidR="00000000" w:rsidRPr="00000000">
        <w:rPr>
          <w:rFonts w:ascii="Quicksand" w:cs="Quicksand" w:eastAsia="Quicksand" w:hAnsi="Quicksand"/>
          <w:rtl w:val="0"/>
        </w:rPr>
        <w:br w:type="textWrapping"/>
      </w:r>
      <w:r w:rsidDel="00000000" w:rsidR="00000000" w:rsidRPr="00000000">
        <w:rPr>
          <w:rFonts w:ascii="Quicksand" w:cs="Quicksand" w:eastAsia="Quicksand" w:hAnsi="Quicksand"/>
        </w:rPr>
        <w:drawing>
          <wp:inline distB="114300" distT="114300" distL="114300" distR="114300">
            <wp:extent cx="5731200" cy="23241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Vamos criar cada anotação separada:</w:t>
        <w:br w:type="textWrapping"/>
      </w:r>
      <w:r w:rsidDel="00000000" w:rsidR="00000000" w:rsidRPr="00000000">
        <w:rPr>
          <w:rFonts w:ascii="Quicksand" w:cs="Quicksand" w:eastAsia="Quicksand" w:hAnsi="Quicksand"/>
        </w:rPr>
        <w:drawing>
          <wp:inline distB="114300" distT="114300" distL="114300" distR="114300">
            <wp:extent cx="5731200" cy="30480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E agora, criamos anotações, porém faltou algo, não é mesmo? Cadê nosso link lá na navbar?</w:t>
      </w:r>
      <w:r w:rsidDel="00000000" w:rsidR="00000000" w:rsidRPr="00000000">
        <w:rPr>
          <w:rFonts w:ascii="Quicksand" w:cs="Quicksand" w:eastAsia="Quicksand" w:hAnsi="Quicksand"/>
        </w:rPr>
        <w:drawing>
          <wp:inline distB="114300" distT="114300" distL="114300" distR="114300">
            <wp:extent cx="5731200" cy="51689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1"/>
        </w:numPr>
        <w:ind w:left="1440" w:hanging="360"/>
        <w:rPr>
          <w:rFonts w:ascii="Quicksand" w:cs="Quicksand" w:eastAsia="Quicksand" w:hAnsi="Quicksand"/>
        </w:rPr>
      </w:pPr>
      <w:r w:rsidDel="00000000" w:rsidR="00000000" w:rsidRPr="00000000">
        <w:rPr>
          <w:rFonts w:ascii="Quicksand" w:cs="Quicksand" w:eastAsia="Quicksand" w:hAnsi="Quicksand"/>
          <w:rtl w:val="0"/>
        </w:rPr>
        <w:t xml:space="preserve">Agora, vamos criar o link na navbar:</w:t>
      </w:r>
      <w:r w:rsidDel="00000000" w:rsidR="00000000" w:rsidRPr="00000000">
        <w:rPr>
          <w:rFonts w:ascii="Quicksand" w:cs="Quicksand" w:eastAsia="Quicksand" w:hAnsi="Quicksand"/>
        </w:rPr>
        <w:drawing>
          <wp:inline distB="114300" distT="114300" distL="114300" distR="114300">
            <wp:extent cx="4895850" cy="57531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895850" cy="5753100"/>
                    </a:xfrm>
                    <a:prstGeom prst="rect"/>
                    <a:ln/>
                  </pic:spPr>
                </pic:pic>
              </a:graphicData>
            </a:graphic>
          </wp:inline>
        </w:drawing>
      </w:r>
      <w:r w:rsidDel="00000000" w:rsidR="00000000" w:rsidRPr="00000000">
        <w:rPr>
          <w:rFonts w:ascii="Quicksand" w:cs="Quicksand" w:eastAsia="Quicksand" w:hAnsi="Quicksand"/>
          <w:rtl w:val="0"/>
        </w:rPr>
        <w:t xml:space="preserve"> </w:t>
      </w:r>
      <w:r w:rsidDel="00000000" w:rsidR="00000000" w:rsidRPr="00000000">
        <w:rPr>
          <w:rFonts w:ascii="Quicksand" w:cs="Quicksand" w:eastAsia="Quicksand" w:hAnsi="Quicksand"/>
        </w:rPr>
        <w:drawing>
          <wp:inline distB="114300" distT="114300" distL="114300" distR="114300">
            <wp:extent cx="5731200" cy="3149600"/>
            <wp:effectExtent b="0" l="0" r="0" t="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Para finalizar, vamos subir o código no Github.</w:t>
      </w:r>
      <w:r w:rsidDel="00000000" w:rsidR="00000000" w:rsidRPr="00000000">
        <w:rPr>
          <w:rFonts w:ascii="Quicksand" w:cs="Quicksand" w:eastAsia="Quicksand" w:hAnsi="Quicksand"/>
        </w:rPr>
        <w:drawing>
          <wp:inline distB="114300" distT="114300" distL="114300" distR="114300">
            <wp:extent cx="5589927" cy="5060648"/>
            <wp:effectExtent b="0" l="0" r="0" t="0"/>
            <wp:docPr id="1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589927" cy="5060648"/>
                    </a:xfrm>
                    <a:prstGeom prst="rect"/>
                    <a:ln/>
                  </pic:spPr>
                </pic:pic>
              </a:graphicData>
            </a:graphic>
          </wp:inline>
        </w:drawing>
      </w:r>
      <w:r w:rsidDel="00000000" w:rsidR="00000000" w:rsidRPr="00000000">
        <w:rPr>
          <w:rFonts w:ascii="Quicksand" w:cs="Quicksand" w:eastAsia="Quicksand" w:hAnsi="Quicksand"/>
          <w:rtl w:val="0"/>
        </w:rPr>
        <w:tab/>
      </w:r>
    </w:p>
    <w:p w:rsidR="00000000" w:rsidDel="00000000" w:rsidP="00000000" w:rsidRDefault="00000000" w:rsidRPr="00000000" w14:paraId="0000002D">
      <w:pPr>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2E">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Recursos</w:t>
      </w:r>
    </w:p>
    <w:p w:rsidR="00000000" w:rsidDel="00000000" w:rsidP="00000000" w:rsidRDefault="00000000" w:rsidRPr="00000000" w14:paraId="0000002F">
      <w:pPr>
        <w:numPr>
          <w:ilvl w:val="0"/>
          <w:numId w:val="5"/>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Git Chrome e VS Code.</w:t>
      </w:r>
    </w:p>
    <w:p w:rsidR="00000000" w:rsidDel="00000000" w:rsidP="00000000" w:rsidRDefault="00000000" w:rsidRPr="00000000" w14:paraId="00000030">
      <w:pPr>
        <w:rPr>
          <w:rFonts w:ascii="Quicksand" w:cs="Quicksand" w:eastAsia="Quicksand" w:hAnsi="Quicksand"/>
        </w:rPr>
      </w:pPr>
      <w:r w:rsidDel="00000000" w:rsidR="00000000" w:rsidRPr="00000000">
        <w:rPr>
          <w:rtl w:val="0"/>
        </w:rPr>
      </w:r>
    </w:p>
    <w:p w:rsidR="00000000" w:rsidDel="00000000" w:rsidP="00000000" w:rsidRDefault="00000000" w:rsidRPr="00000000" w14:paraId="00000031">
      <w:pPr>
        <w:rPr>
          <w:rFonts w:ascii="Quicksand" w:cs="Quicksand" w:eastAsia="Quicksand" w:hAnsi="Quicksand"/>
        </w:rPr>
      </w:pPr>
      <w:r w:rsidDel="00000000" w:rsidR="00000000" w:rsidRPr="00000000">
        <w:rPr>
          <w:rtl w:val="0"/>
        </w:rPr>
      </w:r>
    </w:p>
    <w:p w:rsidR="00000000" w:rsidDel="00000000" w:rsidP="00000000" w:rsidRDefault="00000000" w:rsidRPr="00000000" w14:paraId="00000032">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Observação</w:t>
      </w:r>
    </w:p>
    <w:p w:rsidR="00000000" w:rsidDel="00000000" w:rsidP="00000000" w:rsidRDefault="00000000" w:rsidRPr="00000000" w14:paraId="00000033">
      <w:pPr>
        <w:numPr>
          <w:ilvl w:val="0"/>
          <w:numId w:val="4"/>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Sempre que você quiser testar algum exemplo em JavaScript, você pode digitar um código direto no navegador como por exemplo:</w:t>
      </w:r>
    </w:p>
    <w:p w:rsidR="00000000" w:rsidDel="00000000" w:rsidP="00000000" w:rsidRDefault="00000000" w:rsidRPr="00000000" w14:paraId="00000034">
      <w:pPr>
        <w:ind w:left="720" w:firstLine="0"/>
        <w:rPr>
          <w:rFonts w:ascii="Quicksand" w:cs="Quicksand" w:eastAsia="Quicksand" w:hAnsi="Quicksand"/>
        </w:rPr>
      </w:pPr>
      <w:r w:rsidDel="00000000" w:rsidR="00000000" w:rsidRPr="00000000">
        <w:rPr>
          <w:rFonts w:ascii="Quicksand" w:cs="Quicksand" w:eastAsia="Quicksand" w:hAnsi="Quicksand"/>
        </w:rPr>
        <w:drawing>
          <wp:inline distB="114300" distT="114300" distL="114300" distR="114300">
            <wp:extent cx="5731200" cy="2120900"/>
            <wp:effectExtent b="0" l="0" r="0" t="0"/>
            <wp:docPr id="2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36">
      <w:pPr>
        <w:numPr>
          <w:ilvl w:val="0"/>
          <w:numId w:val="4"/>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Professor: por se tratar de uma API de animes, ela é como se fosse o Google. Muito cuidado com o que o aluno for pesquisar! Ele tem acesso a internet pois é uma aula de web 🙂</w:t>
      </w:r>
    </w:p>
    <w:p w:rsidR="00000000" w:rsidDel="00000000" w:rsidP="00000000" w:rsidRDefault="00000000" w:rsidRPr="00000000" w14:paraId="00000037">
      <w:pPr>
        <w:ind w:left="720" w:firstLine="0"/>
        <w:rPr>
          <w:rFonts w:ascii="Quicksand" w:cs="Quicksand" w:eastAsia="Quicksand" w:hAnsi="Quicksand"/>
        </w:rPr>
      </w:pPr>
      <w:r w:rsidDel="00000000" w:rsidR="00000000" w:rsidRPr="00000000">
        <w:rPr>
          <w:rtl w:val="0"/>
        </w:rPr>
      </w:r>
    </w:p>
    <w:p w:rsidR="00000000" w:rsidDel="00000000" w:rsidP="00000000" w:rsidRDefault="00000000" w:rsidRPr="00000000" w14:paraId="00000038">
      <w:pPr>
        <w:numPr>
          <w:ilvl w:val="0"/>
          <w:numId w:val="4"/>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Contexto, por ser algo novo pode ser meio difícil, então caso tenha dúvidas indico este video: </w:t>
      </w:r>
      <w:hyperlink r:id="rId27">
        <w:r w:rsidDel="00000000" w:rsidR="00000000" w:rsidRPr="00000000">
          <w:rPr>
            <w:rFonts w:ascii="Quicksand" w:cs="Quicksand" w:eastAsia="Quicksand" w:hAnsi="Quicksand"/>
            <w:color w:val="1155cc"/>
            <w:u w:val="single"/>
            <w:rtl w:val="0"/>
          </w:rPr>
          <w:t xml:space="preserve">https://www.youtube.com/watch?v=OLtpJLQLOeM</w:t>
        </w:r>
      </w:hyperlink>
      <w:r w:rsidDel="00000000" w:rsidR="00000000" w:rsidRPr="00000000">
        <w:rPr>
          <w:rFonts w:ascii="Quicksand" w:cs="Quicksand" w:eastAsia="Quicksand" w:hAnsi="Quicksand"/>
          <w:rtl w:val="0"/>
        </w:rPr>
        <w:t xml:space="preserve"> </w:t>
      </w:r>
    </w:p>
    <w:p w:rsidR="00000000" w:rsidDel="00000000" w:rsidP="00000000" w:rsidRDefault="00000000" w:rsidRPr="00000000" w14:paraId="00000039">
      <w:pPr>
        <w:rPr>
          <w:rFonts w:ascii="Quicksand SemiBold" w:cs="Quicksand SemiBold" w:eastAsia="Quicksand SemiBold" w:hAnsi="Quicksand SemiBold"/>
        </w:rPr>
      </w:pPr>
      <w:r w:rsidDel="00000000" w:rsidR="00000000" w:rsidRPr="00000000">
        <w:rPr>
          <w:rtl w:val="0"/>
        </w:rPr>
      </w:r>
    </w:p>
    <w:p w:rsidR="00000000" w:rsidDel="00000000" w:rsidP="00000000" w:rsidRDefault="00000000" w:rsidRPr="00000000" w14:paraId="0000003A">
      <w:pPr>
        <w:rPr>
          <w:rFonts w:ascii="Quicksand SemiBold" w:cs="Quicksand SemiBold" w:eastAsia="Quicksand SemiBold" w:hAnsi="Quicksand SemiBold"/>
        </w:rPr>
      </w:pPr>
      <w:r w:rsidDel="00000000" w:rsidR="00000000" w:rsidRPr="00000000">
        <w:rPr>
          <w:rtl w:val="0"/>
        </w:rPr>
      </w:r>
    </w:p>
    <w:p w:rsidR="00000000" w:rsidDel="00000000" w:rsidP="00000000" w:rsidRDefault="00000000" w:rsidRPr="00000000" w14:paraId="0000003B">
      <w:pPr>
        <w:rPr>
          <w:rFonts w:ascii="Quicksand SemiBold" w:cs="Quicksand SemiBold" w:eastAsia="Quicksand SemiBold" w:hAnsi="Quicksand SemiBold"/>
        </w:rPr>
      </w:pPr>
      <w:r w:rsidDel="00000000" w:rsidR="00000000" w:rsidRPr="00000000">
        <w:rPr>
          <w:rFonts w:ascii="Quicksand SemiBold" w:cs="Quicksand SemiBold" w:eastAsia="Quicksand SemiBold" w:hAnsi="Quicksand SemiBold"/>
          <w:rtl w:val="0"/>
        </w:rPr>
        <w:t xml:space="preserve">Tarefas</w:t>
      </w:r>
    </w:p>
    <w:p w:rsidR="00000000" w:rsidDel="00000000" w:rsidP="00000000" w:rsidRDefault="00000000" w:rsidRPr="00000000" w14:paraId="0000003C">
      <w:pPr>
        <w:numPr>
          <w:ilvl w:val="0"/>
          <w:numId w:val="2"/>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Descobrir como os contextos podem ser úteis.</w:t>
      </w:r>
    </w:p>
    <w:p w:rsidR="00000000" w:rsidDel="00000000" w:rsidP="00000000" w:rsidRDefault="00000000" w:rsidRPr="00000000" w14:paraId="0000003D">
      <w:pPr>
        <w:numPr>
          <w:ilvl w:val="0"/>
          <w:numId w:val="2"/>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Desafio: tentar fazer o contexto começar vazio sem ser com o mockNotes.</w:t>
      </w:r>
    </w:p>
    <w:p w:rsidR="00000000" w:rsidDel="00000000" w:rsidP="00000000" w:rsidRDefault="00000000" w:rsidRPr="00000000" w14:paraId="0000003E">
      <w:pPr>
        <w:numPr>
          <w:ilvl w:val="0"/>
          <w:numId w:val="2"/>
        </w:numPr>
        <w:ind w:left="720" w:hanging="360"/>
        <w:rPr>
          <w:rFonts w:ascii="Quicksand" w:cs="Quicksand" w:eastAsia="Quicksand" w:hAnsi="Quicksand"/>
        </w:rPr>
      </w:pPr>
      <w:r w:rsidDel="00000000" w:rsidR="00000000" w:rsidRPr="00000000">
        <w:rPr>
          <w:rFonts w:ascii="Quicksand" w:cs="Quicksand" w:eastAsia="Quicksand" w:hAnsi="Quicksand"/>
          <w:rtl w:val="0"/>
        </w:rPr>
        <w:t xml:space="preserve">Resposta:</w:t>
        <w:br w:type="textWrapping"/>
      </w:r>
      <w:r w:rsidDel="00000000" w:rsidR="00000000" w:rsidRPr="00000000">
        <w:rPr>
          <w:rFonts w:ascii="Quicksand" w:cs="Quicksand" w:eastAsia="Quicksand" w:hAnsi="Quicksand"/>
        </w:rPr>
        <w:drawing>
          <wp:inline distB="114300" distT="114300" distL="114300" distR="114300">
            <wp:extent cx="5731200" cy="2489200"/>
            <wp:effectExtent b="0" l="0" r="0" t="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sectPr>
      <w:headerReference r:id="rId29" w:type="default"/>
      <w:pgSz w:h="16834" w:w="11909" w:orient="portrait"/>
      <w:pgMar w:bottom="1373.5039370078755"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Quicksand">
    <w:embedRegular w:fontKey="{00000000-0000-0000-0000-000000000000}" r:id="rId1" w:subsetted="0"/>
    <w:embedBold w:fontKey="{00000000-0000-0000-0000-000000000000}" r:id="rId2" w:subsetted="0"/>
  </w:font>
  <w:font w:name="Quicksand SemiBold">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jc w:val="center"/>
      <w:rPr/>
    </w:pPr>
    <w:r w:rsidDel="00000000" w:rsidR="00000000" w:rsidRPr="00000000">
      <w:rPr/>
      <w:drawing>
        <wp:inline distB="114300" distT="114300" distL="114300" distR="114300">
          <wp:extent cx="2492213" cy="1545558"/>
          <wp:effectExtent b="0" l="0" r="0" t="0"/>
          <wp:docPr id="9" name="image19.png"/>
          <a:graphic>
            <a:graphicData uri="http://schemas.openxmlformats.org/drawingml/2006/picture">
              <pic:pic>
                <pic:nvPicPr>
                  <pic:cNvPr id="0" name="image19.png"/>
                  <pic:cNvPicPr preferRelativeResize="0"/>
                </pic:nvPicPr>
                <pic:blipFill>
                  <a:blip r:embed="rId1"/>
                  <a:srcRect b="24800" l="3679" r="10631" t="11200"/>
                  <a:stretch>
                    <a:fillRect/>
                  </a:stretch>
                </pic:blipFill>
                <pic:spPr>
                  <a:xfrm>
                    <a:off x="0" y="0"/>
                    <a:ext cx="2492213" cy="154555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hyperlink" Target="https://www.youtube.com/watch?v=OLtpJLQLOeM" TargetMode="External"/><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5.png"/><Relationship Id="rId12"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 Id="rId3" Type="http://schemas.openxmlformats.org/officeDocument/2006/relationships/font" Target="fonts/QuicksandSemiBold-regular.ttf"/><Relationship Id="rId4" Type="http://schemas.openxmlformats.org/officeDocument/2006/relationships/font" Target="fonts/QuicksandSemiBold-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