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24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Prática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Kodu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17 a 23 e será essencial para a menção final do aluno.</w:t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Como se preparar:</w:t>
      </w:r>
    </w:p>
    <w:p w:rsidR="00000000" w:rsidDel="00000000" w:rsidP="00000000" w:rsidRDefault="00000000" w:rsidRPr="00000000" w14:paraId="00000014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de 17 a 23.</w:t>
      </w:r>
    </w:p>
    <w:p w:rsidR="00000000" w:rsidDel="00000000" w:rsidP="00000000" w:rsidRDefault="00000000" w:rsidRPr="00000000" w14:paraId="00000015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  <w:b w:val="1"/>
          <w:bCs w:val="1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Prova prática: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prova prática, o aluno deverá demonstrar domínio das ferramentas básicas do Scratch criando um pequeno projeto jogável que inclua: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1. Personagem Principal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Criar um personagem jogável (Kodu, Rover, etc.).</w:t>
        <w:br w:type="textWrapping"/>
        <w:t xml:space="preserve"> – Programar controles básicos de movimentação.</w:t>
        <w:br w:type="textWrapping"/>
        <w:t xml:space="preserve"> – Configurar câmera ou comportamento conforme a necessidade do jogo.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2. Inimigo ou Obstáculo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Inserir pelo menos um inimigo ou elemento que represente desafio.</w:t>
        <w:br w:type="textWrapping"/>
        <w:t xml:space="preserve"> – Programar comportamento simples (perseguir, patrulhar, atirar, etc.).</w:t>
        <w:br w:type="textWrapping"/>
        <w:t xml:space="preserve"> – Definir reações ao encontrar o jogador (tirar pontos, reiniciar, derrotar, etc.).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3. Terreno / Ambiente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Construir um cenário usando ferramentas de terreno.</w:t>
        <w:br w:type="textWrapping"/>
        <w:t xml:space="preserve"> – Adicionar objetos relevantes ao tema do jogo.</w:t>
        <w:br w:type="textWrapping"/>
        <w:t xml:space="preserve"> – Aplicar água, subidas, caminhos ou variações de terreno quando necessário.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4. Mecânica de Pontuação ou Objetivo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Criar coleta de objetos, tempo, pontos ou outro objetivo claro.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5. Condição de Fim de Jogo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Criar uma condição de vitória (coletar tudo, chegar ao final, derrotar o inimigo).</w:t>
        <w:br w:type="textWrapping"/>
        <w:t xml:space="preserve"> – Criar uma condição de derrota (ser atingido, perder todas as vidas, cair na água, etc.).</w:t>
        <w:br w:type="textWrapping"/>
        <w:t xml:space="preserve"> – Reiniciar o jogo ou mostrar uma mensagem/texto na 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Esses itens serão avaliados quanto ao funcionamento, organização dos blocos e criatividade.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Prepare-se bem para garantir a melhor menção possível!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Boa prova!!!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9lNcP8e3OASB6baDthBMLySFLw==">CgMxLjA4AHIhMTN2Y2RPU1pEOVFZbEE2b3Y4MHJSN2pXZnk1aFZDYnZS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