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DB780">
      <w:pPr>
        <w:pStyle w:val="22"/>
        <w:numPr>
          <w:ilvl w:val="0"/>
          <w:numId w:val="2"/>
        </w:numPr>
        <w:rPr>
          <w:rFonts w:hint="eastAsia"/>
        </w:rPr>
      </w:pPr>
      <w:r>
        <w:rPr>
          <w:rFonts w:hint="eastAsia"/>
        </w:rPr>
        <w:t>总则</w:t>
      </w:r>
      <w:r>
        <w:t>General Policy</w:t>
      </w:r>
    </w:p>
    <w:p w14:paraId="7850530C">
      <w:pPr>
        <w:pStyle w:val="31"/>
      </w:pPr>
      <w:r>
        <w:rPr>
          <w:rFonts w:hint="eastAsia"/>
        </w:rPr>
        <w:t>信息安全作为公司发展中的重要保障，其策略和控制措施必须被严格的执行，以防止信息泄露事件发生。</w:t>
      </w:r>
    </w:p>
    <w:p w14:paraId="65084621">
      <w:pPr>
        <w:pStyle w:val="31"/>
      </w:pPr>
      <w:r>
        <w:rPr>
          <w:rFonts w:hint="eastAsia"/>
        </w:rPr>
        <w:t>公司所有员工都必须熟悉本《信息安全政策》并严格遵守其所述的这些安全策略。</w:t>
      </w:r>
    </w:p>
    <w:p w14:paraId="4F0CBD84">
      <w:pPr>
        <w:pStyle w:val="31"/>
      </w:pPr>
      <w:r>
        <w:t>Information security is an important guarantee for the company's development, and its policies and control measures must be strictly implemented to prevent information leakage.All employees of the company must be familiar with this "Information Security Policy" and strictly abide by the security policies described therein.</w:t>
      </w:r>
    </w:p>
    <w:p w14:paraId="493735E3">
      <w:pPr>
        <w:pStyle w:val="22"/>
        <w:numPr>
          <w:ilvl w:val="0"/>
          <w:numId w:val="2"/>
        </w:numPr>
        <w:rPr>
          <w:rFonts w:hint="eastAsia"/>
        </w:rPr>
      </w:pPr>
      <w:r>
        <w:rPr>
          <w:rFonts w:hint="eastAsia"/>
        </w:rPr>
        <w:t>适用范围Scope</w:t>
      </w:r>
    </w:p>
    <w:p w14:paraId="6EF13038">
      <w:pPr>
        <w:pStyle w:val="31"/>
      </w:pPr>
      <w:r>
        <w:rPr>
          <w:rFonts w:hint="eastAsia"/>
        </w:rPr>
        <w:t>适用于公司所有敏感信息资产，适用于所有员工。</w:t>
      </w:r>
    </w:p>
    <w:p w14:paraId="23834437">
      <w:pPr>
        <w:pStyle w:val="31"/>
      </w:pPr>
      <w:r>
        <w:t>Applicable to all sensitive information assets of the company and to all employees.</w:t>
      </w:r>
    </w:p>
    <w:p w14:paraId="3155784C">
      <w:pPr>
        <w:pStyle w:val="22"/>
        <w:numPr>
          <w:ilvl w:val="0"/>
          <w:numId w:val="2"/>
        </w:numPr>
        <w:rPr>
          <w:rFonts w:hint="eastAsia"/>
        </w:rPr>
      </w:pPr>
      <w:r>
        <w:rPr>
          <w:rFonts w:hint="eastAsia"/>
        </w:rPr>
        <w:t>安全政策Security Policy</w:t>
      </w:r>
    </w:p>
    <w:p w14:paraId="51D6AB10">
      <w:pPr>
        <w:pStyle w:val="24"/>
        <w:spacing w:before="312"/>
        <w:rPr>
          <w:rFonts w:hint="eastAsia"/>
        </w:rPr>
      </w:pPr>
      <w:r>
        <w:rPr>
          <w:rFonts w:hint="eastAsia"/>
        </w:rPr>
        <w:t>角色职责分离Separation of roles and responsibilities</w:t>
      </w:r>
    </w:p>
    <w:p w14:paraId="23DAF21E">
      <w:pPr>
        <w:pStyle w:val="31"/>
        <w:numPr>
          <w:ilvl w:val="0"/>
          <w:numId w:val="3"/>
        </w:numPr>
      </w:pPr>
      <w:r>
        <w:rPr>
          <w:rFonts w:hint="eastAsia"/>
        </w:rPr>
        <w:t>从事开发、数据处理、密钥管理和生产作业等活动的员工不能同时拥有系统管理权限，同样系统管理员也不能拥有从事以上活动的权限。</w:t>
      </w:r>
    </w:p>
    <w:p w14:paraId="6A289C93">
      <w:pPr>
        <w:pStyle w:val="31"/>
      </w:pPr>
      <w:r>
        <w:rPr>
          <w:rFonts w:hint="eastAsia"/>
        </w:rPr>
        <w:t>Employees engaged in development, data processing, key management and production operations cannot have system management privileges at the same time, and system administrators cannot have privileges to engage in the above activities.</w:t>
      </w:r>
    </w:p>
    <w:p w14:paraId="7403FBDB">
      <w:pPr>
        <w:pStyle w:val="31"/>
        <w:numPr>
          <w:ilvl w:val="0"/>
          <w:numId w:val="3"/>
        </w:numPr>
      </w:pPr>
      <w:r>
        <w:rPr>
          <w:rFonts w:hint="eastAsia"/>
        </w:rPr>
        <w:t>日志审计不能由拥有系统管理权限的员工担任。</w:t>
      </w:r>
    </w:p>
    <w:p w14:paraId="444C7CDF">
      <w:pPr>
        <w:pStyle w:val="31"/>
      </w:pPr>
      <w:r>
        <w:rPr>
          <w:rFonts w:hint="eastAsia"/>
        </w:rPr>
        <w:t>Log auditing cannot be performed by employees with system administration privileges.</w:t>
      </w:r>
    </w:p>
    <w:p w14:paraId="32FB30AE">
      <w:pPr>
        <w:pStyle w:val="31"/>
        <w:numPr>
          <w:ilvl w:val="0"/>
          <w:numId w:val="3"/>
        </w:numPr>
      </w:pPr>
      <w:r>
        <w:rPr>
          <w:rFonts w:hint="eastAsia"/>
        </w:rPr>
        <w:t>对敏感系统和设备的访问必须双控，确保不能由一个人完成。</w:t>
      </w:r>
    </w:p>
    <w:p w14:paraId="70BA6430">
      <w:pPr>
        <w:pStyle w:val="31"/>
      </w:pPr>
      <w:r>
        <w:rPr>
          <w:rFonts w:hint="eastAsia"/>
        </w:rPr>
        <w:t>Access to sensitive systems and equipment must be dual-controlled to ensure that it cannot be completed by one person.</w:t>
      </w:r>
    </w:p>
    <w:p w14:paraId="02FA2B57">
      <w:pPr>
        <w:pStyle w:val="31"/>
        <w:numPr>
          <w:ilvl w:val="0"/>
          <w:numId w:val="3"/>
        </w:numPr>
      </w:pPr>
      <w:r>
        <w:rPr>
          <w:rFonts w:hint="eastAsia"/>
        </w:rPr>
        <w:t>制定计算机系统《岗位权限设置规则》以确保角色职责的分离，并作为用户管理的依据。</w:t>
      </w:r>
    </w:p>
    <w:p w14:paraId="6C615389">
      <w:pPr>
        <w:pStyle w:val="31"/>
      </w:pPr>
      <w:r>
        <w:t>Establish "</w:t>
      </w:r>
      <w:bookmarkStart w:id="0" w:name="_Hlk193268526"/>
      <w:r>
        <w:t>Role-Based Access Control Configuration Rules</w:t>
      </w:r>
      <w:bookmarkEnd w:id="0"/>
      <w:r>
        <w:t>" for computer systems to ensure separation of role responsibilities and serve as the basis for user management.</w:t>
      </w:r>
    </w:p>
    <w:p w14:paraId="3FB0D70D">
      <w:pPr>
        <w:pStyle w:val="24"/>
        <w:spacing w:before="312"/>
        <w:rPr>
          <w:rFonts w:hint="eastAsia"/>
        </w:rPr>
      </w:pPr>
      <w:r>
        <w:rPr>
          <w:rFonts w:hint="eastAsia"/>
        </w:rPr>
        <w:t>资产分级和管理Asset classification and management</w:t>
      </w:r>
    </w:p>
    <w:p w14:paraId="22E21651">
      <w:pPr>
        <w:pStyle w:val="31"/>
        <w:numPr>
          <w:ilvl w:val="0"/>
          <w:numId w:val="4"/>
        </w:numPr>
      </w:pPr>
      <w:r>
        <w:rPr>
          <w:rFonts w:hint="eastAsia"/>
        </w:rPr>
        <w:t>按照《资产分级和管理指南》对信息资产进行分级，并对分级后的信息资产所在设备或载体进行目视标识。</w:t>
      </w:r>
    </w:p>
    <w:p w14:paraId="419EC84E">
      <w:pPr>
        <w:pStyle w:val="31"/>
      </w:pPr>
      <w:r>
        <w:t>Information assets shall be classified in accordance with the "Asset Classification and Management Guidelines" and the devices or carriers where the classified information assets are located shall be visually identified.</w:t>
      </w:r>
    </w:p>
    <w:p w14:paraId="73611D9B">
      <w:pPr>
        <w:pStyle w:val="31"/>
        <w:numPr>
          <w:ilvl w:val="0"/>
          <w:numId w:val="4"/>
        </w:numPr>
      </w:pPr>
      <w:r>
        <w:rPr>
          <w:rFonts w:hint="eastAsia"/>
        </w:rPr>
        <w:t>对于一级和二级信息资产所在设备和载体，严禁其存储单元从高安全区流出。</w:t>
      </w:r>
    </w:p>
    <w:p w14:paraId="5475CB17">
      <w:pPr>
        <w:pStyle w:val="31"/>
      </w:pPr>
      <w:r>
        <w:t>For the equipment and carriers where class1</w:t>
      </w:r>
      <w:r>
        <w:rPr>
          <w:rFonts w:hint="eastAsia"/>
          <w:lang w:val="en-US" w:eastAsia="zh-CN"/>
        </w:rPr>
        <w:t xml:space="preserve"> </w:t>
      </w:r>
      <w:r>
        <w:t>and class2 information assets are located, it is strictly prohibited for their storage units to flow out of the high-security area.</w:t>
      </w:r>
    </w:p>
    <w:p w14:paraId="0131E84C">
      <w:pPr>
        <w:pStyle w:val="24"/>
        <w:spacing w:before="312"/>
        <w:rPr>
          <w:rFonts w:hint="eastAsia"/>
        </w:rPr>
      </w:pPr>
      <w:r>
        <w:rPr>
          <w:rFonts w:hint="eastAsia"/>
        </w:rPr>
        <w:t>访问控制Access Control</w:t>
      </w:r>
    </w:p>
    <w:p w14:paraId="03D50315">
      <w:pPr>
        <w:pStyle w:val="31"/>
        <w:numPr>
          <w:ilvl w:val="0"/>
          <w:numId w:val="5"/>
        </w:numPr>
      </w:pPr>
      <w:r>
        <w:rPr>
          <w:rFonts w:hint="eastAsia"/>
        </w:rPr>
        <w:t>服务器和敏感系统必须置于高安全区域，并且高安全区域受到门禁、监控、报警系统的保护，只有被授权人员才能访问。如非授权人员需要访问该高安全区域，则必须申请审核后由被授权人员陪同下方能访问。</w:t>
      </w:r>
    </w:p>
    <w:p w14:paraId="22CE6E33">
      <w:pPr>
        <w:pStyle w:val="31"/>
      </w:pPr>
      <w:r>
        <w:rPr>
          <w:rFonts w:hint="eastAsia"/>
        </w:rPr>
        <w:t>Servers and sensitive systems must be placed in high-security areas, and high-security areas are protected by access control, monitoring, and alarm systems, and only authorized personnel can access them.</w:t>
      </w:r>
      <w:r>
        <w:t xml:space="preserve"> If unauthorized personnel need to access the high-security area, they must apply for review and be accompanied by authorized personnel before they can access</w:t>
      </w:r>
      <w:r>
        <w:rPr>
          <w:rFonts w:hint="eastAsia"/>
          <w:lang w:val="en-US" w:eastAsia="zh-CN"/>
        </w:rPr>
        <w:t xml:space="preserve"> it</w:t>
      </w:r>
      <w:r>
        <w:t>.</w:t>
      </w:r>
    </w:p>
    <w:p w14:paraId="6854C445">
      <w:pPr>
        <w:pStyle w:val="24"/>
        <w:spacing w:before="312"/>
        <w:rPr>
          <w:rFonts w:hint="eastAsia"/>
        </w:rPr>
      </w:pPr>
      <w:r>
        <w:rPr>
          <w:rFonts w:hint="eastAsia"/>
        </w:rPr>
        <w:t>用户管理User Account Management</w:t>
      </w:r>
    </w:p>
    <w:p w14:paraId="0CA92AAC">
      <w:pPr>
        <w:pStyle w:val="31"/>
        <w:numPr>
          <w:ilvl w:val="0"/>
          <w:numId w:val="5"/>
        </w:numPr>
      </w:pPr>
      <w:r>
        <w:t>确保计算机系统中的每个账户都是因业务需要而合理存在的，而不是成为攻击可利用的弱点。</w:t>
      </w:r>
    </w:p>
    <w:p w14:paraId="2CCF2141">
      <w:pPr>
        <w:pStyle w:val="31"/>
      </w:pPr>
      <w:r>
        <w:t>Ensure that every account in the computer system exists for a legitimate business need and is not a weakness that can be exploited by attackers.</w:t>
      </w:r>
    </w:p>
    <w:p w14:paraId="61EA81A0">
      <w:pPr>
        <w:pStyle w:val="31"/>
        <w:numPr>
          <w:ilvl w:val="0"/>
          <w:numId w:val="5"/>
        </w:numPr>
      </w:pPr>
      <w:r>
        <w:rPr>
          <w:rFonts w:hint="eastAsia"/>
        </w:rPr>
        <w:t>每个计算机系统必须记录可追溯的用户操作日志。</w:t>
      </w:r>
    </w:p>
    <w:p w14:paraId="6C1A1B95">
      <w:pPr>
        <w:pStyle w:val="31"/>
      </w:pPr>
      <w:r>
        <w:t>Each computer system must record traceable user operation logs.</w:t>
      </w:r>
    </w:p>
    <w:p w14:paraId="06B777C5">
      <w:pPr>
        <w:pStyle w:val="31"/>
        <w:numPr>
          <w:ilvl w:val="0"/>
          <w:numId w:val="5"/>
        </w:numPr>
      </w:pPr>
      <w:r>
        <w:rPr>
          <w:rFonts w:hint="eastAsia"/>
        </w:rPr>
        <w:t>计算机系统的用户创建、修改和删除都必须按照《系统访问控制流程》中的用户管理流程来执行，并且用户的创建和权限变更必须符合“岗位权限设置规则”。</w:t>
      </w:r>
    </w:p>
    <w:p w14:paraId="2DAEC904">
      <w:pPr>
        <w:pStyle w:val="31"/>
      </w:pPr>
      <w:r>
        <w:t>The creation, modification and deletion of computer system users must be carried out in accordance with the user management process in the "System Access Control Process", and the creation of users and changes in permissions must comply with the "Role-Based Access Control Configuration Rules".</w:t>
      </w:r>
    </w:p>
    <w:p w14:paraId="43D5E8EA">
      <w:pPr>
        <w:pStyle w:val="31"/>
        <w:numPr>
          <w:ilvl w:val="0"/>
          <w:numId w:val="5"/>
        </w:numPr>
      </w:pPr>
      <w:r>
        <w:rPr>
          <w:rFonts w:hint="eastAsia"/>
        </w:rPr>
        <w:t>每个计算机系统的每个使用人员及后台账户都拥有唯一账户ID，禁止共用账户。</w:t>
      </w:r>
    </w:p>
    <w:p w14:paraId="3C2FC2F7">
      <w:pPr>
        <w:pStyle w:val="31"/>
      </w:pPr>
      <w:r>
        <w:t>Each user and backend account of each computer system has a unique account ID and accounts cannot be shared.</w:t>
      </w:r>
    </w:p>
    <w:p w14:paraId="3C0ADA61">
      <w:pPr>
        <w:pStyle w:val="31"/>
        <w:numPr>
          <w:ilvl w:val="0"/>
          <w:numId w:val="5"/>
        </w:numPr>
      </w:pPr>
      <w:r>
        <w:rPr>
          <w:rFonts w:hint="eastAsia"/>
        </w:rPr>
        <w:t>人员离职和调岗时，其在计算机系统中的对应用户必须及时删除或变更权限。</w:t>
      </w:r>
    </w:p>
    <w:p w14:paraId="1869ADD4">
      <w:pPr>
        <w:pStyle w:val="31"/>
      </w:pPr>
      <w:r>
        <w:t>When a person leaves the company or is transferred to another position, the corresponding user in the computer system must be deleted or have his/her permissions changed in a timely manner.</w:t>
      </w:r>
    </w:p>
    <w:p w14:paraId="61BDEBCD">
      <w:pPr>
        <w:pStyle w:val="31"/>
        <w:numPr>
          <w:ilvl w:val="0"/>
          <w:numId w:val="5"/>
        </w:numPr>
      </w:pPr>
      <w:r>
        <w:rPr>
          <w:rFonts w:hint="eastAsia"/>
        </w:rPr>
        <w:t>每月就计算机系统中现存的用户和权限与所属部门进行确认，确认继续使用的就保留，确认不再使用的就删除，确认角色变更的就变更权限。</w:t>
      </w:r>
    </w:p>
    <w:p w14:paraId="28604396">
      <w:pPr>
        <w:pStyle w:val="31"/>
      </w:pPr>
      <w:r>
        <w:t>Existing users and permissions in the computer system are confirmed with their respective departments on a monthly basis. Those confirmed to be in use will be retained, those confirmed to be no longer in use will be deleted, and permissions will be changed if roles are changed.</w:t>
      </w:r>
    </w:p>
    <w:p w14:paraId="10CDFA30">
      <w:pPr>
        <w:pStyle w:val="24"/>
        <w:spacing w:before="312"/>
        <w:rPr>
          <w:rFonts w:hint="eastAsia"/>
        </w:rPr>
      </w:pPr>
      <w:r>
        <w:rPr>
          <w:rFonts w:hint="eastAsia"/>
        </w:rPr>
        <w:t>密码管理Password Management</w:t>
      </w:r>
    </w:p>
    <w:p w14:paraId="5F8FB8EE">
      <w:pPr>
        <w:pStyle w:val="31"/>
        <w:numPr>
          <w:ilvl w:val="0"/>
          <w:numId w:val="6"/>
        </w:numPr>
      </w:pPr>
      <w:r>
        <w:rPr>
          <w:rFonts w:hint="eastAsia"/>
        </w:rPr>
        <w:t>所有系统都须启用密码策略，包括服务器、计算机、防火墙、交换机、路由器以及各应用系统等。</w:t>
      </w:r>
    </w:p>
    <w:p w14:paraId="6450A9DE">
      <w:pPr>
        <w:pStyle w:val="31"/>
      </w:pPr>
      <w:r>
        <w:t>All systems must enable password policies, including servers, computers, firewalls, switches, routers, and various application systems.</w:t>
      </w:r>
    </w:p>
    <w:p w14:paraId="0722E07C">
      <w:pPr>
        <w:pStyle w:val="31"/>
        <w:numPr>
          <w:ilvl w:val="0"/>
          <w:numId w:val="6"/>
        </w:numPr>
      </w:pPr>
      <w:r>
        <w:rPr>
          <w:rFonts w:hint="eastAsia"/>
        </w:rPr>
        <w:t>每年根据CIS基准更新密码策略，包括以下策略项：</w:t>
      </w:r>
    </w:p>
    <w:p w14:paraId="5078F605">
      <w:pPr>
        <w:pStyle w:val="31"/>
        <w:rPr>
          <w:rFonts w:hint="eastAsia" w:eastAsia="微软雅黑"/>
          <w:lang w:val="en-US" w:eastAsia="zh-CN"/>
        </w:rPr>
      </w:pPr>
      <w:r>
        <w:t xml:space="preserve">Update password policies annually based on </w:t>
      </w:r>
      <w:r>
        <w:rPr>
          <w:rFonts w:hint="default" w:ascii="Arial Italic" w:hAnsi="Arial Italic" w:cs="Arial Italic"/>
          <w:i/>
          <w:iCs/>
        </w:rPr>
        <w:t>CIS Benchmark</w:t>
      </w:r>
      <w:r>
        <w:t>, including the following policy items</w:t>
      </w:r>
      <w:r>
        <w:rPr>
          <w:rFonts w:hint="eastAsia"/>
          <w:lang w:val="en-US" w:eastAsia="zh-CN"/>
        </w:rPr>
        <w:t>:</w:t>
      </w:r>
    </w:p>
    <w:p w14:paraId="288651C4">
      <w:pPr>
        <w:pStyle w:val="31"/>
        <w:numPr>
          <w:ilvl w:val="0"/>
          <w:numId w:val="7"/>
        </w:numPr>
      </w:pPr>
      <w:r>
        <w:t>强制密码历史</w:t>
      </w:r>
    </w:p>
    <w:p w14:paraId="0577D3EF">
      <w:pPr>
        <w:pStyle w:val="31"/>
      </w:pPr>
      <w:r>
        <w:t>Enforce password history</w:t>
      </w:r>
    </w:p>
    <w:p w14:paraId="6A3404AB">
      <w:pPr>
        <w:pStyle w:val="31"/>
        <w:numPr>
          <w:ilvl w:val="0"/>
          <w:numId w:val="7"/>
        </w:numPr>
      </w:pPr>
      <w:r>
        <w:t>密码最长使用期限</w:t>
      </w:r>
    </w:p>
    <w:p w14:paraId="68F8CCAF">
      <w:pPr>
        <w:pStyle w:val="31"/>
      </w:pPr>
      <w:r>
        <w:t>Maximum password age</w:t>
      </w:r>
    </w:p>
    <w:p w14:paraId="6997C185">
      <w:pPr>
        <w:pStyle w:val="31"/>
        <w:numPr>
          <w:ilvl w:val="0"/>
          <w:numId w:val="7"/>
        </w:numPr>
      </w:pPr>
      <w:r>
        <w:t>密码最短使用期限</w:t>
      </w:r>
    </w:p>
    <w:p w14:paraId="7785A4A4">
      <w:pPr>
        <w:pStyle w:val="31"/>
      </w:pPr>
      <w:r>
        <w:t>Minimum password age</w:t>
      </w:r>
    </w:p>
    <w:p w14:paraId="44C10BAF">
      <w:pPr>
        <w:pStyle w:val="31"/>
        <w:numPr>
          <w:ilvl w:val="0"/>
          <w:numId w:val="7"/>
        </w:numPr>
      </w:pPr>
      <w:r>
        <w:t>最小密码长度</w:t>
      </w:r>
    </w:p>
    <w:p w14:paraId="210FDDD2">
      <w:pPr>
        <w:pStyle w:val="31"/>
      </w:pPr>
      <w:r>
        <w:t>Minimum password length</w:t>
      </w:r>
    </w:p>
    <w:p w14:paraId="1EA266DB">
      <w:pPr>
        <w:pStyle w:val="31"/>
        <w:numPr>
          <w:ilvl w:val="0"/>
          <w:numId w:val="7"/>
        </w:numPr>
      </w:pPr>
      <w:r>
        <w:t>密码必须满足复杂性要求</w:t>
      </w:r>
    </w:p>
    <w:p w14:paraId="1D2794B0">
      <w:pPr>
        <w:pStyle w:val="31"/>
      </w:pPr>
      <w:r>
        <w:t>Password must meet complexity requirements</w:t>
      </w:r>
    </w:p>
    <w:p w14:paraId="23724289">
      <w:pPr>
        <w:pStyle w:val="31"/>
        <w:numPr>
          <w:ilvl w:val="0"/>
          <w:numId w:val="7"/>
        </w:numPr>
      </w:pPr>
      <w:r>
        <w:rPr>
          <w:rFonts w:hint="eastAsia"/>
        </w:rPr>
        <w:t>可逆加密存储密码设为禁用</w:t>
      </w:r>
    </w:p>
    <w:p w14:paraId="43998F3A">
      <w:pPr>
        <w:pStyle w:val="31"/>
      </w:pPr>
      <w:r>
        <w:rPr>
          <w:rFonts w:hint="eastAsia"/>
        </w:rPr>
        <w:t>Store passwords using reversible encryption is set to disabled</w:t>
      </w:r>
    </w:p>
    <w:p w14:paraId="5A9A4FBC">
      <w:pPr>
        <w:pStyle w:val="31"/>
        <w:numPr>
          <w:ilvl w:val="0"/>
          <w:numId w:val="7"/>
        </w:numPr>
      </w:pPr>
      <w:r>
        <w:t>密码锁定时间</w:t>
      </w:r>
    </w:p>
    <w:p w14:paraId="65AB3FD6">
      <w:pPr>
        <w:pStyle w:val="31"/>
      </w:pPr>
      <w:r>
        <w:rPr>
          <w:rFonts w:hint="eastAsia"/>
        </w:rPr>
        <w:t>Account lockout duration</w:t>
      </w:r>
    </w:p>
    <w:p w14:paraId="3AD10DDC">
      <w:pPr>
        <w:pStyle w:val="31"/>
        <w:numPr>
          <w:ilvl w:val="0"/>
          <w:numId w:val="7"/>
        </w:numPr>
      </w:pPr>
      <w:r>
        <w:t>密码锁定阀值</w:t>
      </w:r>
    </w:p>
    <w:p w14:paraId="4B30E6F4">
      <w:pPr>
        <w:pStyle w:val="31"/>
      </w:pPr>
      <w:r>
        <w:rPr>
          <w:rFonts w:hint="eastAsia"/>
        </w:rPr>
        <w:t>Account lockout threshold</w:t>
      </w:r>
    </w:p>
    <w:p w14:paraId="21BB5BC8">
      <w:pPr>
        <w:pStyle w:val="31"/>
        <w:numPr>
          <w:ilvl w:val="0"/>
          <w:numId w:val="7"/>
        </w:numPr>
      </w:pPr>
      <w:r>
        <w:rPr>
          <w:rFonts w:hint="eastAsia"/>
        </w:rPr>
        <w:t>重置</w:t>
      </w:r>
      <w:r>
        <w:t>帐户锁定计数器</w:t>
      </w:r>
    </w:p>
    <w:p w14:paraId="4B265A82">
      <w:pPr>
        <w:pStyle w:val="31"/>
      </w:pPr>
      <w:r>
        <w:rPr>
          <w:rFonts w:hint="eastAsia"/>
        </w:rPr>
        <w:t>Reset account lockout counter after</w:t>
      </w:r>
    </w:p>
    <w:p w14:paraId="7F0F755A">
      <w:pPr>
        <w:pStyle w:val="31"/>
      </w:pPr>
      <w:r>
        <w:rPr>
          <w:rFonts w:hint="eastAsia"/>
        </w:rPr>
        <w:t>具体密码策略参见《系统访问控制流程》。</w:t>
      </w:r>
    </w:p>
    <w:p w14:paraId="363A63E6">
      <w:pPr>
        <w:pStyle w:val="31"/>
      </w:pPr>
      <w:r>
        <w:t>For specific password policies, please refer to the System Access Control Process</w:t>
      </w:r>
      <w:r>
        <w:rPr>
          <w:rFonts w:hint="eastAsia"/>
        </w:rPr>
        <w:t>.</w:t>
      </w:r>
    </w:p>
    <w:p w14:paraId="75146C82">
      <w:pPr>
        <w:pStyle w:val="24"/>
        <w:spacing w:before="312"/>
        <w:rPr>
          <w:rFonts w:hint="eastAsia"/>
        </w:rPr>
      </w:pPr>
      <w:r>
        <w:rPr>
          <w:rFonts w:hint="eastAsia"/>
        </w:rPr>
        <w:t>远程访问Remote Access</w:t>
      </w:r>
    </w:p>
    <w:p w14:paraId="6C8BC484">
      <w:pPr>
        <w:pStyle w:val="31"/>
        <w:numPr>
          <w:ilvl w:val="0"/>
          <w:numId w:val="5"/>
        </w:numPr>
      </w:pPr>
      <w:r>
        <w:rPr>
          <w:rFonts w:hint="eastAsia"/>
        </w:rPr>
        <w:t>高安全区域的服务器和敏感系统禁止被远程访问。</w:t>
      </w:r>
    </w:p>
    <w:p w14:paraId="15DC6F7B">
      <w:pPr>
        <w:pStyle w:val="31"/>
      </w:pPr>
      <w:r>
        <w:rPr>
          <w:rFonts w:hint="eastAsia"/>
        </w:rPr>
        <w:t>Servers and sensitive systems in high - security areas are prohibited from being accessed remotely.</w:t>
      </w:r>
    </w:p>
    <w:p w14:paraId="10B28F0D">
      <w:pPr>
        <w:pStyle w:val="24"/>
        <w:spacing w:before="312"/>
        <w:rPr>
          <w:rFonts w:hint="eastAsia"/>
        </w:rPr>
      </w:pPr>
      <w:r>
        <w:rPr>
          <w:rFonts w:hint="eastAsia"/>
        </w:rPr>
        <w:t>网络管理Network Management</w:t>
      </w:r>
    </w:p>
    <w:p w14:paraId="7F3E1F00">
      <w:pPr>
        <w:pStyle w:val="31"/>
        <w:numPr>
          <w:ilvl w:val="0"/>
          <w:numId w:val="5"/>
        </w:numPr>
      </w:pPr>
      <w:r>
        <w:rPr>
          <w:rFonts w:hint="eastAsia"/>
        </w:rPr>
        <w:t>用至少两道商业级防火墙逻辑隔离敏感系统所在的网络与不安全网络，须被独立隔离的高安全网络包括研发网络、生产网络、</w:t>
      </w:r>
      <w:r>
        <w:rPr>
          <w:rFonts w:hint="eastAsia"/>
          <w:lang w:val="en-US" w:eastAsia="zh-CN"/>
        </w:rPr>
        <w:t>SM</w:t>
      </w:r>
      <w:r>
        <w:rPr>
          <w:rFonts w:hint="eastAsia"/>
        </w:rPr>
        <w:t>网络。</w:t>
      </w:r>
    </w:p>
    <w:p w14:paraId="01632FCD">
      <w:pPr>
        <w:pStyle w:val="31"/>
      </w:pPr>
      <w:r>
        <w:t xml:space="preserve">Use at least two enterprise-grade firewalls to logically isolate sensitive systems from insecure networks. High security networks that require independent isolation include </w:t>
      </w:r>
      <w:r>
        <w:rPr>
          <w:rFonts w:hint="eastAsia"/>
        </w:rPr>
        <w:t>R&amp;D</w:t>
      </w:r>
      <w:r>
        <w:t xml:space="preserve"> networks, production networks, and </w:t>
      </w:r>
      <w:r>
        <w:rPr>
          <w:rFonts w:hint="eastAsia"/>
          <w:lang w:val="en-US" w:eastAsia="zh-CN"/>
        </w:rPr>
        <w:t>SM</w:t>
      </w:r>
      <w:r>
        <w:t xml:space="preserve"> networks.</w:t>
      </w:r>
    </w:p>
    <w:p w14:paraId="7C83A9DF">
      <w:pPr>
        <w:pStyle w:val="31"/>
        <w:numPr>
          <w:ilvl w:val="0"/>
          <w:numId w:val="5"/>
        </w:numPr>
      </w:pPr>
      <w:r>
        <w:rPr>
          <w:rFonts w:hint="eastAsia"/>
        </w:rPr>
        <w:t>高安全网络与不安全网络之间只能通过DMZ区传输数据，不能直接连接。并且还须遵循最低准入原则，如设置白名单仅允许必须的IP和服务接入。</w:t>
      </w:r>
    </w:p>
    <w:p w14:paraId="3E186EB0">
      <w:pPr>
        <w:pStyle w:val="31"/>
      </w:pPr>
      <w:r>
        <w:t xml:space="preserve">High security networks and insecure networks can only transmit data through the DMZ area and cannot be directly connected. </w:t>
      </w:r>
      <w:r>
        <w:rPr>
          <w:rFonts w:hint="eastAsia"/>
          <w:lang w:val="en-US" w:eastAsia="zh-CN"/>
        </w:rPr>
        <w:t>a</w:t>
      </w:r>
      <w:r>
        <w:t xml:space="preserve">nd it is also necessary to follow the principle of minimum </w:t>
      </w:r>
      <w:r>
        <w:rPr>
          <w:rFonts w:hint="eastAsia"/>
        </w:rPr>
        <w:t>access</w:t>
      </w:r>
      <w:r>
        <w:t>, such as setting a whitelist that only allows</w:t>
      </w:r>
      <w:r>
        <w:rPr>
          <w:rFonts w:hint="eastAsia"/>
        </w:rPr>
        <w:t xml:space="preserve"> access from</w:t>
      </w:r>
      <w:r>
        <w:t xml:space="preserve"> necessary IP </w:t>
      </w:r>
      <w:r>
        <w:rPr>
          <w:rFonts w:hint="eastAsia"/>
        </w:rPr>
        <w:t>addresses</w:t>
      </w:r>
      <w:r>
        <w:rPr>
          <w:rFonts w:hint="eastAsia"/>
          <w:lang w:val="en-US" w:eastAsia="zh-CN"/>
        </w:rPr>
        <w:t xml:space="preserve"> </w:t>
      </w:r>
      <w:r>
        <w:t>and service access.</w:t>
      </w:r>
    </w:p>
    <w:p w14:paraId="6AAA6507">
      <w:pPr>
        <w:pStyle w:val="31"/>
        <w:numPr>
          <w:ilvl w:val="0"/>
          <w:numId w:val="5"/>
        </w:numPr>
      </w:pPr>
      <w:r>
        <w:rPr>
          <w:rFonts w:hint="eastAsia"/>
        </w:rPr>
        <w:t>使用的商业级防火墙要具有有效的入侵检查功能。</w:t>
      </w:r>
    </w:p>
    <w:p w14:paraId="3E73F42E">
      <w:pPr>
        <w:pStyle w:val="31"/>
      </w:pPr>
      <w:r>
        <w:t>The enterprise-grade firewall used should have effective intrusion detection capabilities</w:t>
      </w:r>
      <w:r>
        <w:rPr>
          <w:rFonts w:hint="eastAsia"/>
        </w:rPr>
        <w:t>.</w:t>
      </w:r>
    </w:p>
    <w:p w14:paraId="5495B6F4">
      <w:pPr>
        <w:pStyle w:val="31"/>
        <w:numPr>
          <w:ilvl w:val="0"/>
          <w:numId w:val="5"/>
        </w:numPr>
      </w:pPr>
      <w:r>
        <w:rPr>
          <w:rFonts w:hint="eastAsia"/>
        </w:rPr>
        <w:t>同一虚拟平台上的虚拟机禁止跨两个安全级别的网络。</w:t>
      </w:r>
    </w:p>
    <w:p w14:paraId="3C84CE7B">
      <w:pPr>
        <w:pStyle w:val="31"/>
      </w:pPr>
      <w:r>
        <w:t>Virtual machines on the same virtual platform are prohibited from crossing networks of two security levels.</w:t>
      </w:r>
    </w:p>
    <w:p w14:paraId="7D6AC983">
      <w:pPr>
        <w:pStyle w:val="31"/>
        <w:numPr>
          <w:ilvl w:val="0"/>
          <w:numId w:val="5"/>
        </w:numPr>
      </w:pPr>
      <w:r>
        <w:rPr>
          <w:rFonts w:hint="eastAsia"/>
        </w:rPr>
        <w:t>禁止用交换机VLAN来划分不同安全级别的网络。</w:t>
      </w:r>
    </w:p>
    <w:p w14:paraId="73609277">
      <w:pPr>
        <w:pStyle w:val="31"/>
      </w:pPr>
      <w:r>
        <w:t>Prohibit using switch VLANs to divide networks of different security levels.</w:t>
      </w:r>
    </w:p>
    <w:p w14:paraId="0D17E4AF">
      <w:pPr>
        <w:pStyle w:val="31"/>
        <w:numPr>
          <w:ilvl w:val="0"/>
          <w:numId w:val="5"/>
        </w:numPr>
      </w:pPr>
      <w:r>
        <w:rPr>
          <w:rFonts w:hint="eastAsia"/>
        </w:rPr>
        <w:t>定期对高安全网络及前端DMZ进行内部和外部漏洞扫描、渗透测试，以主动识别潜在的风险。</w:t>
      </w:r>
    </w:p>
    <w:p w14:paraId="713FC11D">
      <w:pPr>
        <w:pStyle w:val="31"/>
      </w:pPr>
      <w:r>
        <w:t>Regularly conduct internal and external vulnerability scans and penetration testing on high security networks and front-end DMZs to proactively identify potential risks.</w:t>
      </w:r>
    </w:p>
    <w:p w14:paraId="0BCA74D0">
      <w:pPr>
        <w:pStyle w:val="31"/>
        <w:numPr>
          <w:ilvl w:val="0"/>
          <w:numId w:val="5"/>
        </w:numPr>
      </w:pPr>
      <w:r>
        <w:rPr>
          <w:rFonts w:hint="eastAsia"/>
        </w:rPr>
        <w:t>只有IT管理员才能对网络架构进行调整，且调整前须经过</w:t>
      </w:r>
      <w:r>
        <w:rPr>
          <w:rFonts w:hint="eastAsia"/>
          <w:lang w:val="en-US" w:eastAsia="zh-CN"/>
        </w:rPr>
        <w:t>IT</w:t>
      </w:r>
      <w:r>
        <w:rPr>
          <w:rFonts w:hint="eastAsia"/>
        </w:rPr>
        <w:t>经理和CISO审批。</w:t>
      </w:r>
    </w:p>
    <w:p w14:paraId="2E35CA18">
      <w:pPr>
        <w:pStyle w:val="31"/>
      </w:pPr>
      <w:r>
        <w:t xml:space="preserve">Only the </w:t>
      </w:r>
      <w:r>
        <w:rPr>
          <w:rFonts w:hint="eastAsia"/>
        </w:rPr>
        <w:t>IT</w:t>
      </w:r>
      <w:r>
        <w:t xml:space="preserve"> administrator can adjust the network architecture, and the adjustment must be approved by the </w:t>
      </w:r>
      <w:r>
        <w:rPr>
          <w:rFonts w:hint="eastAsia"/>
        </w:rPr>
        <w:t>IT</w:t>
      </w:r>
      <w:r>
        <w:t xml:space="preserve"> </w:t>
      </w:r>
      <w:r>
        <w:rPr>
          <w:rFonts w:hint="eastAsia"/>
        </w:rPr>
        <w:t>M</w:t>
      </w:r>
      <w:r>
        <w:t>anager and CISO before it can be made.</w:t>
      </w:r>
    </w:p>
    <w:p w14:paraId="6BAC205A">
      <w:pPr>
        <w:pStyle w:val="31"/>
        <w:numPr>
          <w:ilvl w:val="0"/>
          <w:numId w:val="5"/>
        </w:numPr>
      </w:pPr>
      <w:r>
        <w:rPr>
          <w:rFonts w:hint="eastAsia"/>
          <w:lang w:val="en-US" w:eastAsia="zh-CN"/>
        </w:rPr>
        <w:t>具体网络管理参见《网络安全控制流程》</w:t>
      </w:r>
      <w:r>
        <w:rPr>
          <w:rFonts w:hint="eastAsia"/>
        </w:rPr>
        <w:t>。</w:t>
      </w:r>
    </w:p>
    <w:p w14:paraId="752982B3">
      <w:pPr>
        <w:pStyle w:val="31"/>
      </w:pPr>
      <w:r>
        <w:t>For specific network management, please refer to</w:t>
      </w:r>
      <w:r>
        <w:rPr>
          <w:rFonts w:hint="default"/>
        </w:rPr>
        <w:t> Network security control process.</w:t>
      </w:r>
    </w:p>
    <w:p w14:paraId="52C8F155">
      <w:pPr>
        <w:pStyle w:val="31"/>
      </w:pPr>
    </w:p>
    <w:p w14:paraId="4766DF2C">
      <w:pPr>
        <w:pStyle w:val="31"/>
      </w:pPr>
    </w:p>
    <w:p w14:paraId="5BDAF59A">
      <w:pPr>
        <w:pStyle w:val="24"/>
        <w:spacing w:before="312"/>
        <w:rPr>
          <w:rFonts w:hint="eastAsia"/>
        </w:rPr>
      </w:pPr>
      <w:r>
        <w:rPr>
          <w:rFonts w:hint="eastAsia"/>
        </w:rPr>
        <w:t>防火墙管理Firewall Management</w:t>
      </w:r>
    </w:p>
    <w:p w14:paraId="27E4817A">
      <w:pPr>
        <w:pStyle w:val="31"/>
        <w:numPr>
          <w:ilvl w:val="0"/>
          <w:numId w:val="5"/>
        </w:numPr>
      </w:pPr>
      <w:r>
        <w:rPr>
          <w:rFonts w:hint="eastAsia"/>
        </w:rPr>
        <w:t>防火墙的变更须经过IT经理和CISO审批后方可执行，并且须留存变更记录。</w:t>
      </w:r>
    </w:p>
    <w:p w14:paraId="4D6ECD28">
      <w:pPr>
        <w:pStyle w:val="31"/>
      </w:pPr>
      <w:r>
        <w:t xml:space="preserve">Changes to the firewall must be approved by the </w:t>
      </w:r>
      <w:r>
        <w:rPr>
          <w:rFonts w:hint="eastAsia"/>
        </w:rPr>
        <w:t>IT</w:t>
      </w:r>
      <w:r>
        <w:t xml:space="preserve"> Manager and CISO before implementation, and change records must be kept.</w:t>
      </w:r>
    </w:p>
    <w:p w14:paraId="477582AB">
      <w:pPr>
        <w:pStyle w:val="31"/>
        <w:numPr>
          <w:ilvl w:val="0"/>
          <w:numId w:val="5"/>
        </w:numPr>
      </w:pPr>
      <w:r>
        <w:rPr>
          <w:rFonts w:hint="eastAsia"/>
        </w:rPr>
        <w:t>防火墙的管理必须在双控下执行。</w:t>
      </w:r>
    </w:p>
    <w:p w14:paraId="0C45B107">
      <w:pPr>
        <w:pStyle w:val="31"/>
      </w:pPr>
      <w:r>
        <w:t>The management of firewalls must be carried out under dual control.</w:t>
      </w:r>
    </w:p>
    <w:p w14:paraId="7FE4761B">
      <w:pPr>
        <w:pStyle w:val="31"/>
        <w:numPr>
          <w:ilvl w:val="0"/>
          <w:numId w:val="5"/>
        </w:numPr>
      </w:pPr>
      <w:r>
        <w:rPr>
          <w:rFonts w:hint="eastAsia"/>
        </w:rPr>
        <w:t>防火墙的管理必须遵循《网络安全控制流程》第4章节安全策略</w:t>
      </w:r>
    </w:p>
    <w:p w14:paraId="0776A6D2">
      <w:pPr>
        <w:pStyle w:val="31"/>
      </w:pPr>
      <w:r>
        <w:t xml:space="preserve">The management of firewalls must follow the security policies in Chapter 4 of </w:t>
      </w:r>
      <w:r>
        <w:rPr>
          <w:rFonts w:hint="eastAsia"/>
          <w:lang w:val="en-US" w:eastAsia="zh-CN"/>
        </w:rPr>
        <w:t xml:space="preserve">the </w:t>
      </w:r>
      <w:r>
        <w:t>Network Security Control Process</w:t>
      </w:r>
      <w:r>
        <w:rPr>
          <w:rFonts w:hint="eastAsia"/>
        </w:rPr>
        <w:t>.</w:t>
      </w:r>
    </w:p>
    <w:p w14:paraId="60DD10ED">
      <w:pPr>
        <w:pStyle w:val="24"/>
        <w:spacing w:before="312"/>
        <w:rPr>
          <w:rFonts w:hint="eastAsia"/>
        </w:rPr>
      </w:pPr>
      <w:r>
        <w:rPr>
          <w:rFonts w:hint="eastAsia"/>
        </w:rPr>
        <w:t>漏洞扫描Vulnerability Scanning</w:t>
      </w:r>
    </w:p>
    <w:p w14:paraId="17F2DCCA">
      <w:pPr>
        <w:pStyle w:val="31"/>
        <w:numPr>
          <w:ilvl w:val="0"/>
          <w:numId w:val="5"/>
        </w:numPr>
      </w:pPr>
      <w:r>
        <w:rPr>
          <w:rFonts w:hint="eastAsia"/>
        </w:rPr>
        <w:t>为了识别敏感系统所在网络存在的漏洞，定期或有重大变更时，须做内部和外部的漏洞扫描并生成报告。如果报告中发现</w:t>
      </w:r>
      <w:r>
        <w:rPr>
          <w:rFonts w:hint="eastAsia"/>
          <w:lang w:val="en-US" w:eastAsia="zh-CN"/>
        </w:rPr>
        <w:t>关键</w:t>
      </w:r>
      <w:r>
        <w:rPr>
          <w:rFonts w:hint="eastAsia"/>
        </w:rPr>
        <w:t>、严重、中等漏洞，须对这次漏洞进行处理以降低安全风险。内部漏洞扫描可由本公司技术人员执行，外部漏洞扫描须由第三方公司执行。</w:t>
      </w:r>
      <w:r>
        <w:rPr>
          <w:rFonts w:hint="eastAsia"/>
          <w:lang w:val="en-US" w:eastAsia="zh-CN"/>
        </w:rPr>
        <w:t>具体参照《</w:t>
      </w:r>
      <w:r>
        <w:rPr>
          <w:rFonts w:hint="eastAsia"/>
        </w:rPr>
        <w:t>网络安全控制流程</w:t>
      </w:r>
      <w:r>
        <w:rPr>
          <w:rFonts w:hint="eastAsia"/>
          <w:lang w:val="en-US" w:eastAsia="zh-CN"/>
        </w:rPr>
        <w:t>》3.2章节。</w:t>
      </w:r>
    </w:p>
    <w:p w14:paraId="2F782118">
      <w:pPr>
        <w:pStyle w:val="31"/>
      </w:pPr>
      <w:r>
        <w:rPr>
          <w:rFonts w:hint="eastAsia"/>
        </w:rPr>
        <w:t>In order to identify vulnerabilities in the network where sensitive systems are located, internal and external vulnerability scans must be conducted regularly or when there are significant changes, and reports must be generated. If critical, serious, or moderate vulnerabilities are found in the report, they must be addressed to reduce security risks. Internal vulnerability scanning can be performed by our technical personnel, while external vulnerability scanning must be performed by a third-party company</w:t>
      </w:r>
      <w:r>
        <w:rPr>
          <w:rFonts w:hint="eastAsia"/>
          <w:lang w:val="en-US" w:eastAsia="zh-CN"/>
        </w:rPr>
        <w:t>.</w:t>
      </w:r>
      <w:r>
        <w:rPr>
          <w:rFonts w:hint="eastAsia"/>
        </w:rPr>
        <w:t>Please refer specifically to Section 3.2 of Network Security Control Process</w:t>
      </w:r>
      <w:r>
        <w:t>.</w:t>
      </w:r>
    </w:p>
    <w:p w14:paraId="457432D3">
      <w:pPr>
        <w:pStyle w:val="24"/>
        <w:spacing w:before="312"/>
        <w:rPr>
          <w:rFonts w:hint="eastAsia"/>
        </w:rPr>
      </w:pPr>
      <w:r>
        <w:rPr>
          <w:rFonts w:hint="eastAsia"/>
        </w:rPr>
        <w:t>渗透测试Penetration Testing</w:t>
      </w:r>
    </w:p>
    <w:p w14:paraId="2575237C">
      <w:pPr>
        <w:pStyle w:val="31"/>
        <w:numPr>
          <w:ilvl w:val="0"/>
          <w:numId w:val="5"/>
        </w:numPr>
      </w:pPr>
      <w:r>
        <w:rPr>
          <w:rFonts w:hint="eastAsia"/>
        </w:rPr>
        <w:t>定期或有重大变更时，须针对漏洞扫描中发现的漏洞做渗透测试，以进一步确定漏洞是否能被渗透。如果有漏洞能被渗透就必须被关闭。</w:t>
      </w:r>
      <w:r>
        <w:rPr>
          <w:rFonts w:hint="eastAsia"/>
          <w:lang w:val="en-US" w:eastAsia="zh-CN"/>
        </w:rPr>
        <w:t>具体参照《</w:t>
      </w:r>
      <w:r>
        <w:rPr>
          <w:rFonts w:hint="eastAsia"/>
        </w:rPr>
        <w:t>网络安全控制流程</w:t>
      </w:r>
      <w:r>
        <w:rPr>
          <w:rFonts w:hint="eastAsia"/>
          <w:lang w:val="en-US" w:eastAsia="zh-CN"/>
        </w:rPr>
        <w:t>》3.2章节。</w:t>
      </w:r>
    </w:p>
    <w:p w14:paraId="45A224DC">
      <w:pPr>
        <w:pStyle w:val="31"/>
      </w:pPr>
      <w:r>
        <w:rPr>
          <w:rFonts w:hint="eastAsia"/>
        </w:rPr>
        <w:t>When there are regular or significant changes, penetration testing must be conducted on vulnerabilities discovered during vulnerability scanning to further determine whether the vulnerabilities can be penetrated. If there are vulnerabilities that can be penetrated, they must be closed</w:t>
      </w:r>
      <w:r>
        <w:t>.</w:t>
      </w:r>
      <w:r>
        <w:rPr>
          <w:rFonts w:hint="eastAsia"/>
        </w:rPr>
        <w:t>Please refer specifically to Section 3.2 of Network Security Control Process</w:t>
      </w:r>
      <w:r>
        <w:t>.</w:t>
      </w:r>
    </w:p>
    <w:p w14:paraId="743B1EE2">
      <w:pPr>
        <w:pStyle w:val="24"/>
        <w:spacing w:before="312"/>
        <w:rPr>
          <w:rFonts w:hint="eastAsia"/>
        </w:rPr>
      </w:pPr>
      <w:r>
        <w:rPr>
          <w:rFonts w:hint="eastAsia"/>
        </w:rPr>
        <w:t>变更管理Change Management</w:t>
      </w:r>
    </w:p>
    <w:p w14:paraId="67476803">
      <w:pPr>
        <w:pStyle w:val="31"/>
        <w:numPr>
          <w:ilvl w:val="0"/>
          <w:numId w:val="5"/>
        </w:numPr>
      </w:pPr>
      <w:r>
        <w:rPr>
          <w:rFonts w:hint="eastAsia"/>
        </w:rPr>
        <w:t>为了确保IT系统的业务连续性和安全性，针对IT系统的任何变更都必须严格按照变更流程执行。其变更流程包括了：申请、审批、方案评估、安全性评估、执行、验收等环节，并形成纸质记录用于追溯。</w:t>
      </w:r>
      <w:r>
        <w:rPr>
          <w:rFonts w:hint="eastAsia"/>
          <w:lang w:val="en-US" w:eastAsia="zh-CN"/>
        </w:rPr>
        <w:t>具体参照《</w:t>
      </w:r>
      <w:r>
        <w:rPr>
          <w:rFonts w:hint="eastAsia"/>
        </w:rPr>
        <w:t>网络安全控制流程</w:t>
      </w:r>
      <w:r>
        <w:rPr>
          <w:rFonts w:hint="eastAsia"/>
          <w:lang w:val="en-US" w:eastAsia="zh-CN"/>
        </w:rPr>
        <w:t>》3.1章节。</w:t>
      </w:r>
    </w:p>
    <w:p w14:paraId="29CB1BE0">
      <w:pPr>
        <w:pStyle w:val="31"/>
      </w:pPr>
      <w:r>
        <w:t>In order to ensure the business continuity and security of the IT system, any changes to the IT system must be strictly executed according to the change process. The change process includes: application, approval, scheme evaluation, security assessment, execution, acceptance, etc., and forms paper records for traceability.</w:t>
      </w:r>
      <w:r>
        <w:rPr>
          <w:rFonts w:hint="eastAsia"/>
        </w:rPr>
        <w:t>Please refer specifically to Section 3.</w:t>
      </w:r>
      <w:r>
        <w:rPr>
          <w:rFonts w:hint="eastAsia"/>
          <w:lang w:val="en-US" w:eastAsia="zh-CN"/>
        </w:rPr>
        <w:t>1</w:t>
      </w:r>
      <w:r>
        <w:rPr>
          <w:rFonts w:hint="eastAsia"/>
        </w:rPr>
        <w:t xml:space="preserve"> of Network Security Control Process</w:t>
      </w:r>
      <w:r>
        <w:t>.</w:t>
      </w:r>
    </w:p>
    <w:p w14:paraId="373DEC46">
      <w:pPr>
        <w:pStyle w:val="24"/>
        <w:spacing w:before="312"/>
        <w:rPr>
          <w:rFonts w:hint="eastAsia"/>
        </w:rPr>
      </w:pPr>
      <w:r>
        <w:rPr>
          <w:rFonts w:hint="eastAsia"/>
        </w:rPr>
        <w:t>补丁</w:t>
      </w:r>
      <w:r>
        <w:rPr>
          <w:rFonts w:hint="eastAsia"/>
          <w:lang w:val="en-US" w:eastAsia="zh-CN"/>
        </w:rPr>
        <w:t>更新</w:t>
      </w:r>
      <w:r>
        <w:rPr>
          <w:rFonts w:hint="eastAsia"/>
        </w:rPr>
        <w:t>Patch Update</w:t>
      </w:r>
    </w:p>
    <w:p w14:paraId="60CA5219">
      <w:pPr>
        <w:pStyle w:val="31"/>
        <w:numPr>
          <w:ilvl w:val="0"/>
          <w:numId w:val="5"/>
        </w:numPr>
      </w:pPr>
      <w:r>
        <w:rPr>
          <w:rFonts w:hint="eastAsia"/>
        </w:rPr>
        <w:t>为了降低IT系统本身的漏洞带来的风险，须定期对所有的IT系统进行升级，特别是安全漏洞的修补升级。涉及的IT系统包括但不限于：防火墙、操作系统、应用软件。</w:t>
      </w:r>
    </w:p>
    <w:p w14:paraId="4E6DA260">
      <w:pPr>
        <w:pStyle w:val="31"/>
      </w:pPr>
      <w:r>
        <w:t>In order to reduce the risk of vulnerabilities in the IT system itself, it is necessary to regularly upgrade all IT systems, especially the patching and upgrading of security vulnerabilities. The IT systems involved include but are not limited to firewalls, operating systems, and application software.</w:t>
      </w:r>
    </w:p>
    <w:p w14:paraId="385A229C">
      <w:pPr>
        <w:pStyle w:val="31"/>
        <w:numPr>
          <w:ilvl w:val="0"/>
          <w:numId w:val="5"/>
        </w:numPr>
      </w:pPr>
      <w:r>
        <w:rPr>
          <w:rFonts w:hint="eastAsia"/>
        </w:rPr>
        <w:t>须定期对IT系统的补丁升级进行检查，以确保补丁被及时有效的执行。</w:t>
      </w:r>
    </w:p>
    <w:p w14:paraId="1DAA74B6">
      <w:pPr>
        <w:pStyle w:val="31"/>
      </w:pPr>
      <w:r>
        <w:t>Regular checks must be conducted on IT system patch upgrades to ensure timely and effective execution of patches.</w:t>
      </w:r>
    </w:p>
    <w:p w14:paraId="54D1DB81">
      <w:pPr>
        <w:pStyle w:val="31"/>
        <w:numPr>
          <w:ilvl w:val="0"/>
          <w:numId w:val="5"/>
        </w:numPr>
      </w:pPr>
      <w:r>
        <w:rPr>
          <w:rFonts w:hint="eastAsia"/>
          <w:lang w:val="en-US" w:eastAsia="zh-CN"/>
        </w:rPr>
        <w:t>具体参照《系统安全控制流程》第4章</w:t>
      </w:r>
    </w:p>
    <w:p w14:paraId="4683D4DB">
      <w:pPr>
        <w:pStyle w:val="31"/>
        <w:rPr>
          <w:rFonts w:hint="eastAsia"/>
          <w:lang w:val="en-US" w:eastAsia="zh-CN"/>
        </w:rPr>
      </w:pPr>
      <w:r>
        <w:rPr>
          <w:rFonts w:hint="eastAsia"/>
        </w:rPr>
        <w:t>Please refer specifically to Chapter 4 of System security control process</w:t>
      </w:r>
      <w:r>
        <w:t>.</w:t>
      </w:r>
    </w:p>
    <w:p w14:paraId="539CB86C">
      <w:pPr>
        <w:pStyle w:val="24"/>
        <w:spacing w:before="312"/>
        <w:rPr>
          <w:rFonts w:hint="eastAsia"/>
        </w:rPr>
      </w:pPr>
      <w:r>
        <w:rPr>
          <w:rFonts w:hint="eastAsia"/>
        </w:rPr>
        <w:t>系统加固System Hardening</w:t>
      </w:r>
    </w:p>
    <w:p w14:paraId="5F2303DE">
      <w:pPr>
        <w:pStyle w:val="31"/>
        <w:numPr>
          <w:ilvl w:val="0"/>
          <w:numId w:val="5"/>
        </w:numPr>
      </w:pPr>
      <w:r>
        <w:rPr>
          <w:rFonts w:hint="eastAsia"/>
        </w:rPr>
        <w:t>任何IT系统在被接入正式环境时都需要做系统加固，系统加固的标准参考CIS基准</w:t>
      </w:r>
      <w:r>
        <w:t>CIS Benchmark</w:t>
      </w:r>
      <w:r>
        <w:rPr>
          <w:rFonts w:hint="eastAsia"/>
        </w:rPr>
        <w:t>。至少每年同步CIS基准更新一次内部的系统加固标准。</w:t>
      </w:r>
    </w:p>
    <w:p w14:paraId="332F0016">
      <w:pPr>
        <w:pStyle w:val="31"/>
      </w:pPr>
      <w:r>
        <w:t>Any IT system needs to undergo system reinforcement when connected to a formal environment, and the standards for system reinforcement refer to the CIS benchmark. At least once a year, update the internal system reinforcement standards in sync with the CIS benchmark.</w:t>
      </w:r>
    </w:p>
    <w:p w14:paraId="52A78B7B">
      <w:pPr>
        <w:pStyle w:val="31"/>
        <w:numPr>
          <w:ilvl w:val="0"/>
          <w:numId w:val="5"/>
        </w:numPr>
      </w:pPr>
      <w:r>
        <w:rPr>
          <w:rFonts w:hint="eastAsia"/>
        </w:rPr>
        <w:t>在对各IT系统实施系统加固后要形成作业记录。</w:t>
      </w:r>
    </w:p>
    <w:p w14:paraId="4B7B2E32">
      <w:pPr>
        <w:pStyle w:val="31"/>
      </w:pPr>
      <w:r>
        <w:t>After implementing system reinforcement on various IT systems, job records should be formed.</w:t>
      </w:r>
    </w:p>
    <w:p w14:paraId="00E9BDE8">
      <w:pPr>
        <w:pStyle w:val="31"/>
        <w:numPr>
          <w:ilvl w:val="0"/>
          <w:numId w:val="5"/>
        </w:numPr>
      </w:pPr>
      <w:r>
        <w:rPr>
          <w:rFonts w:hint="eastAsia"/>
          <w:lang w:val="en-US" w:eastAsia="zh-CN"/>
        </w:rPr>
        <w:t>具体参照《系统安全控制流程》第7章</w:t>
      </w:r>
      <w:r>
        <w:rPr>
          <w:rFonts w:hint="eastAsia"/>
        </w:rPr>
        <w:t>。</w:t>
      </w:r>
    </w:p>
    <w:p w14:paraId="519352B1">
      <w:pPr>
        <w:pStyle w:val="31"/>
      </w:pPr>
      <w:r>
        <w:rPr>
          <w:rFonts w:hint="eastAsia"/>
        </w:rPr>
        <w:t xml:space="preserve">Please refer specifically to Chapter </w:t>
      </w:r>
      <w:r>
        <w:rPr>
          <w:rFonts w:hint="eastAsia"/>
          <w:lang w:val="en-US" w:eastAsia="zh-CN"/>
        </w:rPr>
        <w:t>7</w:t>
      </w:r>
      <w:r>
        <w:rPr>
          <w:rFonts w:hint="eastAsia"/>
        </w:rPr>
        <w:t xml:space="preserve"> of System security control process</w:t>
      </w:r>
      <w:r>
        <w:t>.</w:t>
      </w:r>
    </w:p>
    <w:p w14:paraId="0BA7F33A">
      <w:pPr>
        <w:pStyle w:val="24"/>
        <w:spacing w:before="312"/>
        <w:rPr>
          <w:rFonts w:hint="eastAsia"/>
        </w:rPr>
      </w:pPr>
      <w:r>
        <w:rPr>
          <w:rFonts w:hint="eastAsia"/>
        </w:rPr>
        <w:t>病毒控制Virus Control</w:t>
      </w:r>
    </w:p>
    <w:p w14:paraId="45594025">
      <w:pPr>
        <w:pStyle w:val="31"/>
        <w:numPr>
          <w:ilvl w:val="0"/>
          <w:numId w:val="5"/>
        </w:numPr>
      </w:pPr>
      <w:r>
        <w:rPr>
          <w:rFonts w:hint="eastAsia"/>
        </w:rPr>
        <w:t>任何IT操作系统在被接入正式环境前都需要安装反病毒软件，并且确保反病毒更新到最新。然后对该IT操作系统进行一次全盘扫描，确定没有发现病毒后方可接入正式环境。</w:t>
      </w:r>
    </w:p>
    <w:p w14:paraId="2C6F9A8C">
      <w:pPr>
        <w:pStyle w:val="31"/>
      </w:pPr>
      <w:r>
        <w:t>Any IT operating system needs to install antivirus software and ensure that it is up-to-date before being integrated into the official environment. Then conduct a comprehensive scan of the IT operating system to ensure that no viruses are detected before it can be integrated into the official environment.</w:t>
      </w:r>
    </w:p>
    <w:p w14:paraId="3C078312">
      <w:pPr>
        <w:pStyle w:val="31"/>
        <w:numPr>
          <w:ilvl w:val="0"/>
          <w:numId w:val="5"/>
        </w:numPr>
      </w:pPr>
      <w:r>
        <w:rPr>
          <w:rFonts w:hint="eastAsia"/>
        </w:rPr>
        <w:t>须定期对反病毒服务器和终端的反病毒库更新、定期全盘扫描、是否发现病毒进行检查，以确保病毒防御被有效开启。</w:t>
      </w:r>
    </w:p>
    <w:p w14:paraId="6262793D">
      <w:pPr>
        <w:pStyle w:val="31"/>
      </w:pPr>
      <w:r>
        <w:t>It is necessary to regularly update the anti-virus database of anti-virus servers and terminals, conduct comprehensive scans regularly, and check for virus detection to ensure that virus defense is effectively activated.</w:t>
      </w:r>
    </w:p>
    <w:p w14:paraId="6C1AA908">
      <w:pPr>
        <w:pStyle w:val="31"/>
        <w:numPr>
          <w:ilvl w:val="0"/>
          <w:numId w:val="5"/>
        </w:numPr>
      </w:pPr>
      <w:r>
        <w:rPr>
          <w:rFonts w:hint="eastAsia"/>
        </w:rPr>
        <w:t>一旦发现病毒要及时调查处理，确定病毒的来源、影响范围、是否被隔离，以降低病毒带来的风险。</w:t>
      </w:r>
    </w:p>
    <w:p w14:paraId="4FB1BC70">
      <w:pPr>
        <w:pStyle w:val="31"/>
      </w:pPr>
      <w:r>
        <w:t>Once a virus is discovered, it should be promptly investigated and dealt with to determine the source, scope of impact, and whether it has been isolated, in order to reduce the risks posed by the virus.</w:t>
      </w:r>
    </w:p>
    <w:p w14:paraId="6FE423E6">
      <w:pPr>
        <w:pStyle w:val="31"/>
        <w:numPr>
          <w:ilvl w:val="0"/>
          <w:numId w:val="5"/>
        </w:numPr>
      </w:pPr>
      <w:r>
        <w:rPr>
          <w:rFonts w:hint="eastAsia"/>
          <w:lang w:val="en-US" w:eastAsia="zh-CN"/>
        </w:rPr>
        <w:t>具体参照《系统安全控制流程》第5章</w:t>
      </w:r>
      <w:r>
        <w:rPr>
          <w:rFonts w:hint="eastAsia"/>
        </w:rPr>
        <w:t>。</w:t>
      </w:r>
    </w:p>
    <w:p w14:paraId="1920EDFC">
      <w:pPr>
        <w:pStyle w:val="31"/>
      </w:pPr>
      <w:r>
        <w:rPr>
          <w:rFonts w:hint="eastAsia"/>
        </w:rPr>
        <w:t xml:space="preserve">Please refer specifically to Chapter </w:t>
      </w:r>
      <w:r>
        <w:rPr>
          <w:rFonts w:hint="eastAsia"/>
          <w:lang w:val="en-US" w:eastAsia="zh-CN"/>
        </w:rPr>
        <w:t xml:space="preserve">5 </w:t>
      </w:r>
      <w:r>
        <w:rPr>
          <w:rFonts w:hint="eastAsia"/>
        </w:rPr>
        <w:t>of System security control process</w:t>
      </w:r>
      <w:r>
        <w:t>.</w:t>
      </w:r>
    </w:p>
    <w:p w14:paraId="083D55B7">
      <w:pPr>
        <w:pStyle w:val="31"/>
      </w:pPr>
    </w:p>
    <w:p w14:paraId="0A416A2D">
      <w:pPr>
        <w:pStyle w:val="24"/>
        <w:spacing w:before="312"/>
        <w:rPr>
          <w:rFonts w:hint="eastAsia"/>
        </w:rPr>
      </w:pPr>
      <w:r>
        <w:rPr>
          <w:rFonts w:hint="eastAsia"/>
        </w:rPr>
        <w:t>存储管理Storage Management</w:t>
      </w:r>
    </w:p>
    <w:p w14:paraId="2DB8DC6C">
      <w:pPr>
        <w:pStyle w:val="31"/>
        <w:numPr>
          <w:ilvl w:val="0"/>
          <w:numId w:val="5"/>
        </w:numPr>
      </w:pPr>
      <w:r>
        <w:rPr>
          <w:rFonts w:hint="eastAsia"/>
        </w:rPr>
        <w:t>高安全区禁止使用任何可移动存储，包括U盘、移动硬盘、光盘等。</w:t>
      </w:r>
    </w:p>
    <w:p w14:paraId="6BCF401A">
      <w:pPr>
        <w:pStyle w:val="31"/>
      </w:pPr>
      <w:r>
        <w:t>The high security zone prohibits the use of any removable storage, including USB drives, portable hard drives, CDs, etc.</w:t>
      </w:r>
    </w:p>
    <w:p w14:paraId="75CA2B7D">
      <w:pPr>
        <w:pStyle w:val="31"/>
        <w:numPr>
          <w:ilvl w:val="0"/>
          <w:numId w:val="5"/>
        </w:numPr>
      </w:pPr>
      <w:r>
        <w:rPr>
          <w:rFonts w:hint="eastAsia"/>
        </w:rPr>
        <w:t>高安全区存储敏感数据的硬盘禁止被带离高安全区。如有设备须搬出高安全区或者设备报废，必须先拆卸下存储单元并交由信息部妥善保存在保险柜，待后续定期销毁。</w:t>
      </w:r>
    </w:p>
    <w:p w14:paraId="6755F2C6">
      <w:pPr>
        <w:pStyle w:val="31"/>
      </w:pPr>
      <w:r>
        <w:t>Hard drives storing sensitive data in the high security zone are prohibited from being taken away from the high security zone. If any equipment needs to be moved out of the high security area or scrapped, the storage unit must be dismantled first and handed over to the information department for proper storage in a safe, to be regularly destroyed in the future.</w:t>
      </w:r>
    </w:p>
    <w:p w14:paraId="388668A5">
      <w:pPr>
        <w:pStyle w:val="31"/>
        <w:numPr>
          <w:ilvl w:val="0"/>
          <w:numId w:val="5"/>
        </w:numPr>
      </w:pPr>
      <w:r>
        <w:rPr>
          <w:rFonts w:hint="eastAsia"/>
          <w:lang w:val="en-US" w:eastAsia="zh-CN"/>
        </w:rPr>
        <w:t>具体参照《系统安全控制流程》第11章</w:t>
      </w:r>
      <w:r>
        <w:rPr>
          <w:rFonts w:hint="eastAsia"/>
        </w:rPr>
        <w:t>。</w:t>
      </w:r>
    </w:p>
    <w:p w14:paraId="737CE757">
      <w:pPr>
        <w:pStyle w:val="31"/>
      </w:pPr>
      <w:r>
        <w:rPr>
          <w:rFonts w:hint="eastAsia"/>
        </w:rPr>
        <w:t>Please refer specifically to Chapter</w:t>
      </w:r>
      <w:r>
        <w:rPr>
          <w:rFonts w:hint="eastAsia"/>
          <w:lang w:val="en-US" w:eastAsia="zh-CN"/>
        </w:rPr>
        <w:t xml:space="preserve"> 11</w:t>
      </w:r>
      <w:r>
        <w:rPr>
          <w:rFonts w:hint="eastAsia"/>
        </w:rPr>
        <w:t xml:space="preserve"> of System security control process</w:t>
      </w:r>
      <w:r>
        <w:t>.</w:t>
      </w:r>
    </w:p>
    <w:p w14:paraId="0538124B">
      <w:pPr>
        <w:pStyle w:val="31"/>
      </w:pPr>
    </w:p>
    <w:p w14:paraId="4E9AAB6F">
      <w:pPr>
        <w:pStyle w:val="24"/>
        <w:spacing w:before="312"/>
        <w:rPr>
          <w:rFonts w:hint="eastAsia"/>
        </w:rPr>
      </w:pPr>
      <w:r>
        <w:rPr>
          <w:rFonts w:hint="eastAsia"/>
        </w:rPr>
        <w:t>备份管理Backup Management</w:t>
      </w:r>
    </w:p>
    <w:p w14:paraId="4888F35C">
      <w:pPr>
        <w:pStyle w:val="31"/>
        <w:numPr>
          <w:ilvl w:val="0"/>
          <w:numId w:val="5"/>
        </w:numPr>
      </w:pPr>
      <w:r>
        <w:rPr>
          <w:rFonts w:hint="eastAsia"/>
        </w:rPr>
        <w:t>为保障业务的连续性，须制定备份方案对关键数据、系统和审计日志进行定期备份，并且还要定期验证备份的可用性。</w:t>
      </w:r>
    </w:p>
    <w:p w14:paraId="271C4630">
      <w:pPr>
        <w:pStyle w:val="31"/>
        <w:ind w:firstLine="200" w:firstLineChars="100"/>
      </w:pPr>
      <w:r>
        <w:t xml:space="preserve">To ensure business continuity, a backup plan must be developed to regularly backup </w:t>
      </w:r>
      <w:r>
        <w:rPr>
          <w:rFonts w:hint="eastAsia"/>
        </w:rPr>
        <w:t>critical</w:t>
      </w:r>
      <w:r>
        <w:rPr>
          <w:rFonts w:hint="eastAsia"/>
          <w:lang w:val="en-US" w:eastAsia="zh-CN"/>
        </w:rPr>
        <w:t xml:space="preserve"> </w:t>
      </w:r>
      <w:r>
        <w:t>data, systems, and audit logs, and the availability of backups must be verified regularly.</w:t>
      </w:r>
    </w:p>
    <w:p w14:paraId="550A6F22">
      <w:pPr>
        <w:pStyle w:val="31"/>
        <w:numPr>
          <w:ilvl w:val="0"/>
          <w:numId w:val="5"/>
        </w:numPr>
      </w:pPr>
      <w:r>
        <w:rPr>
          <w:rFonts w:hint="eastAsia"/>
        </w:rPr>
        <w:t>须定期检查备份是否被有效执行。</w:t>
      </w:r>
    </w:p>
    <w:p w14:paraId="7D0B0593">
      <w:pPr>
        <w:pStyle w:val="31"/>
      </w:pPr>
      <w:r>
        <w:t>Regular checks must be conducted to ensure that backups are effectively executed.</w:t>
      </w:r>
    </w:p>
    <w:p w14:paraId="4DA5F4A8">
      <w:pPr>
        <w:pStyle w:val="31"/>
        <w:numPr>
          <w:ilvl w:val="0"/>
          <w:numId w:val="5"/>
        </w:numPr>
      </w:pPr>
      <w:r>
        <w:rPr>
          <w:rFonts w:hint="eastAsia"/>
          <w:lang w:val="en-US" w:eastAsia="zh-CN"/>
        </w:rPr>
        <w:t>具体参照《系统安全控制流程》第9章</w:t>
      </w:r>
      <w:r>
        <w:rPr>
          <w:rFonts w:hint="eastAsia"/>
        </w:rPr>
        <w:t>。</w:t>
      </w:r>
    </w:p>
    <w:p w14:paraId="3DBC10B5">
      <w:pPr>
        <w:pStyle w:val="31"/>
      </w:pPr>
      <w:r>
        <w:rPr>
          <w:rFonts w:hint="eastAsia"/>
        </w:rPr>
        <w:t xml:space="preserve">Please refer specifically to Chapter </w:t>
      </w:r>
      <w:r>
        <w:rPr>
          <w:rFonts w:hint="eastAsia"/>
          <w:lang w:val="en-US" w:eastAsia="zh-CN"/>
        </w:rPr>
        <w:t>9</w:t>
      </w:r>
      <w:r>
        <w:rPr>
          <w:rFonts w:hint="eastAsia"/>
        </w:rPr>
        <w:t xml:space="preserve"> of System security control process</w:t>
      </w:r>
      <w:r>
        <w:t>.</w:t>
      </w:r>
    </w:p>
    <w:p w14:paraId="739E5760">
      <w:pPr>
        <w:pStyle w:val="31"/>
      </w:pPr>
    </w:p>
    <w:p w14:paraId="470EDF5E">
      <w:pPr>
        <w:pStyle w:val="24"/>
        <w:spacing w:before="312"/>
        <w:rPr>
          <w:rFonts w:hint="eastAsia"/>
        </w:rPr>
      </w:pPr>
      <w:r>
        <w:rPr>
          <w:rFonts w:hint="eastAsia"/>
        </w:rPr>
        <w:t>审计监控</w:t>
      </w:r>
      <w:r>
        <w:t>Audit Monitoring</w:t>
      </w:r>
    </w:p>
    <w:p w14:paraId="51685786">
      <w:pPr>
        <w:pStyle w:val="31"/>
        <w:numPr>
          <w:ilvl w:val="0"/>
          <w:numId w:val="5"/>
        </w:numPr>
      </w:pPr>
      <w:r>
        <w:rPr>
          <w:rFonts w:hint="eastAsia"/>
        </w:rPr>
        <w:t>对于涉及网络安全和敏感数据的系统(如防火墙、密钥系统、数据系统、SVN等)要有日志记录，记录的内容包括访问和变更。</w:t>
      </w:r>
    </w:p>
    <w:p w14:paraId="16461C08">
      <w:pPr>
        <w:pStyle w:val="31"/>
      </w:pPr>
      <w:r>
        <w:t>For systems involving network security and sensitive data (such as firewalls, key systems, data systems, SVNs, etc.), there should be log records, including access and changes.</w:t>
      </w:r>
    </w:p>
    <w:p w14:paraId="3BD9B8C0">
      <w:pPr>
        <w:pStyle w:val="31"/>
        <w:numPr>
          <w:ilvl w:val="0"/>
          <w:numId w:val="5"/>
        </w:numPr>
      </w:pPr>
      <w:r>
        <w:rPr>
          <w:rFonts w:hint="eastAsia"/>
        </w:rPr>
        <w:t>须定期对这些系统的日志进行审计，以确保对这些系统的操作合规或者识别出可疑的风险。</w:t>
      </w:r>
    </w:p>
    <w:p w14:paraId="7D8576E2">
      <w:pPr>
        <w:pStyle w:val="31"/>
      </w:pPr>
      <w:r>
        <w:t>Regular audits of the logs of these systems must be conducted to ensure compliance with their operations or to identify suspicious risks.</w:t>
      </w:r>
    </w:p>
    <w:p w14:paraId="7366C596">
      <w:pPr>
        <w:pStyle w:val="31"/>
        <w:numPr>
          <w:ilvl w:val="0"/>
          <w:numId w:val="5"/>
        </w:numPr>
      </w:pPr>
      <w:r>
        <w:rPr>
          <w:rFonts w:hint="eastAsia"/>
          <w:lang w:val="en-US" w:eastAsia="zh-CN"/>
        </w:rPr>
        <w:t>具体参照《安全审计控制流程》</w:t>
      </w:r>
    </w:p>
    <w:p w14:paraId="6B790E30">
      <w:pPr>
        <w:pStyle w:val="31"/>
      </w:pPr>
      <w:r>
        <w:rPr>
          <w:rFonts w:hint="eastAsia"/>
        </w:rPr>
        <w:t>Please refer specifically to Security audit control process</w:t>
      </w:r>
      <w:r>
        <w:t>.</w:t>
      </w:r>
    </w:p>
    <w:p w14:paraId="11B3A1B4">
      <w:pPr>
        <w:pStyle w:val="24"/>
        <w:spacing w:before="312"/>
        <w:rPr>
          <w:rFonts w:hint="eastAsia"/>
        </w:rPr>
      </w:pPr>
      <w:r>
        <w:rPr>
          <w:rFonts w:hint="eastAsia"/>
          <w:lang w:val="en-US" w:eastAsia="zh-CN"/>
        </w:rPr>
        <w:t>巡检维护</w:t>
      </w:r>
      <w:r>
        <w:rPr>
          <w:rFonts w:hint="eastAsia"/>
        </w:rPr>
        <w:t>Inspection and maintenance</w:t>
      </w:r>
    </w:p>
    <w:p w14:paraId="77EA4345">
      <w:pPr>
        <w:pStyle w:val="31"/>
        <w:numPr>
          <w:ilvl w:val="0"/>
          <w:numId w:val="5"/>
        </w:numPr>
      </w:pPr>
      <w:r>
        <w:rPr>
          <w:rFonts w:hint="eastAsia"/>
          <w:lang w:val="en-US" w:eastAsia="zh-CN"/>
        </w:rPr>
        <w:t>对高安全区内的设备（网络设备、服务器、空调、机柜、UPS等）及物流环境做每日巡检</w:t>
      </w:r>
      <w:r>
        <w:rPr>
          <w:rFonts w:hint="eastAsia"/>
        </w:rPr>
        <w:t>。</w:t>
      </w:r>
      <w:r>
        <w:rPr>
          <w:rFonts w:hint="eastAsia"/>
          <w:lang w:val="en-US" w:eastAsia="zh-CN"/>
        </w:rPr>
        <w:t>具体检查内容参照《日常巡检记录表》。</w:t>
      </w:r>
    </w:p>
    <w:p w14:paraId="3B530233">
      <w:pPr>
        <w:pStyle w:val="31"/>
      </w:pPr>
      <w:r>
        <w:rPr>
          <w:rFonts w:hint="eastAsia"/>
        </w:rPr>
        <w:t>Conduct daily inspections of equipment (network devices, servers, air conditioners, cabinets, UPS, etc.) and logistics environment within the high security zone. Please refer to the 'Daily Inspection Record Form' for specific inspection contents</w:t>
      </w:r>
      <w:r>
        <w:t>.</w:t>
      </w:r>
    </w:p>
    <w:p w14:paraId="09DAF10A">
      <w:pPr>
        <w:pStyle w:val="31"/>
        <w:numPr>
          <w:ilvl w:val="0"/>
          <w:numId w:val="5"/>
        </w:numPr>
      </w:pPr>
      <w:r>
        <w:rPr>
          <w:rFonts w:hint="eastAsia"/>
          <w:lang w:val="en-US" w:eastAsia="zh-CN"/>
        </w:rPr>
        <w:t>将巡检结果记录在《日常巡检记录表》中。</w:t>
      </w:r>
    </w:p>
    <w:p w14:paraId="0A3F8C65">
      <w:pPr>
        <w:pStyle w:val="31"/>
      </w:pPr>
      <w:r>
        <w:rPr>
          <w:rFonts w:hint="eastAsia"/>
        </w:rPr>
        <w:t>Record the inspection results in the 'Daily Inspection Record Form'.</w:t>
      </w:r>
    </w:p>
    <w:p w14:paraId="140B9AA3">
      <w:pPr>
        <w:pStyle w:val="31"/>
        <w:numPr>
          <w:ilvl w:val="0"/>
          <w:numId w:val="5"/>
        </w:numPr>
      </w:pPr>
      <w:r>
        <w:rPr>
          <w:rFonts w:hint="eastAsia"/>
          <w:lang w:val="en-US" w:eastAsia="zh-CN"/>
        </w:rPr>
        <w:t>除日常巡检外，需每年对关键设备进行维护保养。并记录在《维护记录表》中。</w:t>
      </w:r>
    </w:p>
    <w:p w14:paraId="79914ED5">
      <w:pPr>
        <w:pStyle w:val="31"/>
        <w:numPr>
          <w:numId w:val="0"/>
        </w:numPr>
        <w:ind w:leftChars="0"/>
        <w:rPr>
          <w:rFonts w:hint="eastAsia" w:eastAsia="微软雅黑"/>
          <w:lang w:val="en-US" w:eastAsia="zh-CN"/>
        </w:rPr>
      </w:pPr>
      <w:r>
        <w:rPr>
          <w:rFonts w:hint="eastAsia"/>
        </w:rPr>
        <w:t>In addition to daily inspections, key equipment needs to be maintained and serviced annually. And record it in the 'Maintenance Record Form'</w:t>
      </w:r>
      <w:r>
        <w:rPr>
          <w:rFonts w:hint="eastAsia"/>
          <w:lang w:val="en-US" w:eastAsia="zh-CN"/>
        </w:rPr>
        <w:t>.</w:t>
      </w:r>
    </w:p>
    <w:p w14:paraId="0EBA73B2">
      <w:pPr>
        <w:pStyle w:val="31"/>
      </w:pPr>
    </w:p>
    <w:p w14:paraId="4D0B4B89">
      <w:pPr>
        <w:pStyle w:val="31"/>
      </w:pPr>
    </w:p>
    <w:p w14:paraId="0A394217">
      <w:pPr>
        <w:pStyle w:val="22"/>
        <w:rPr>
          <w:rFonts w:hint="eastAsia"/>
        </w:rPr>
      </w:pPr>
      <w:r>
        <w:rPr>
          <w:rFonts w:hint="eastAsia"/>
        </w:rPr>
        <w:t>相关文件Related Documents</w:t>
      </w:r>
    </w:p>
    <w:p w14:paraId="1B6C7265">
      <w:pPr>
        <w:pStyle w:val="31"/>
        <w:rPr>
          <w:lang w:bidi="ar"/>
        </w:rPr>
      </w:pPr>
      <w:r>
        <w:rPr>
          <w:rFonts w:hint="eastAsia"/>
          <w:lang w:bidi="ar"/>
        </w:rPr>
        <w:t>《资产分级和管理指南》</w:t>
      </w:r>
    </w:p>
    <w:p w14:paraId="7BDEF038">
      <w:pPr>
        <w:pStyle w:val="31"/>
        <w:rPr>
          <w:lang w:bidi="ar"/>
        </w:rPr>
      </w:pPr>
      <w:r>
        <w:rPr>
          <w:rFonts w:hint="eastAsia"/>
          <w:lang w:bidi="ar"/>
        </w:rPr>
        <w:t>《网络安全控制流程》</w:t>
      </w:r>
    </w:p>
    <w:p w14:paraId="063241DB">
      <w:pPr>
        <w:pStyle w:val="31"/>
        <w:rPr>
          <w:lang w:bidi="ar"/>
        </w:rPr>
      </w:pPr>
      <w:r>
        <w:rPr>
          <w:rFonts w:hint="eastAsia"/>
          <w:lang w:bidi="ar"/>
        </w:rPr>
        <w:t>《系统访问控制流程》</w:t>
      </w:r>
    </w:p>
    <w:p w14:paraId="496F0184">
      <w:pPr>
        <w:pStyle w:val="22"/>
        <w:numPr>
          <w:ilvl w:val="0"/>
          <w:numId w:val="2"/>
        </w:numPr>
        <w:rPr>
          <w:rFonts w:hint="eastAsia"/>
        </w:rPr>
      </w:pPr>
      <w:r>
        <w:rPr>
          <w:rFonts w:hint="eastAsia"/>
        </w:rPr>
        <w:t>相关记录Related Forms</w:t>
      </w:r>
    </w:p>
    <w:p w14:paraId="3B2DEBAB">
      <w:pPr>
        <w:pStyle w:val="31"/>
      </w:pPr>
      <w:r>
        <w:rPr>
          <w:rFonts w:hint="eastAsia"/>
        </w:rPr>
        <w:t>《岗位权限设置规则》</w:t>
      </w:r>
    </w:p>
    <w:p w14:paraId="76EA74E8">
      <w:pPr>
        <w:pStyle w:val="31"/>
      </w:pPr>
      <w:r>
        <w:rPr>
          <w:rFonts w:hint="eastAsia"/>
        </w:rPr>
        <w:t>《用户确认表》</w:t>
      </w:r>
    </w:p>
    <w:p w14:paraId="59775153">
      <w:pPr>
        <w:pStyle w:val="31"/>
        <w:rPr>
          <w:rFonts w:hint="eastAsia"/>
        </w:rPr>
      </w:pPr>
      <w:r>
        <w:rPr>
          <w:rFonts w:hint="eastAsia"/>
        </w:rPr>
        <w:t>《系统加固检查表》</w:t>
      </w:r>
    </w:p>
    <w:p w14:paraId="4FF248E8">
      <w:pPr>
        <w:pStyle w:val="31"/>
        <w:rPr>
          <w:rFonts w:hint="eastAsia"/>
          <w:lang w:val="en-US" w:eastAsia="zh-CN"/>
        </w:rPr>
      </w:pPr>
      <w:r>
        <w:rPr>
          <w:rFonts w:hint="eastAsia"/>
          <w:lang w:val="en-US" w:eastAsia="zh-CN"/>
        </w:rPr>
        <w:t>《日常巡检记录表》</w:t>
      </w:r>
    </w:p>
    <w:p w14:paraId="512DA4DB">
      <w:pPr>
        <w:pStyle w:val="31"/>
        <w:rPr>
          <w:rFonts w:hint="eastAsia"/>
          <w:lang w:val="en-US" w:eastAsia="zh-CN"/>
        </w:rPr>
      </w:pPr>
      <w:r>
        <w:rPr>
          <w:rFonts w:hint="eastAsia"/>
          <w:lang w:val="en-US" w:eastAsia="zh-CN"/>
        </w:rPr>
        <w:t>《维护记录表》</w:t>
      </w:r>
    </w:p>
    <w:p w14:paraId="4436394F">
      <w:pPr>
        <w:pStyle w:val="33"/>
        <w:outlineLvl w:val="0"/>
      </w:pPr>
      <w:bookmarkStart w:id="1" w:name="_Toc184729186"/>
    </w:p>
    <w:p w14:paraId="1CB454C4">
      <w:pPr>
        <w:pStyle w:val="33"/>
        <w:outlineLvl w:val="0"/>
      </w:pPr>
    </w:p>
    <w:p w14:paraId="718FB87F">
      <w:pPr>
        <w:pStyle w:val="33"/>
        <w:outlineLvl w:val="0"/>
      </w:pPr>
    </w:p>
    <w:p w14:paraId="0850C5DA">
      <w:pPr>
        <w:pStyle w:val="33"/>
        <w:outlineLvl w:val="0"/>
      </w:pPr>
    </w:p>
    <w:p w14:paraId="10FC79BB">
      <w:pPr>
        <w:pStyle w:val="33"/>
        <w:outlineLvl w:val="0"/>
        <w:rPr>
          <w:rFonts w:hint="eastAsia"/>
        </w:rPr>
      </w:pPr>
      <w:bookmarkStart w:id="2" w:name="_GoBack"/>
      <w:bookmarkEnd w:id="2"/>
      <w:r>
        <w:t>Document History 文件历史记录</w:t>
      </w:r>
      <w:bookmarkEnd w:id="1"/>
    </w:p>
    <w:p w14:paraId="160BC8EA">
      <w:pPr>
        <w:rPr>
          <w:b/>
        </w:rPr>
      </w:pPr>
      <w:r>
        <w:rPr>
          <w:b/>
        </w:rPr>
        <w:t xml:space="preserve"> </w:t>
      </w:r>
    </w:p>
    <w:tbl>
      <w:tblPr>
        <w:tblStyle w:val="11"/>
        <w:tblW w:w="112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1"/>
        <w:gridCol w:w="1575"/>
        <w:gridCol w:w="3528"/>
        <w:gridCol w:w="1630"/>
        <w:gridCol w:w="1630"/>
        <w:gridCol w:w="1630"/>
      </w:tblGrid>
      <w:tr w14:paraId="476941FB">
        <w:trPr>
          <w:trHeight w:val="428" w:hRule="atLeast"/>
          <w:jc w:val="center"/>
        </w:trPr>
        <w:tc>
          <w:tcPr>
            <w:tcW w:w="1271" w:type="dxa"/>
            <w:shd w:val="clear" w:color="auto" w:fill="E0E0E0"/>
            <w:vAlign w:val="center"/>
          </w:tcPr>
          <w:p w14:paraId="2A048597">
            <w:pPr>
              <w:jc w:val="center"/>
              <w:rPr>
                <w:rFonts w:hint="eastAsia" w:ascii="微软雅黑" w:hAnsi="微软雅黑"/>
                <w:b/>
              </w:rPr>
            </w:pPr>
            <w:r>
              <w:rPr>
                <w:rFonts w:ascii="微软雅黑" w:hAnsi="微软雅黑"/>
                <w:b/>
              </w:rPr>
              <w:t>版本</w:t>
            </w:r>
          </w:p>
          <w:p w14:paraId="6E3C82CA">
            <w:pPr>
              <w:jc w:val="center"/>
              <w:rPr>
                <w:rFonts w:hint="eastAsia" w:ascii="微软雅黑" w:hAnsi="微软雅黑"/>
                <w:b/>
              </w:rPr>
            </w:pPr>
            <w:r>
              <w:rPr>
                <w:rFonts w:ascii="微软雅黑" w:hAnsi="微软雅黑"/>
                <w:b/>
              </w:rPr>
              <w:t>Version</w:t>
            </w:r>
          </w:p>
        </w:tc>
        <w:tc>
          <w:tcPr>
            <w:tcW w:w="1575" w:type="dxa"/>
            <w:shd w:val="clear" w:color="auto" w:fill="E0E0E0"/>
            <w:vAlign w:val="center"/>
          </w:tcPr>
          <w:p w14:paraId="28843061">
            <w:pPr>
              <w:jc w:val="center"/>
              <w:rPr>
                <w:rFonts w:hint="eastAsia" w:ascii="微软雅黑" w:hAnsi="微软雅黑"/>
                <w:b/>
              </w:rPr>
            </w:pPr>
            <w:r>
              <w:rPr>
                <w:rFonts w:ascii="微软雅黑" w:hAnsi="微软雅黑"/>
                <w:b/>
              </w:rPr>
              <w:t>日期</w:t>
            </w:r>
          </w:p>
          <w:p w14:paraId="77D4EE64">
            <w:pPr>
              <w:jc w:val="center"/>
              <w:rPr>
                <w:rFonts w:hint="eastAsia" w:ascii="微软雅黑" w:hAnsi="微软雅黑"/>
                <w:b/>
              </w:rPr>
            </w:pPr>
            <w:r>
              <w:rPr>
                <w:rFonts w:ascii="微软雅黑" w:hAnsi="微软雅黑"/>
                <w:b/>
              </w:rPr>
              <w:t>Date</w:t>
            </w:r>
          </w:p>
        </w:tc>
        <w:tc>
          <w:tcPr>
            <w:tcW w:w="3528" w:type="dxa"/>
            <w:shd w:val="clear" w:color="auto" w:fill="E0E0E0"/>
            <w:vAlign w:val="top"/>
          </w:tcPr>
          <w:p w14:paraId="16DE4DEC">
            <w:pPr>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变更简述</w:t>
            </w:r>
          </w:p>
          <w:p w14:paraId="0FC28DDF">
            <w:pPr>
              <w:keepNext w:val="0"/>
              <w:keepLines w:val="0"/>
              <w:pageBreakBefore w:val="0"/>
              <w:widowControl w:val="0"/>
              <w:kinsoku/>
              <w:wordWrap/>
              <w:overflowPunct/>
              <w:topLinePunct w:val="0"/>
              <w:autoSpaceDE/>
              <w:autoSpaceDN/>
              <w:bidi w:val="0"/>
              <w:adjustRightInd/>
              <w:snapToGrid/>
              <w:spacing w:line="360" w:lineRule="exact"/>
              <w:jc w:val="center"/>
              <w:textAlignment w:val="auto"/>
            </w:pPr>
            <w:r>
              <w:rPr>
                <w:rFonts w:hint="eastAsia" w:ascii="微软雅黑" w:hAnsi="微软雅黑" w:eastAsia="微软雅黑" w:cs="微软雅黑"/>
                <w:b/>
                <w:bCs/>
                <w:sz w:val="21"/>
                <w:szCs w:val="21"/>
                <w:vertAlign w:val="baseline"/>
                <w:lang w:val="en-US" w:eastAsia="zh-CN"/>
              </w:rPr>
              <w:t>Brief Description of change</w:t>
            </w:r>
          </w:p>
        </w:tc>
        <w:tc>
          <w:tcPr>
            <w:tcW w:w="1630" w:type="dxa"/>
            <w:shd w:val="clear" w:color="auto" w:fill="E0E0E0"/>
            <w:vAlign w:val="center"/>
          </w:tcPr>
          <w:p w14:paraId="6FBF7C98">
            <w:pPr>
              <w:jc w:val="center"/>
              <w:rPr>
                <w:rFonts w:hint="default" w:ascii="微软雅黑" w:hAnsi="微软雅黑" w:eastAsia="微软雅黑"/>
                <w:b/>
                <w:lang w:val="en-US" w:eastAsia="zh-CN"/>
              </w:rPr>
            </w:pPr>
            <w:r>
              <w:rPr>
                <w:rFonts w:hint="eastAsia" w:ascii="微软雅黑" w:hAnsi="微软雅黑"/>
                <w:b/>
                <w:lang w:val="en-US" w:eastAsia="zh-CN"/>
              </w:rPr>
              <w:t>编辑</w:t>
            </w:r>
          </w:p>
          <w:p w14:paraId="61729E6E">
            <w:pPr>
              <w:jc w:val="center"/>
              <w:rPr>
                <w:rFonts w:hint="eastAsia" w:ascii="微软雅黑" w:hAnsi="微软雅黑" w:eastAsia="微软雅黑"/>
                <w:b/>
                <w:lang w:val="en-US" w:eastAsia="zh-CN"/>
              </w:rPr>
            </w:pPr>
            <w:r>
              <w:rPr>
                <w:rFonts w:hint="eastAsia" w:ascii="微软雅黑" w:hAnsi="微软雅黑"/>
                <w:b/>
                <w:lang w:val="en-US" w:eastAsia="zh-CN"/>
              </w:rPr>
              <w:t>Editor</w:t>
            </w:r>
          </w:p>
        </w:tc>
        <w:tc>
          <w:tcPr>
            <w:tcW w:w="1630" w:type="dxa"/>
            <w:shd w:val="clear" w:color="auto" w:fill="E0E0E0"/>
            <w:vAlign w:val="center"/>
          </w:tcPr>
          <w:p w14:paraId="5E3DE3ED">
            <w:pPr>
              <w:jc w:val="center"/>
              <w:rPr>
                <w:rFonts w:hint="eastAsia" w:ascii="微软雅黑" w:hAnsi="微软雅黑"/>
                <w:b/>
                <w:lang w:val="en-US" w:eastAsia="zh-CN"/>
              </w:rPr>
            </w:pPr>
            <w:r>
              <w:rPr>
                <w:rFonts w:hint="eastAsia" w:ascii="微软雅黑" w:hAnsi="微软雅黑"/>
                <w:b/>
                <w:lang w:val="en-US" w:eastAsia="zh-CN"/>
              </w:rPr>
              <w:t>审批</w:t>
            </w:r>
          </w:p>
          <w:p w14:paraId="74C36E97">
            <w:pPr>
              <w:jc w:val="center"/>
              <w:rPr>
                <w:rFonts w:hint="eastAsia" w:ascii="微软雅黑" w:hAnsi="微软雅黑"/>
                <w:b/>
                <w:lang w:val="en-US" w:eastAsia="zh-CN"/>
              </w:rPr>
            </w:pPr>
            <w:r>
              <w:rPr>
                <w:rFonts w:hint="eastAsia" w:ascii="微软雅黑" w:hAnsi="微软雅黑"/>
                <w:b/>
                <w:lang w:val="en-US" w:eastAsia="zh-CN"/>
              </w:rPr>
              <w:t>Auditor</w:t>
            </w:r>
          </w:p>
        </w:tc>
        <w:tc>
          <w:tcPr>
            <w:tcW w:w="1630" w:type="dxa"/>
            <w:shd w:val="clear" w:color="auto" w:fill="E0E0E0"/>
            <w:vAlign w:val="center"/>
          </w:tcPr>
          <w:p w14:paraId="4BEC6BA0">
            <w:pPr>
              <w:jc w:val="center"/>
              <w:rPr>
                <w:rFonts w:hint="eastAsia" w:ascii="微软雅黑" w:hAnsi="微软雅黑"/>
                <w:b/>
              </w:rPr>
            </w:pPr>
            <w:r>
              <w:rPr>
                <w:rFonts w:hint="eastAsia" w:ascii="微软雅黑" w:hAnsi="微软雅黑"/>
                <w:b/>
              </w:rPr>
              <w:t>批准</w:t>
            </w:r>
          </w:p>
          <w:p w14:paraId="3563ED78">
            <w:pPr>
              <w:jc w:val="center"/>
              <w:rPr>
                <w:rFonts w:hint="eastAsia" w:ascii="微软雅黑" w:hAnsi="微软雅黑"/>
                <w:b/>
              </w:rPr>
            </w:pPr>
            <w:r>
              <w:rPr>
                <w:rFonts w:hint="eastAsia" w:ascii="微软雅黑" w:hAnsi="微软雅黑"/>
                <w:b/>
              </w:rPr>
              <w:t>Approve</w:t>
            </w:r>
          </w:p>
        </w:tc>
      </w:tr>
      <w:tr w14:paraId="61660131">
        <w:trPr>
          <w:trHeight w:val="437" w:hRule="atLeast"/>
          <w:jc w:val="center"/>
        </w:trPr>
        <w:tc>
          <w:tcPr>
            <w:tcW w:w="1271" w:type="dxa"/>
            <w:vAlign w:val="center"/>
          </w:tcPr>
          <w:p w14:paraId="71FD40DC">
            <w:pPr>
              <w:spacing w:line="280" w:lineRule="exact"/>
              <w:jc w:val="center"/>
              <w:rPr>
                <w:rFonts w:hint="eastAsia" w:ascii="微软雅黑" w:hAnsi="微软雅黑"/>
              </w:rPr>
            </w:pPr>
            <w:r>
              <w:rPr>
                <w:rFonts w:hint="eastAsia" w:ascii="微软雅黑" w:hAnsi="微软雅黑"/>
              </w:rPr>
              <w:t>1.0</w:t>
            </w:r>
          </w:p>
        </w:tc>
        <w:tc>
          <w:tcPr>
            <w:tcW w:w="1575" w:type="dxa"/>
            <w:vAlign w:val="center"/>
          </w:tcPr>
          <w:p w14:paraId="5086501A">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w:t>
            </w:r>
            <w:r>
              <w:rPr>
                <w:rFonts w:hint="eastAsia" w:ascii="微软雅黑" w:hAnsi="微软雅黑"/>
              </w:rPr>
              <w:t>/</w:t>
            </w:r>
            <w:r>
              <w:rPr>
                <w:rFonts w:hint="eastAsia" w:ascii="微软雅黑" w:hAnsi="微软雅黑"/>
                <w:lang w:val="en-US" w:eastAsia="zh-CN"/>
              </w:rPr>
              <w:t>15</w:t>
            </w:r>
          </w:p>
        </w:tc>
        <w:tc>
          <w:tcPr>
            <w:tcW w:w="3528" w:type="dxa"/>
            <w:vAlign w:val="center"/>
          </w:tcPr>
          <w:p w14:paraId="2F73F55F">
            <w:pPr>
              <w:spacing w:line="280" w:lineRule="exact"/>
              <w:jc w:val="center"/>
              <w:rPr>
                <w:rFonts w:hint="eastAsia" w:ascii="微软雅黑" w:hAnsi="微软雅黑"/>
              </w:rPr>
            </w:pPr>
            <w:r>
              <w:rPr>
                <w:rFonts w:hint="eastAsia" w:ascii="微软雅黑" w:hAnsi="微软雅黑"/>
              </w:rPr>
              <w:t>新版发布</w:t>
            </w:r>
          </w:p>
          <w:p w14:paraId="3AE6EE4F">
            <w:pPr>
              <w:spacing w:line="280" w:lineRule="exact"/>
              <w:jc w:val="center"/>
              <w:rPr>
                <w:rFonts w:hint="eastAsia" w:ascii="微软雅黑" w:hAnsi="微软雅黑"/>
              </w:rPr>
            </w:pPr>
            <w:r>
              <w:rPr>
                <w:rFonts w:ascii="微软雅黑" w:hAnsi="微软雅黑"/>
              </w:rPr>
              <w:t>New version release</w:t>
            </w:r>
          </w:p>
        </w:tc>
        <w:tc>
          <w:tcPr>
            <w:tcW w:w="1630" w:type="dxa"/>
            <w:vAlign w:val="center"/>
          </w:tcPr>
          <w:p w14:paraId="1292EDAD">
            <w:pPr>
              <w:spacing w:line="280" w:lineRule="exact"/>
              <w:jc w:val="center"/>
              <w:rPr>
                <w:rFonts w:hint="eastAsia" w:ascii="微软雅黑" w:hAnsi="微软雅黑" w:eastAsia="微软雅黑"/>
                <w:lang w:val="en-US" w:eastAsia="zh-CN"/>
              </w:rPr>
            </w:pPr>
            <w:r>
              <w:rPr>
                <w:rFonts w:hint="eastAsia" w:ascii="微软雅黑" w:hAnsi="微软雅黑"/>
                <w:lang w:val="en-US" w:eastAsia="zh-CN"/>
              </w:rPr>
              <w:t>郑炳佳</w:t>
            </w:r>
          </w:p>
        </w:tc>
        <w:tc>
          <w:tcPr>
            <w:tcW w:w="1630" w:type="dxa"/>
            <w:vAlign w:val="center"/>
          </w:tcPr>
          <w:p w14:paraId="21019B06">
            <w:pPr>
              <w:spacing w:line="280" w:lineRule="exact"/>
              <w:jc w:val="center"/>
              <w:rPr>
                <w:rFonts w:hint="eastAsia" w:ascii="微软雅黑" w:hAnsi="微软雅黑" w:eastAsia="微软雅黑"/>
                <w:lang w:val="en-US" w:eastAsia="zh-CN"/>
              </w:rPr>
            </w:pPr>
            <w:r>
              <w:rPr>
                <w:rFonts w:hint="eastAsia" w:ascii="微软雅黑" w:hAnsi="微软雅黑"/>
                <w:lang w:val="en-US" w:eastAsia="zh-CN"/>
              </w:rPr>
              <w:t>杨龙威</w:t>
            </w:r>
          </w:p>
        </w:tc>
        <w:tc>
          <w:tcPr>
            <w:tcW w:w="1630" w:type="dxa"/>
            <w:vAlign w:val="center"/>
          </w:tcPr>
          <w:p w14:paraId="7379D8C7">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郭思才</w:t>
            </w:r>
          </w:p>
        </w:tc>
      </w:tr>
      <w:tr w14:paraId="3A78E8BE">
        <w:trPr>
          <w:trHeight w:val="437" w:hRule="atLeast"/>
          <w:jc w:val="center"/>
        </w:trPr>
        <w:tc>
          <w:tcPr>
            <w:tcW w:w="1271" w:type="dxa"/>
            <w:vAlign w:val="center"/>
          </w:tcPr>
          <w:p w14:paraId="3E456972">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w:t>
            </w:r>
          </w:p>
        </w:tc>
        <w:tc>
          <w:tcPr>
            <w:tcW w:w="1575" w:type="dxa"/>
            <w:vAlign w:val="center"/>
          </w:tcPr>
          <w:p w14:paraId="7C3E1E11">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4</w:t>
            </w:r>
            <w:r>
              <w:rPr>
                <w:rFonts w:hint="eastAsia" w:ascii="微软雅黑" w:hAnsi="微软雅黑"/>
              </w:rPr>
              <w:t>/</w:t>
            </w:r>
            <w:r>
              <w:rPr>
                <w:rFonts w:hint="eastAsia" w:ascii="微软雅黑" w:hAnsi="微软雅黑"/>
                <w:lang w:val="en-US" w:eastAsia="zh-CN"/>
              </w:rPr>
              <w:t>30</w:t>
            </w:r>
          </w:p>
        </w:tc>
        <w:tc>
          <w:tcPr>
            <w:tcW w:w="3528" w:type="dxa"/>
            <w:vAlign w:val="center"/>
          </w:tcPr>
          <w:p w14:paraId="355ACE70">
            <w:pPr>
              <w:spacing w:line="280" w:lineRule="exact"/>
              <w:jc w:val="center"/>
              <w:rPr>
                <w:rFonts w:hint="eastAsia" w:ascii="微软雅黑" w:hAnsi="微软雅黑"/>
                <w:lang w:val="en-US" w:eastAsia="zh-CN"/>
              </w:rPr>
            </w:pPr>
            <w:r>
              <w:rPr>
                <w:rFonts w:hint="eastAsia" w:ascii="微软雅黑" w:hAnsi="微软雅黑"/>
                <w:lang w:val="en-US" w:eastAsia="zh-CN"/>
              </w:rPr>
              <w:t>修改信息等级</w:t>
            </w:r>
          </w:p>
          <w:p w14:paraId="747CAF5F">
            <w:pPr>
              <w:spacing w:line="280" w:lineRule="exact"/>
              <w:jc w:val="center"/>
              <w:rPr>
                <w:rFonts w:hint="default" w:ascii="微软雅黑" w:hAnsi="微软雅黑"/>
                <w:lang w:val="en-US" w:eastAsia="zh-CN"/>
              </w:rPr>
            </w:pPr>
            <w:r>
              <w:rPr>
                <w:rFonts w:hint="default" w:ascii="微软雅黑" w:hAnsi="微软雅黑"/>
                <w:lang w:val="en-US" w:eastAsia="zh-CN"/>
              </w:rPr>
              <w:t xml:space="preserve">Modify information </w:t>
            </w:r>
            <w:r>
              <w:rPr>
                <w:rFonts w:hint="eastAsia" w:ascii="微软雅黑" w:hAnsi="微软雅黑"/>
                <w:lang w:val="en-US" w:eastAsia="zh-CN"/>
              </w:rPr>
              <w:t>Class</w:t>
            </w:r>
          </w:p>
        </w:tc>
        <w:tc>
          <w:tcPr>
            <w:tcW w:w="1630" w:type="dxa"/>
            <w:shd w:val="clear" w:color="auto" w:fill="auto"/>
            <w:vAlign w:val="center"/>
          </w:tcPr>
          <w:p w14:paraId="645C41F9">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1A5BD393">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39A4871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396D11EF">
        <w:trPr>
          <w:trHeight w:val="437" w:hRule="atLeast"/>
          <w:jc w:val="center"/>
        </w:trPr>
        <w:tc>
          <w:tcPr>
            <w:tcW w:w="1271" w:type="dxa"/>
            <w:tcBorders>
              <w:bottom w:val="single" w:color="auto" w:sz="6" w:space="0"/>
            </w:tcBorders>
            <w:vAlign w:val="center"/>
          </w:tcPr>
          <w:p w14:paraId="591A8E2B">
            <w:pPr>
              <w:spacing w:line="280" w:lineRule="exact"/>
              <w:jc w:val="center"/>
              <w:rPr>
                <w:rFonts w:hint="default" w:ascii="微软雅黑" w:hAnsi="微软雅黑"/>
                <w:lang w:val="en-US" w:eastAsia="zh-CN"/>
              </w:rPr>
            </w:pPr>
            <w:r>
              <w:rPr>
                <w:rFonts w:hint="eastAsia" w:ascii="微软雅黑" w:hAnsi="微软雅黑"/>
                <w:lang w:val="en-US" w:eastAsia="zh-CN"/>
              </w:rPr>
              <w:t>3.0</w:t>
            </w:r>
          </w:p>
        </w:tc>
        <w:tc>
          <w:tcPr>
            <w:tcW w:w="1575" w:type="dxa"/>
            <w:tcBorders>
              <w:bottom w:val="single" w:color="auto" w:sz="6" w:space="0"/>
            </w:tcBorders>
            <w:vAlign w:val="center"/>
          </w:tcPr>
          <w:p w14:paraId="482CEE95">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15</w:t>
            </w:r>
          </w:p>
        </w:tc>
        <w:tc>
          <w:tcPr>
            <w:tcW w:w="3528" w:type="dxa"/>
            <w:tcBorders>
              <w:bottom w:val="single" w:color="auto" w:sz="6" w:space="0"/>
            </w:tcBorders>
            <w:vAlign w:val="center"/>
          </w:tcPr>
          <w:p w14:paraId="1BAE9814">
            <w:pPr>
              <w:spacing w:line="280" w:lineRule="exact"/>
              <w:jc w:val="center"/>
              <w:rPr>
                <w:rFonts w:hint="eastAsia" w:ascii="微软雅黑" w:hAnsi="微软雅黑"/>
                <w:lang w:val="en-US" w:eastAsia="zh-CN"/>
              </w:rPr>
            </w:pPr>
            <w:r>
              <w:rPr>
                <w:rFonts w:hint="eastAsia" w:ascii="微软雅黑" w:hAnsi="微软雅黑"/>
                <w:lang w:val="en-US" w:eastAsia="zh-CN"/>
              </w:rPr>
              <w:t>修改漏洞扫描描述</w:t>
            </w:r>
          </w:p>
          <w:p w14:paraId="572088F7">
            <w:pPr>
              <w:spacing w:line="280" w:lineRule="exact"/>
              <w:jc w:val="center"/>
              <w:rPr>
                <w:rFonts w:hint="default" w:ascii="微软雅黑" w:hAnsi="微软雅黑"/>
                <w:lang w:val="en-US" w:eastAsia="zh-CN"/>
              </w:rPr>
            </w:pPr>
            <w:r>
              <w:rPr>
                <w:rFonts w:hint="default" w:ascii="微软雅黑" w:hAnsi="微软雅黑"/>
                <w:lang w:val="en-US" w:eastAsia="zh-CN"/>
              </w:rPr>
              <w:t>Modify vulnerability scanning description</w:t>
            </w:r>
          </w:p>
        </w:tc>
        <w:tc>
          <w:tcPr>
            <w:tcW w:w="1630" w:type="dxa"/>
            <w:tcBorders>
              <w:bottom w:val="single" w:color="auto" w:sz="6" w:space="0"/>
            </w:tcBorders>
            <w:shd w:val="clear" w:color="auto" w:fill="auto"/>
            <w:vAlign w:val="center"/>
          </w:tcPr>
          <w:p w14:paraId="74595543">
            <w:pPr>
              <w:spacing w:line="280" w:lineRule="exact"/>
              <w:jc w:val="center"/>
              <w:rPr>
                <w:rFonts w:hint="eastAsia" w:ascii="微软雅黑" w:hAnsi="微软雅黑"/>
                <w:lang w:val="en-US" w:eastAsia="zh-CN"/>
              </w:rPr>
            </w:pPr>
            <w:r>
              <w:rPr>
                <w:rFonts w:hint="eastAsia" w:ascii="微软雅黑" w:hAnsi="微软雅黑"/>
                <w:lang w:val="en-US" w:eastAsia="zh-CN"/>
              </w:rPr>
              <w:t>郑炳佳</w:t>
            </w:r>
          </w:p>
        </w:tc>
        <w:tc>
          <w:tcPr>
            <w:tcW w:w="1630" w:type="dxa"/>
            <w:tcBorders>
              <w:bottom w:val="single" w:color="auto" w:sz="6" w:space="0"/>
            </w:tcBorders>
            <w:shd w:val="clear" w:color="auto" w:fill="auto"/>
            <w:vAlign w:val="center"/>
          </w:tcPr>
          <w:p w14:paraId="45676796">
            <w:pPr>
              <w:spacing w:line="280" w:lineRule="exact"/>
              <w:jc w:val="center"/>
              <w:rPr>
                <w:rFonts w:hint="eastAsia" w:ascii="微软雅黑" w:hAnsi="微软雅黑"/>
                <w:lang w:val="en-US" w:eastAsia="zh-CN"/>
              </w:rPr>
            </w:pPr>
            <w:r>
              <w:rPr>
                <w:rFonts w:hint="eastAsia" w:ascii="微软雅黑" w:hAnsi="微软雅黑"/>
                <w:lang w:val="en-US" w:eastAsia="zh-CN"/>
              </w:rPr>
              <w:t>杨龙威</w:t>
            </w:r>
          </w:p>
        </w:tc>
        <w:tc>
          <w:tcPr>
            <w:tcW w:w="1630" w:type="dxa"/>
            <w:tcBorders>
              <w:bottom w:val="single" w:color="auto" w:sz="6" w:space="0"/>
            </w:tcBorders>
            <w:shd w:val="clear" w:color="auto" w:fill="auto"/>
            <w:vAlign w:val="center"/>
          </w:tcPr>
          <w:p w14:paraId="1B25147D">
            <w:pPr>
              <w:spacing w:line="280" w:lineRule="exact"/>
              <w:jc w:val="center"/>
              <w:rPr>
                <w:rFonts w:hint="eastAsia" w:ascii="微软雅黑" w:hAnsi="微软雅黑"/>
                <w:lang w:val="en-US" w:eastAsia="zh-CN"/>
              </w:rPr>
            </w:pPr>
            <w:r>
              <w:rPr>
                <w:rFonts w:hint="eastAsia" w:ascii="微软雅黑" w:hAnsi="微软雅黑"/>
                <w:lang w:val="en-US" w:eastAsia="zh-CN"/>
              </w:rPr>
              <w:t>郭思才</w:t>
            </w:r>
          </w:p>
        </w:tc>
      </w:tr>
    </w:tbl>
    <w:p w14:paraId="2417E649"/>
    <w:p w14:paraId="1E6C547C"/>
    <w:tbl>
      <w:tblPr>
        <w:tblStyle w:val="12"/>
        <w:tblW w:w="96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9"/>
        <w:gridCol w:w="3209"/>
        <w:gridCol w:w="3210"/>
      </w:tblGrid>
      <w:tr w14:paraId="3EC6D2D1">
        <w:trPr>
          <w:trHeight w:val="987" w:hRule="atLeast"/>
        </w:trPr>
        <w:tc>
          <w:tcPr>
            <w:tcW w:w="3209" w:type="dxa"/>
            <w:shd w:val="clear" w:color="auto" w:fill="auto"/>
          </w:tcPr>
          <w:p w14:paraId="303DCAD8">
            <w:pPr>
              <w:spacing w:line="480" w:lineRule="exact"/>
              <w:jc w:val="left"/>
              <w:rPr>
                <w:b/>
                <w:bCs/>
                <w:sz w:val="24"/>
                <w:szCs w:val="28"/>
              </w:rPr>
            </w:pPr>
            <w:r>
              <w:rPr>
                <w:rFonts w:hint="eastAsia" w:ascii="微软雅黑" w:hAnsi="微软雅黑"/>
                <w:b/>
                <w:lang w:val="en-US" w:eastAsia="zh-CN"/>
              </w:rPr>
              <w:t>编辑</w:t>
            </w:r>
            <w:r>
              <w:rPr>
                <w:rFonts w:hint="eastAsia"/>
                <w:b/>
                <w:bCs/>
                <w:sz w:val="24"/>
                <w:szCs w:val="28"/>
              </w:rPr>
              <w:t>：</w:t>
            </w:r>
          </w:p>
          <w:p w14:paraId="02B2FEB3">
            <w:pPr>
              <w:spacing w:line="480" w:lineRule="exact"/>
              <w:jc w:val="left"/>
            </w:pPr>
            <w:r>
              <w:rPr>
                <w:rFonts w:hint="eastAsia"/>
                <w:sz w:val="24"/>
                <w:szCs w:val="28"/>
                <w:lang w:val="en-US" w:eastAsia="zh-CN"/>
              </w:rPr>
              <w:t>Editor</w:t>
            </w:r>
            <w:r>
              <w:rPr>
                <w:rFonts w:hint="eastAsia"/>
                <w:sz w:val="24"/>
                <w:szCs w:val="28"/>
              </w:rPr>
              <w:t>:</w:t>
            </w:r>
          </w:p>
        </w:tc>
        <w:tc>
          <w:tcPr>
            <w:tcW w:w="3209" w:type="dxa"/>
            <w:shd w:val="clear" w:color="auto" w:fill="auto"/>
          </w:tcPr>
          <w:p w14:paraId="4F84A210">
            <w:pPr>
              <w:spacing w:line="480" w:lineRule="exact"/>
              <w:jc w:val="left"/>
              <w:rPr>
                <w:b/>
                <w:bCs/>
                <w:sz w:val="24"/>
                <w:szCs w:val="28"/>
              </w:rPr>
            </w:pPr>
            <w:r>
              <w:rPr>
                <w:rFonts w:hint="eastAsia"/>
                <w:b/>
                <w:bCs/>
                <w:sz w:val="24"/>
                <w:szCs w:val="28"/>
              </w:rPr>
              <w:t>审批：</w:t>
            </w:r>
          </w:p>
          <w:p w14:paraId="565E08A0">
            <w:pPr>
              <w:spacing w:line="480" w:lineRule="exact"/>
              <w:jc w:val="left"/>
            </w:pPr>
            <w:r>
              <w:rPr>
                <w:rFonts w:hint="eastAsia" w:ascii="微软雅黑" w:hAnsi="微软雅黑"/>
                <w:b/>
                <w:lang w:val="en-US" w:eastAsia="zh-CN"/>
              </w:rPr>
              <w:t>Auditor</w:t>
            </w:r>
            <w:r>
              <w:rPr>
                <w:rFonts w:hint="eastAsia"/>
                <w:sz w:val="24"/>
                <w:szCs w:val="28"/>
              </w:rPr>
              <w:t>:</w:t>
            </w:r>
          </w:p>
        </w:tc>
        <w:tc>
          <w:tcPr>
            <w:tcW w:w="3210" w:type="dxa"/>
            <w:shd w:val="clear" w:color="auto" w:fill="auto"/>
          </w:tcPr>
          <w:p w14:paraId="544BB69C">
            <w:pPr>
              <w:spacing w:line="480" w:lineRule="exact"/>
              <w:jc w:val="left"/>
              <w:rPr>
                <w:b/>
                <w:bCs/>
                <w:sz w:val="24"/>
                <w:szCs w:val="28"/>
              </w:rPr>
            </w:pPr>
            <w:r>
              <w:rPr>
                <w:rFonts w:hint="eastAsia"/>
                <w:b/>
                <w:bCs/>
                <w:sz w:val="24"/>
                <w:szCs w:val="28"/>
                <w:lang w:val="en-US" w:eastAsia="zh-CN"/>
              </w:rPr>
              <w:t>批准</w:t>
            </w:r>
            <w:r>
              <w:rPr>
                <w:rFonts w:hint="eastAsia"/>
                <w:b/>
                <w:bCs/>
                <w:sz w:val="24"/>
                <w:szCs w:val="28"/>
              </w:rPr>
              <w:t>：</w:t>
            </w:r>
          </w:p>
          <w:p w14:paraId="3348F0B6">
            <w:pPr>
              <w:spacing w:line="480" w:lineRule="exact"/>
              <w:jc w:val="left"/>
            </w:pPr>
            <w:r>
              <w:rPr>
                <w:rFonts w:hint="eastAsia"/>
                <w:sz w:val="24"/>
                <w:szCs w:val="28"/>
                <w:lang w:val="en-US" w:eastAsia="zh-CN"/>
              </w:rPr>
              <w:t>Approve</w:t>
            </w:r>
            <w:r>
              <w:rPr>
                <w:rFonts w:hint="eastAsia"/>
                <w:sz w:val="24"/>
                <w:szCs w:val="28"/>
              </w:rPr>
              <w:t>:</w:t>
            </w:r>
          </w:p>
        </w:tc>
      </w:tr>
    </w:tbl>
    <w:p w14:paraId="2AFFEA87">
      <w:pPr>
        <w:pStyle w:val="31"/>
        <w:rPr>
          <w:rFonts w:hint="eastAsia"/>
        </w:rPr>
      </w:pPr>
    </w:p>
    <w:sectPr>
      <w:footerReference r:id="rId7" w:type="first"/>
      <w:headerReference r:id="rId5" w:type="default"/>
      <w:footerReference r:id="rId6" w:type="default"/>
      <w:pgSz w:w="11906" w:h="16838"/>
      <w:pgMar w:top="720" w:right="1134" w:bottom="1440" w:left="1134" w:header="56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Arial Italic">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F9943">
    <w:pPr>
      <w:pStyle w:val="5"/>
      <w:jc w:val="right"/>
    </w:pPr>
    <w:r>
      <mc:AlternateContent>
        <mc:Choice Requires="wps">
          <w:drawing>
            <wp:anchor distT="0" distB="0" distL="114300" distR="114300" simplePos="0" relativeHeight="251661312" behindDoc="0" locked="0" layoutInCell="1" allowOverlap="1">
              <wp:simplePos x="0" y="0"/>
              <wp:positionH relativeFrom="column">
                <wp:posOffset>1986280</wp:posOffset>
              </wp:positionH>
              <wp:positionV relativeFrom="paragraph">
                <wp:posOffset>-132715</wp:posOffset>
              </wp:positionV>
              <wp:extent cx="2155825" cy="443865"/>
              <wp:effectExtent l="0" t="0" r="3175" b="13335"/>
              <wp:wrapNone/>
              <wp:docPr id="787843771" name="文本框 3"/>
              <wp:cNvGraphicFramePr/>
              <a:graphic xmlns:a="http://schemas.openxmlformats.org/drawingml/2006/main">
                <a:graphicData uri="http://schemas.microsoft.com/office/word/2010/wordprocessingShape">
                  <wps:wsp>
                    <wps:cNvSpPr txBox="1"/>
                    <wps:spPr>
                      <a:xfrm>
                        <a:off x="0" y="0"/>
                        <a:ext cx="2155825" cy="443986"/>
                      </a:xfrm>
                      <a:prstGeom prst="rect">
                        <a:avLst/>
                      </a:prstGeom>
                      <a:solidFill>
                        <a:schemeClr val="lt1"/>
                      </a:solidFill>
                      <a:ln w="6350">
                        <a:noFill/>
                      </a:ln>
                    </wps:spPr>
                    <wps:txb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56.4pt;margin-top:-10.45pt;height:34.95pt;width:169.75pt;z-index:251661312;mso-width-relative:page;mso-height-relative:page;" fillcolor="#FFFFFF [3201]" filled="t" stroked="f" coordsize="21600,21600" o:gfxdata="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YkFgTWAAAA&#10;CgEAAA8AAAAAAAAAAQAgAAAAIgAAAGRycy9kb3ducmV2LnhtbFBLAQIUABQAAAAIAIdO4kBTAKRz&#10;WAIAAJcEAAAOAAAAAAAAAAEAIAAAACUBAABkcnMvZTJvRG9jLnhtbFBLBQYAAAAABgAGAFkBAADv&#10;BQAAAAA=&#10;">
              <v:fill on="t" focussize="0,0"/>
              <v:stroke on="f" weight="0.5pt"/>
              <v:imagedata o:title=""/>
              <o:lock v:ext="edit" aspectratio="f"/>
              <v:textbo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5421630</wp:posOffset>
              </wp:positionH>
              <wp:positionV relativeFrom="paragraph">
                <wp:posOffset>-78740</wp:posOffset>
              </wp:positionV>
              <wp:extent cx="673100" cy="1828800"/>
              <wp:effectExtent l="0" t="0" r="0" b="0"/>
              <wp:wrapSquare wrapText="bothSides"/>
              <wp:docPr id="356813128" name="文本框 1"/>
              <wp:cNvGraphicFramePr/>
              <a:graphic xmlns:a="http://schemas.openxmlformats.org/drawingml/2006/main">
                <a:graphicData uri="http://schemas.microsoft.com/office/word/2010/wordprocessingShape">
                  <wps:wsp>
                    <wps:cNvSpPr txBox="1"/>
                    <wps:spPr>
                      <a:xfrm>
                        <a:off x="0" y="0"/>
                        <a:ext cx="673100" cy="1828800"/>
                      </a:xfrm>
                      <a:prstGeom prst="rect">
                        <a:avLst/>
                      </a:prstGeom>
                      <a:noFill/>
                      <a:ln w="6350">
                        <a:noFill/>
                      </a:ln>
                    </wps:spPr>
                    <wps:txbx>
                      <w:txbxContent>
                        <w:p w14:paraId="26111A35">
                          <w:pPr>
                            <w:pStyle w:val="5"/>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1" o:spid="_x0000_s1026" o:spt="202" type="#_x0000_t202" style="position:absolute;left:0pt;margin-left:426.9pt;margin-top:-6.2pt;height:144pt;width:53pt;mso-wrap-distance-bottom:0pt;mso-wrap-distance-left:9pt;mso-wrap-distance-right:9pt;mso-wrap-distance-top:0pt;z-index:251660288;mso-width-relative:page;mso-height-relative:page;" filled="f" stroked="f" coordsize="21600,21600" o:gfxdata="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67sI2AAAAAsBAAAPAAAAAAAAAAEAIAAAACIA&#10;AABkcnMvZG93bnJldi54bWxQSwECFAAUAAAACACHTuJAxMakSUICAABuBAAADgAAAAAAAAABACAA&#10;AAAnAQAAZHJzL2Uyb0RvYy54bWxQSwUGAAAAAAYABgBZAQAA2wUAAAAA&#10;">
              <v:fill on="f" focussize="0,0"/>
              <v:stroke on="f" weight="0.5pt"/>
              <v:imagedata o:title=""/>
              <o:lock v:ext="edit" aspectratio="f"/>
              <v:textbox style="mso-fit-shape-to-text:t;">
                <w:txbxContent>
                  <w:p w14:paraId="26111A35">
                    <w:pPr>
                      <w:pStyle w:val="5"/>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F61DD">
    <w:pPr>
      <w:pStyle w:val="5"/>
    </w:pPr>
    <w:r>
      <mc:AlternateContent>
        <mc:Choice Requires="wps">
          <w:drawing>
            <wp:anchor distT="0" distB="0" distL="114300" distR="114300" simplePos="0" relativeHeight="251662336" behindDoc="0" locked="0" layoutInCell="1" allowOverlap="1">
              <wp:simplePos x="0" y="0"/>
              <wp:positionH relativeFrom="column">
                <wp:posOffset>2445385</wp:posOffset>
              </wp:positionH>
              <wp:positionV relativeFrom="paragraph">
                <wp:posOffset>-88900</wp:posOffset>
              </wp:positionV>
              <wp:extent cx="1257935" cy="443865"/>
              <wp:effectExtent l="0" t="0" r="0" b="0"/>
              <wp:wrapNone/>
              <wp:docPr id="2051536471" name="文本框 3"/>
              <wp:cNvGraphicFramePr/>
              <a:graphic xmlns:a="http://schemas.openxmlformats.org/drawingml/2006/main">
                <a:graphicData uri="http://schemas.microsoft.com/office/word/2010/wordprocessingShape">
                  <wps:wsp>
                    <wps:cNvSpPr txBox="1"/>
                    <wps:spPr>
                      <a:xfrm>
                        <a:off x="0" y="0"/>
                        <a:ext cx="1257960" cy="443986"/>
                      </a:xfrm>
                      <a:prstGeom prst="rect">
                        <a:avLst/>
                      </a:prstGeom>
                      <a:solidFill>
                        <a:schemeClr val="lt1"/>
                      </a:solidFill>
                      <a:ln w="6350">
                        <a:noFill/>
                      </a:ln>
                    </wps:spPr>
                    <wps:txbx>
                      <w:txbxContent>
                        <w:p w14:paraId="05FED418">
                          <w:pPr>
                            <w:jc w:val="center"/>
                            <w:rPr>
                              <w:sz w:val="18"/>
                              <w:szCs w:val="18"/>
                            </w:rPr>
                          </w:pPr>
                          <w:r>
                            <w:rPr>
                              <w:rFonts w:hint="eastAsia"/>
                              <w:sz w:val="18"/>
                              <w:szCs w:val="18"/>
                            </w:rPr>
                            <w:t>安全等级：内部公开</w:t>
                          </w:r>
                        </w:p>
                        <w:p w14:paraId="6274D258">
                          <w:pPr>
                            <w:jc w:val="center"/>
                            <w:rPr>
                              <w:sz w:val="18"/>
                              <w:szCs w:val="18"/>
                            </w:rPr>
                          </w:pPr>
                          <w:r>
                            <w:rPr>
                              <w:sz w:val="18"/>
                              <w:szCs w:val="18"/>
                            </w:rPr>
                            <w:t>Internal Disclosure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92.55pt;margin-top:-7pt;height:34.95pt;width:99.05pt;z-index:251662336;mso-width-relative:page;mso-height-relative:page;" fillcolor="#FFFFFF [3201]" filled="t" stroked="f" coordsize="21600,21600" o:gfxdata="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aNFu1gAAAAoB&#10;AAAPAAAAAAAAAAEAIAAAACIAAABkcnMvZG93bnJldi54bWxQSwECFAAUAAAACACHTuJAWhPsvVYC&#10;AACYBAAADgAAAAAAAAABACAAAAAlAQAAZHJzL2Uyb0RvYy54bWxQSwUGAAAAAAYABgBZAQAA7QUA&#10;AAAA&#10;">
              <v:fill on="t" focussize="0,0"/>
              <v:stroke on="f" weight="0.5pt"/>
              <v:imagedata o:title=""/>
              <o:lock v:ext="edit" aspectratio="f"/>
              <v:textbox>
                <w:txbxContent>
                  <w:p w14:paraId="05FED418">
                    <w:pPr>
                      <w:jc w:val="center"/>
                      <w:rPr>
                        <w:sz w:val="18"/>
                        <w:szCs w:val="18"/>
                      </w:rPr>
                    </w:pPr>
                    <w:r>
                      <w:rPr>
                        <w:rFonts w:hint="eastAsia"/>
                        <w:sz w:val="18"/>
                        <w:szCs w:val="18"/>
                      </w:rPr>
                      <w:t>安全等级：内部公开</w:t>
                    </w:r>
                  </w:p>
                  <w:p w14:paraId="6274D258">
                    <w:pPr>
                      <w:jc w:val="center"/>
                      <w:rPr>
                        <w:sz w:val="18"/>
                        <w:szCs w:val="18"/>
                      </w:rPr>
                    </w:pPr>
                    <w:r>
                      <w:rPr>
                        <w:sz w:val="18"/>
                        <w:szCs w:val="18"/>
                      </w:rPr>
                      <w:t>Internal Disclosure</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31C9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8E31C9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65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9"/>
      <w:gridCol w:w="2432"/>
      <w:gridCol w:w="2866"/>
    </w:tblGrid>
    <w:tr w14:paraId="0794DB21">
      <w:trPr>
        <w:trHeight w:val="556" w:hRule="atLeast"/>
      </w:trPr>
      <w:tc>
        <w:tcPr>
          <w:tcW w:w="4359" w:type="dxa"/>
          <w:vMerge w:val="restart"/>
          <w:vAlign w:val="top"/>
        </w:tcPr>
        <w:p w14:paraId="1AF96319">
          <w:pPr>
            <w:pStyle w:val="6"/>
            <w:pBdr>
              <w:top w:val="none" w:color="auto" w:sz="0" w:space="0"/>
              <w:left w:val="none" w:color="auto" w:sz="0" w:space="0"/>
              <w:bottom w:val="none" w:color="auto" w:sz="0" w:space="0"/>
              <w:right w:val="none" w:color="auto" w:sz="0" w:space="0"/>
            </w:pBdr>
            <w:jc w:val="left"/>
            <w:rPr>
              <w:rFonts w:hint="eastAsia" w:eastAsia="宋体"/>
              <w:sz w:val="24"/>
              <w:szCs w:val="24"/>
              <w:lang w:eastAsia="zh-CN"/>
            </w:rPr>
          </w:pPr>
          <w:r>
            <w:rPr>
              <w:rFonts w:hint="eastAsia" w:eastAsia="宋体"/>
              <w:sz w:val="24"/>
              <w:szCs w:val="24"/>
              <w:lang w:eastAsia="zh-CN"/>
            </w:rPr>
            <w:drawing>
              <wp:inline distT="0" distB="0" distL="114300" distR="114300">
                <wp:extent cx="659765" cy="183515"/>
                <wp:effectExtent l="0" t="0" r="6985" b="6350"/>
                <wp:docPr id="4" name="图片 14" descr="1-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1-logo"/>
                        <pic:cNvPicPr>
                          <a:picLocks noChangeAspect="1"/>
                        </pic:cNvPicPr>
                      </pic:nvPicPr>
                      <pic:blipFill>
                        <a:blip r:embed="rId1"/>
                        <a:stretch>
                          <a:fillRect/>
                        </a:stretch>
                      </pic:blipFill>
                      <pic:spPr>
                        <a:xfrm>
                          <a:off x="0" y="0"/>
                          <a:ext cx="659765" cy="183515"/>
                        </a:xfrm>
                        <a:prstGeom prst="rect">
                          <a:avLst/>
                        </a:prstGeom>
                        <a:noFill/>
                        <a:ln>
                          <a:noFill/>
                        </a:ln>
                      </pic:spPr>
                    </pic:pic>
                  </a:graphicData>
                </a:graphic>
              </wp:inline>
            </w:drawing>
          </w:r>
        </w:p>
        <w:p w14:paraId="57B90525">
          <w:pPr>
            <w:jc w:val="center"/>
            <w:rPr>
              <w:rFonts w:hint="eastAsia"/>
              <w:b/>
              <w:sz w:val="24"/>
              <w:szCs w:val="24"/>
            </w:rPr>
          </w:pPr>
          <w:r>
            <w:rPr>
              <w:rFonts w:hint="eastAsia"/>
              <w:b/>
              <w:sz w:val="24"/>
              <w:szCs w:val="24"/>
            </w:rPr>
            <w:t>信息安全制度</w:t>
          </w:r>
        </w:p>
        <w:p w14:paraId="0D1134AD">
          <w:pPr>
            <w:jc w:val="center"/>
            <w:rPr>
              <w:rFonts w:hint="default"/>
              <w:sz w:val="24"/>
              <w:szCs w:val="24"/>
              <w:lang w:val="en-US" w:eastAsia="zh-CN"/>
            </w:rPr>
          </w:pPr>
          <w:r>
            <w:rPr>
              <w:rFonts w:hint="eastAsia"/>
              <w:b/>
              <w:sz w:val="24"/>
              <w:szCs w:val="24"/>
              <w:lang w:val="en-US" w:eastAsia="zh-CN"/>
            </w:rPr>
            <w:t>IT Security Policy</w:t>
          </w:r>
        </w:p>
      </w:tc>
      <w:tc>
        <w:tcPr>
          <w:tcW w:w="2432" w:type="dxa"/>
          <w:vAlign w:val="top"/>
        </w:tcPr>
        <w:p w14:paraId="7702D484">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文件编号</w:t>
          </w:r>
        </w:p>
        <w:p w14:paraId="16D9453A">
          <w:pPr>
            <w:pStyle w:val="6"/>
            <w:pBdr>
              <w:top w:val="none" w:color="auto" w:sz="0" w:space="0"/>
              <w:left w:val="none" w:color="auto" w:sz="0" w:space="0"/>
              <w:bottom w:val="none" w:color="auto" w:sz="0" w:space="0"/>
              <w:right w:val="none" w:color="auto" w:sz="0" w:space="0"/>
            </w:pBdr>
            <w:jc w:val="left"/>
            <w:rPr>
              <w:b/>
              <w:bCs/>
              <w:sz w:val="24"/>
              <w:szCs w:val="24"/>
            </w:rPr>
          </w:pPr>
          <w:r>
            <w:rPr>
              <w:rFonts w:hint="eastAsia"/>
              <w:b/>
              <w:bCs/>
              <w:sz w:val="24"/>
              <w:szCs w:val="24"/>
              <w:vertAlign w:val="baseline"/>
              <w:lang w:val="en-US" w:eastAsia="zh-CN"/>
            </w:rPr>
            <w:t>Document No.：</w:t>
          </w:r>
        </w:p>
      </w:tc>
      <w:tc>
        <w:tcPr>
          <w:tcW w:w="2866" w:type="dxa"/>
          <w:vAlign w:val="top"/>
        </w:tcPr>
        <w:p w14:paraId="3DA6CFC1">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16495EEB">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RC-IT-01</w:t>
          </w:r>
        </w:p>
      </w:tc>
    </w:tr>
    <w:tr w14:paraId="1204DBB9">
      <w:trPr>
        <w:trHeight w:val="660" w:hRule="atLeast"/>
      </w:trPr>
      <w:tc>
        <w:tcPr>
          <w:tcW w:w="4359" w:type="dxa"/>
          <w:vMerge w:val="continue"/>
          <w:vAlign w:val="top"/>
        </w:tcPr>
        <w:p w14:paraId="7E45EBB1">
          <w:pPr>
            <w:pStyle w:val="6"/>
            <w:pBdr>
              <w:top w:val="none" w:color="auto" w:sz="0" w:space="0"/>
              <w:left w:val="none" w:color="auto" w:sz="0" w:space="0"/>
              <w:bottom w:val="none" w:color="auto" w:sz="0" w:space="0"/>
              <w:right w:val="none" w:color="auto" w:sz="0" w:space="0"/>
            </w:pBdr>
            <w:rPr>
              <w:sz w:val="24"/>
              <w:szCs w:val="24"/>
            </w:rPr>
          </w:pPr>
        </w:p>
      </w:tc>
      <w:tc>
        <w:tcPr>
          <w:tcW w:w="2432" w:type="dxa"/>
          <w:vAlign w:val="top"/>
        </w:tcPr>
        <w:p w14:paraId="4C26AE0A">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eastAsia="zh-CN"/>
            </w:rPr>
          </w:pPr>
          <w:r>
            <w:rPr>
              <w:rFonts w:hint="eastAsia"/>
              <w:b/>
              <w:bCs/>
              <w:sz w:val="24"/>
              <w:szCs w:val="24"/>
              <w:vertAlign w:val="baseline"/>
              <w:lang w:eastAsia="zh-CN"/>
            </w:rPr>
            <w:t>版本</w:t>
          </w:r>
        </w:p>
        <w:p w14:paraId="4F51066B">
          <w:pPr>
            <w:pStyle w:val="6"/>
            <w:pBdr>
              <w:top w:val="none" w:color="auto" w:sz="0" w:space="0"/>
              <w:left w:val="none" w:color="auto" w:sz="0" w:space="0"/>
              <w:bottom w:val="none" w:color="auto" w:sz="0" w:space="0"/>
              <w:right w:val="none" w:color="auto" w:sz="0" w:space="0"/>
            </w:pBdr>
            <w:jc w:val="left"/>
            <w:rPr>
              <w:sz w:val="24"/>
              <w:szCs w:val="24"/>
            </w:rPr>
          </w:pPr>
          <w:r>
            <w:rPr>
              <w:rFonts w:hint="eastAsia"/>
              <w:b/>
              <w:bCs/>
              <w:sz w:val="24"/>
              <w:szCs w:val="24"/>
              <w:vertAlign w:val="baseline"/>
              <w:lang w:val="en-US" w:eastAsia="zh-CN"/>
            </w:rPr>
            <w:t>Version:</w:t>
          </w:r>
        </w:p>
      </w:tc>
      <w:tc>
        <w:tcPr>
          <w:tcW w:w="2866" w:type="dxa"/>
          <w:vAlign w:val="top"/>
        </w:tcPr>
        <w:p w14:paraId="7957B12B">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1E15BCF4">
          <w:pPr>
            <w:pStyle w:val="6"/>
            <w:pBdr>
              <w:top w:val="none" w:color="auto" w:sz="0" w:space="0"/>
              <w:left w:val="none" w:color="auto" w:sz="0" w:space="0"/>
              <w:bottom w:val="none" w:color="auto" w:sz="0" w:space="0"/>
              <w:right w:val="none" w:color="auto" w:sz="0" w:space="0"/>
            </w:pBdr>
            <w:jc w:val="left"/>
            <w:rPr>
              <w:rFonts w:hint="default"/>
              <w:sz w:val="24"/>
              <w:szCs w:val="24"/>
              <w:lang w:val="en-US"/>
            </w:rPr>
          </w:pPr>
          <w:r>
            <w:rPr>
              <w:rFonts w:hint="eastAsia"/>
              <w:b/>
              <w:bCs/>
              <w:sz w:val="24"/>
              <w:szCs w:val="24"/>
              <w:vertAlign w:val="baseline"/>
              <w:lang w:val="en-US" w:eastAsia="zh-CN"/>
            </w:rPr>
            <w:t>3.0</w:t>
          </w:r>
        </w:p>
      </w:tc>
    </w:tr>
  </w:tbl>
  <w:p w14:paraId="4642A043">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58A8D4"/>
    <w:multiLevelType w:val="singleLevel"/>
    <w:tmpl w:val="D858A8D4"/>
    <w:lvl w:ilvl="0" w:tentative="0">
      <w:start w:val="1"/>
      <w:numFmt w:val="bullet"/>
      <w:lvlText w:val=""/>
      <w:lvlJc w:val="left"/>
      <w:pPr>
        <w:ind w:left="420" w:hanging="420"/>
      </w:pPr>
      <w:rPr>
        <w:rFonts w:hint="default" w:ascii="Wingdings" w:hAnsi="Wingdings"/>
      </w:rPr>
    </w:lvl>
  </w:abstractNum>
  <w:abstractNum w:abstractNumId="1">
    <w:nsid w:val="17281EB0"/>
    <w:multiLevelType w:val="multilevel"/>
    <w:tmpl w:val="17281EB0"/>
    <w:lvl w:ilvl="0" w:tentative="0">
      <w:start w:val="1"/>
      <w:numFmt w:val="decimal"/>
      <w:pStyle w:val="22"/>
      <w:suff w:val="space"/>
      <w:lvlText w:val="%1."/>
      <w:lvlJc w:val="left"/>
      <w:pPr>
        <w:ind w:left="0" w:firstLine="0"/>
      </w:pPr>
      <w:rPr>
        <w:rFonts w:hint="eastAsia" w:ascii="微软雅黑" w:hAnsi="微软雅黑" w:eastAsia="微软雅黑" w:cs="Arial"/>
      </w:rPr>
    </w:lvl>
    <w:lvl w:ilvl="1" w:tentative="0">
      <w:start w:val="1"/>
      <w:numFmt w:val="decimal"/>
      <w:pStyle w:val="24"/>
      <w:suff w:val="space"/>
      <w:lvlText w:val="%1.%2."/>
      <w:lvlJc w:val="left"/>
      <w:pPr>
        <w:ind w:left="0" w:firstLine="0"/>
      </w:pPr>
      <w:rPr>
        <w:rFonts w:hint="eastAsia"/>
      </w:rPr>
    </w:lvl>
    <w:lvl w:ilvl="2" w:tentative="0">
      <w:start w:val="1"/>
      <w:numFmt w:val="decimal"/>
      <w:lvlRestart w:val="1"/>
      <w:pStyle w:val="28"/>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205DE789"/>
    <w:multiLevelType w:val="singleLevel"/>
    <w:tmpl w:val="205DE789"/>
    <w:lvl w:ilvl="0" w:tentative="0">
      <w:start w:val="1"/>
      <w:numFmt w:val="bullet"/>
      <w:lvlText w:val=""/>
      <w:lvlJc w:val="left"/>
      <w:pPr>
        <w:ind w:left="420" w:hanging="420"/>
      </w:pPr>
      <w:rPr>
        <w:rFonts w:hint="default" w:ascii="Wingdings" w:hAnsi="Wingdings"/>
      </w:rPr>
    </w:lvl>
  </w:abstractNum>
  <w:abstractNum w:abstractNumId="3">
    <w:nsid w:val="3912BA16"/>
    <w:multiLevelType w:val="singleLevel"/>
    <w:tmpl w:val="3912BA16"/>
    <w:lvl w:ilvl="0" w:tentative="0">
      <w:start w:val="1"/>
      <w:numFmt w:val="bullet"/>
      <w:lvlText w:val=""/>
      <w:lvlJc w:val="left"/>
      <w:pPr>
        <w:ind w:left="420" w:hanging="420"/>
      </w:pPr>
      <w:rPr>
        <w:rFonts w:hint="default" w:ascii="Wingdings" w:hAnsi="Wingdings"/>
      </w:rPr>
    </w:lvl>
  </w:abstractNum>
  <w:abstractNum w:abstractNumId="4">
    <w:nsid w:val="69F0B7C9"/>
    <w:multiLevelType w:val="singleLevel"/>
    <w:tmpl w:val="69F0B7C9"/>
    <w:lvl w:ilvl="0" w:tentative="0">
      <w:start w:val="1"/>
      <w:numFmt w:val="bullet"/>
      <w:lvlText w:val=""/>
      <w:lvlJc w:val="left"/>
      <w:pPr>
        <w:tabs>
          <w:tab w:val="left" w:pos="420"/>
        </w:tabs>
        <w:ind w:left="840" w:hanging="420"/>
      </w:pPr>
      <w:rPr>
        <w:rFonts w:hint="default" w:ascii="Wingdings" w:hAnsi="Wingdings"/>
      </w:rPr>
    </w:lvl>
  </w:abstractNum>
  <w:abstractNum w:abstractNumId="5">
    <w:nsid w:val="6C71B9E7"/>
    <w:multiLevelType w:val="singleLevel"/>
    <w:tmpl w:val="6C71B9E7"/>
    <w:lvl w:ilvl="0" w:tentative="0">
      <w:start w:val="1"/>
      <w:numFmt w:val="bullet"/>
      <w:lvlText w:val=""/>
      <w:lvlJc w:val="left"/>
      <w:pPr>
        <w:ind w:left="420" w:hanging="420"/>
      </w:pPr>
      <w:rPr>
        <w:rFonts w:hint="default" w:ascii="Wingdings" w:hAnsi="Wingdings"/>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E8"/>
    <w:rsid w:val="00050A86"/>
    <w:rsid w:val="00051146"/>
    <w:rsid w:val="0006678C"/>
    <w:rsid w:val="0006737A"/>
    <w:rsid w:val="00076EB9"/>
    <w:rsid w:val="0008274B"/>
    <w:rsid w:val="00092B97"/>
    <w:rsid w:val="000A303D"/>
    <w:rsid w:val="000C0E9D"/>
    <w:rsid w:val="000C3FCF"/>
    <w:rsid w:val="000C736A"/>
    <w:rsid w:val="000F61DF"/>
    <w:rsid w:val="00111B6F"/>
    <w:rsid w:val="00131A0F"/>
    <w:rsid w:val="001320D3"/>
    <w:rsid w:val="00144A00"/>
    <w:rsid w:val="0016385E"/>
    <w:rsid w:val="0019546C"/>
    <w:rsid w:val="001B3109"/>
    <w:rsid w:val="002418EC"/>
    <w:rsid w:val="002442C1"/>
    <w:rsid w:val="00286685"/>
    <w:rsid w:val="00286D03"/>
    <w:rsid w:val="002B1DB4"/>
    <w:rsid w:val="002B25E8"/>
    <w:rsid w:val="002C0E89"/>
    <w:rsid w:val="002F3C35"/>
    <w:rsid w:val="00305723"/>
    <w:rsid w:val="0030652C"/>
    <w:rsid w:val="00306BA4"/>
    <w:rsid w:val="00306E01"/>
    <w:rsid w:val="003333F7"/>
    <w:rsid w:val="00333A1A"/>
    <w:rsid w:val="003348B2"/>
    <w:rsid w:val="00374BB6"/>
    <w:rsid w:val="003A0251"/>
    <w:rsid w:val="003A743D"/>
    <w:rsid w:val="003B5378"/>
    <w:rsid w:val="003B76CE"/>
    <w:rsid w:val="003B793C"/>
    <w:rsid w:val="003D1365"/>
    <w:rsid w:val="004305C1"/>
    <w:rsid w:val="0046438A"/>
    <w:rsid w:val="0047138A"/>
    <w:rsid w:val="004914BA"/>
    <w:rsid w:val="004968E1"/>
    <w:rsid w:val="004E20CC"/>
    <w:rsid w:val="004E4F37"/>
    <w:rsid w:val="00503A17"/>
    <w:rsid w:val="00504A73"/>
    <w:rsid w:val="00507530"/>
    <w:rsid w:val="00530D76"/>
    <w:rsid w:val="005463D7"/>
    <w:rsid w:val="00554C06"/>
    <w:rsid w:val="005666EF"/>
    <w:rsid w:val="005A7AC7"/>
    <w:rsid w:val="00601C05"/>
    <w:rsid w:val="00603B05"/>
    <w:rsid w:val="00680970"/>
    <w:rsid w:val="00683909"/>
    <w:rsid w:val="006A289D"/>
    <w:rsid w:val="006A429A"/>
    <w:rsid w:val="006B517C"/>
    <w:rsid w:val="006B6CDB"/>
    <w:rsid w:val="006C005C"/>
    <w:rsid w:val="006C20C8"/>
    <w:rsid w:val="006E43E7"/>
    <w:rsid w:val="00702623"/>
    <w:rsid w:val="00722550"/>
    <w:rsid w:val="00741192"/>
    <w:rsid w:val="007705CD"/>
    <w:rsid w:val="007727C2"/>
    <w:rsid w:val="007761F9"/>
    <w:rsid w:val="00780858"/>
    <w:rsid w:val="007971F2"/>
    <w:rsid w:val="007A15A1"/>
    <w:rsid w:val="007A2D5A"/>
    <w:rsid w:val="007A4234"/>
    <w:rsid w:val="007A798C"/>
    <w:rsid w:val="007B30C2"/>
    <w:rsid w:val="007B40A3"/>
    <w:rsid w:val="007C39FE"/>
    <w:rsid w:val="007D3CBF"/>
    <w:rsid w:val="007E228A"/>
    <w:rsid w:val="007E661C"/>
    <w:rsid w:val="007F7D46"/>
    <w:rsid w:val="00805A3A"/>
    <w:rsid w:val="00835D7A"/>
    <w:rsid w:val="00840DEA"/>
    <w:rsid w:val="008512E2"/>
    <w:rsid w:val="008623CB"/>
    <w:rsid w:val="00875241"/>
    <w:rsid w:val="008B3A17"/>
    <w:rsid w:val="008D0AE9"/>
    <w:rsid w:val="008F630D"/>
    <w:rsid w:val="009066AA"/>
    <w:rsid w:val="00932F9B"/>
    <w:rsid w:val="00945273"/>
    <w:rsid w:val="00954A19"/>
    <w:rsid w:val="00960DBB"/>
    <w:rsid w:val="0097320E"/>
    <w:rsid w:val="00974BF5"/>
    <w:rsid w:val="009A1336"/>
    <w:rsid w:val="009B36A4"/>
    <w:rsid w:val="009C537E"/>
    <w:rsid w:val="009C72B2"/>
    <w:rsid w:val="009F28B6"/>
    <w:rsid w:val="009F6C71"/>
    <w:rsid w:val="00A154DF"/>
    <w:rsid w:val="00A43217"/>
    <w:rsid w:val="00A50B89"/>
    <w:rsid w:val="00A63E7E"/>
    <w:rsid w:val="00A83A54"/>
    <w:rsid w:val="00AA1D8A"/>
    <w:rsid w:val="00AB22D4"/>
    <w:rsid w:val="00AB239E"/>
    <w:rsid w:val="00B329DF"/>
    <w:rsid w:val="00B37348"/>
    <w:rsid w:val="00B430BC"/>
    <w:rsid w:val="00B44B58"/>
    <w:rsid w:val="00B6537D"/>
    <w:rsid w:val="00B74FE1"/>
    <w:rsid w:val="00B8428B"/>
    <w:rsid w:val="00BB4C03"/>
    <w:rsid w:val="00BB57E0"/>
    <w:rsid w:val="00BC3CAF"/>
    <w:rsid w:val="00BC62DE"/>
    <w:rsid w:val="00BD4A25"/>
    <w:rsid w:val="00BE1CC9"/>
    <w:rsid w:val="00BE4B23"/>
    <w:rsid w:val="00BE7416"/>
    <w:rsid w:val="00BF61FD"/>
    <w:rsid w:val="00C059FF"/>
    <w:rsid w:val="00C11833"/>
    <w:rsid w:val="00C211FA"/>
    <w:rsid w:val="00C64445"/>
    <w:rsid w:val="00C72300"/>
    <w:rsid w:val="00C84172"/>
    <w:rsid w:val="00C851C7"/>
    <w:rsid w:val="00CB7C4D"/>
    <w:rsid w:val="00CC7208"/>
    <w:rsid w:val="00CD11AB"/>
    <w:rsid w:val="00CE4E01"/>
    <w:rsid w:val="00D01DFE"/>
    <w:rsid w:val="00D03615"/>
    <w:rsid w:val="00D0698A"/>
    <w:rsid w:val="00D2596B"/>
    <w:rsid w:val="00D43E64"/>
    <w:rsid w:val="00D46825"/>
    <w:rsid w:val="00D46B05"/>
    <w:rsid w:val="00D80840"/>
    <w:rsid w:val="00D869B6"/>
    <w:rsid w:val="00DA712D"/>
    <w:rsid w:val="00DB2F4A"/>
    <w:rsid w:val="00DC39A7"/>
    <w:rsid w:val="00DC4082"/>
    <w:rsid w:val="00DF0274"/>
    <w:rsid w:val="00DF559C"/>
    <w:rsid w:val="00DF7D51"/>
    <w:rsid w:val="00E0462D"/>
    <w:rsid w:val="00E06888"/>
    <w:rsid w:val="00E24EDD"/>
    <w:rsid w:val="00E3182C"/>
    <w:rsid w:val="00E355C2"/>
    <w:rsid w:val="00E55F4A"/>
    <w:rsid w:val="00E62891"/>
    <w:rsid w:val="00E83720"/>
    <w:rsid w:val="00E8446C"/>
    <w:rsid w:val="00E846DC"/>
    <w:rsid w:val="00E9619B"/>
    <w:rsid w:val="00EA058E"/>
    <w:rsid w:val="00EB170A"/>
    <w:rsid w:val="00EF19A4"/>
    <w:rsid w:val="00EF335E"/>
    <w:rsid w:val="00EF7268"/>
    <w:rsid w:val="00F02412"/>
    <w:rsid w:val="00F065B3"/>
    <w:rsid w:val="00F06803"/>
    <w:rsid w:val="00F21D9C"/>
    <w:rsid w:val="00F24CFF"/>
    <w:rsid w:val="00F359CB"/>
    <w:rsid w:val="00F61A87"/>
    <w:rsid w:val="00F75890"/>
    <w:rsid w:val="00F7698E"/>
    <w:rsid w:val="00F83627"/>
    <w:rsid w:val="00F91A1E"/>
    <w:rsid w:val="00FA657F"/>
    <w:rsid w:val="00FD6206"/>
    <w:rsid w:val="00FE043F"/>
    <w:rsid w:val="00FE48AC"/>
    <w:rsid w:val="011E1FE4"/>
    <w:rsid w:val="016A6FD7"/>
    <w:rsid w:val="019F1377"/>
    <w:rsid w:val="01BF37C7"/>
    <w:rsid w:val="02053ECA"/>
    <w:rsid w:val="0273635F"/>
    <w:rsid w:val="03914CEF"/>
    <w:rsid w:val="03B61608"/>
    <w:rsid w:val="03E726C9"/>
    <w:rsid w:val="042B5143"/>
    <w:rsid w:val="04B05649"/>
    <w:rsid w:val="06575D2B"/>
    <w:rsid w:val="071874D5"/>
    <w:rsid w:val="07943000"/>
    <w:rsid w:val="07B032BA"/>
    <w:rsid w:val="07D3164A"/>
    <w:rsid w:val="0803316A"/>
    <w:rsid w:val="08B30855"/>
    <w:rsid w:val="08B52B93"/>
    <w:rsid w:val="0924477E"/>
    <w:rsid w:val="09293C1C"/>
    <w:rsid w:val="09C23374"/>
    <w:rsid w:val="09CF6571"/>
    <w:rsid w:val="09F2225F"/>
    <w:rsid w:val="0A171CC6"/>
    <w:rsid w:val="0A5B7E05"/>
    <w:rsid w:val="0A8F3F52"/>
    <w:rsid w:val="0AB47515"/>
    <w:rsid w:val="0B9C06D5"/>
    <w:rsid w:val="0BED0B7C"/>
    <w:rsid w:val="0BFB5CEE"/>
    <w:rsid w:val="0C912D93"/>
    <w:rsid w:val="0CA35A93"/>
    <w:rsid w:val="0CD105C7"/>
    <w:rsid w:val="0D130FD8"/>
    <w:rsid w:val="0D29243C"/>
    <w:rsid w:val="0D50721D"/>
    <w:rsid w:val="0DA44BED"/>
    <w:rsid w:val="0E7D287D"/>
    <w:rsid w:val="0E8D69FB"/>
    <w:rsid w:val="0EAC6E81"/>
    <w:rsid w:val="0EF425D6"/>
    <w:rsid w:val="0F24110D"/>
    <w:rsid w:val="0F5372FC"/>
    <w:rsid w:val="0F5D461F"/>
    <w:rsid w:val="0FB0321C"/>
    <w:rsid w:val="10134CDE"/>
    <w:rsid w:val="10556A3F"/>
    <w:rsid w:val="10AC5D79"/>
    <w:rsid w:val="10B01BC2"/>
    <w:rsid w:val="10F36FE9"/>
    <w:rsid w:val="115979CD"/>
    <w:rsid w:val="11C4105E"/>
    <w:rsid w:val="11F1104F"/>
    <w:rsid w:val="13BD568C"/>
    <w:rsid w:val="14083530"/>
    <w:rsid w:val="141F75DB"/>
    <w:rsid w:val="1490546B"/>
    <w:rsid w:val="14D47131"/>
    <w:rsid w:val="153320AA"/>
    <w:rsid w:val="158C5316"/>
    <w:rsid w:val="15DB508D"/>
    <w:rsid w:val="15E300E0"/>
    <w:rsid w:val="166766FD"/>
    <w:rsid w:val="16AE0687"/>
    <w:rsid w:val="16E13293"/>
    <w:rsid w:val="16FB386A"/>
    <w:rsid w:val="171E71A9"/>
    <w:rsid w:val="1740460A"/>
    <w:rsid w:val="17752828"/>
    <w:rsid w:val="177D585E"/>
    <w:rsid w:val="17C27715"/>
    <w:rsid w:val="17C92852"/>
    <w:rsid w:val="18C82B09"/>
    <w:rsid w:val="191C4C03"/>
    <w:rsid w:val="19257F5C"/>
    <w:rsid w:val="196D36B1"/>
    <w:rsid w:val="19A43B0E"/>
    <w:rsid w:val="19C81B86"/>
    <w:rsid w:val="1A693E78"/>
    <w:rsid w:val="1AA66E7A"/>
    <w:rsid w:val="1AEB0D31"/>
    <w:rsid w:val="1B5D06A1"/>
    <w:rsid w:val="1BD47A17"/>
    <w:rsid w:val="1C77142A"/>
    <w:rsid w:val="1CF3211F"/>
    <w:rsid w:val="1CF46234"/>
    <w:rsid w:val="1D631052"/>
    <w:rsid w:val="1DC55869"/>
    <w:rsid w:val="1EAA4D8E"/>
    <w:rsid w:val="1F095C2A"/>
    <w:rsid w:val="1F316F2E"/>
    <w:rsid w:val="1FCC25B2"/>
    <w:rsid w:val="20653333"/>
    <w:rsid w:val="21984239"/>
    <w:rsid w:val="219A700D"/>
    <w:rsid w:val="21A32365"/>
    <w:rsid w:val="21CB56FD"/>
    <w:rsid w:val="22204389"/>
    <w:rsid w:val="222F35C6"/>
    <w:rsid w:val="22596EC8"/>
    <w:rsid w:val="235F22BC"/>
    <w:rsid w:val="238E5D48"/>
    <w:rsid w:val="23CD4746"/>
    <w:rsid w:val="242332EA"/>
    <w:rsid w:val="25DA0320"/>
    <w:rsid w:val="26103D41"/>
    <w:rsid w:val="262B069F"/>
    <w:rsid w:val="266C3F24"/>
    <w:rsid w:val="26890340"/>
    <w:rsid w:val="26CA3EF0"/>
    <w:rsid w:val="27321A96"/>
    <w:rsid w:val="27D30EC2"/>
    <w:rsid w:val="28341F69"/>
    <w:rsid w:val="28AA2E35"/>
    <w:rsid w:val="29226266"/>
    <w:rsid w:val="29437F8A"/>
    <w:rsid w:val="29A06291"/>
    <w:rsid w:val="2A27163A"/>
    <w:rsid w:val="2A4D10C0"/>
    <w:rsid w:val="2A81008B"/>
    <w:rsid w:val="2ACA0D3E"/>
    <w:rsid w:val="2B3F2B94"/>
    <w:rsid w:val="2B65616F"/>
    <w:rsid w:val="2B6C37C8"/>
    <w:rsid w:val="2B74267D"/>
    <w:rsid w:val="2B8E7BE2"/>
    <w:rsid w:val="2CE7317E"/>
    <w:rsid w:val="2CFC0B7C"/>
    <w:rsid w:val="2DF4181D"/>
    <w:rsid w:val="2EAB2859"/>
    <w:rsid w:val="2FCC2A87"/>
    <w:rsid w:val="30204B81"/>
    <w:rsid w:val="30247EB7"/>
    <w:rsid w:val="30C419B0"/>
    <w:rsid w:val="31434FCB"/>
    <w:rsid w:val="31665B97"/>
    <w:rsid w:val="321B7CF6"/>
    <w:rsid w:val="3244724D"/>
    <w:rsid w:val="327F64D7"/>
    <w:rsid w:val="32AF043E"/>
    <w:rsid w:val="32B17F7A"/>
    <w:rsid w:val="32E14A9C"/>
    <w:rsid w:val="32ED1692"/>
    <w:rsid w:val="330B1B18"/>
    <w:rsid w:val="331F7C32"/>
    <w:rsid w:val="332D7CE1"/>
    <w:rsid w:val="335A4A65"/>
    <w:rsid w:val="33922921"/>
    <w:rsid w:val="348B6C08"/>
    <w:rsid w:val="35431A3E"/>
    <w:rsid w:val="35925B41"/>
    <w:rsid w:val="35FB2783"/>
    <w:rsid w:val="360C62D3"/>
    <w:rsid w:val="37D93CBA"/>
    <w:rsid w:val="38012C35"/>
    <w:rsid w:val="38710AB3"/>
    <w:rsid w:val="38944412"/>
    <w:rsid w:val="38D94467"/>
    <w:rsid w:val="391C048E"/>
    <w:rsid w:val="39D50EC7"/>
    <w:rsid w:val="3A2B6F44"/>
    <w:rsid w:val="3A2E433E"/>
    <w:rsid w:val="3A362570"/>
    <w:rsid w:val="3A3C6A5B"/>
    <w:rsid w:val="3A623B78"/>
    <w:rsid w:val="3B0A0908"/>
    <w:rsid w:val="3B351E28"/>
    <w:rsid w:val="3BDC22A4"/>
    <w:rsid w:val="3C1001A0"/>
    <w:rsid w:val="3C6109FB"/>
    <w:rsid w:val="3C756255"/>
    <w:rsid w:val="3CAF1767"/>
    <w:rsid w:val="3CFFFD94"/>
    <w:rsid w:val="3DF10581"/>
    <w:rsid w:val="3DFB44C4"/>
    <w:rsid w:val="3F7FA166"/>
    <w:rsid w:val="3FBA0930"/>
    <w:rsid w:val="40F40659"/>
    <w:rsid w:val="410A75A3"/>
    <w:rsid w:val="419B49AF"/>
    <w:rsid w:val="41CE268F"/>
    <w:rsid w:val="42F817AE"/>
    <w:rsid w:val="432879E8"/>
    <w:rsid w:val="43762FDE"/>
    <w:rsid w:val="43784FA8"/>
    <w:rsid w:val="44570970"/>
    <w:rsid w:val="45DE4E6B"/>
    <w:rsid w:val="45E561F9"/>
    <w:rsid w:val="45E71F71"/>
    <w:rsid w:val="46965745"/>
    <w:rsid w:val="46BF51C7"/>
    <w:rsid w:val="472114B3"/>
    <w:rsid w:val="47571378"/>
    <w:rsid w:val="47B20B3C"/>
    <w:rsid w:val="48B06F92"/>
    <w:rsid w:val="48B82ECD"/>
    <w:rsid w:val="48B85E47"/>
    <w:rsid w:val="48E72288"/>
    <w:rsid w:val="49331CE6"/>
    <w:rsid w:val="495670B1"/>
    <w:rsid w:val="49CB3958"/>
    <w:rsid w:val="4A027788"/>
    <w:rsid w:val="4A3239D7"/>
    <w:rsid w:val="4A4F3C7C"/>
    <w:rsid w:val="4A881849"/>
    <w:rsid w:val="4A8C758B"/>
    <w:rsid w:val="4AE66C9B"/>
    <w:rsid w:val="4B337A07"/>
    <w:rsid w:val="4B8A28B0"/>
    <w:rsid w:val="4C2E5854"/>
    <w:rsid w:val="4C3677AE"/>
    <w:rsid w:val="4D4C4DB0"/>
    <w:rsid w:val="4D9807B0"/>
    <w:rsid w:val="4D9C1893"/>
    <w:rsid w:val="4DEA6AA2"/>
    <w:rsid w:val="4E081F50"/>
    <w:rsid w:val="4E257ADB"/>
    <w:rsid w:val="4EED066E"/>
    <w:rsid w:val="4F1D07B2"/>
    <w:rsid w:val="4F457D08"/>
    <w:rsid w:val="4FCE5F50"/>
    <w:rsid w:val="4FF35CDD"/>
    <w:rsid w:val="50970A38"/>
    <w:rsid w:val="50D15CF8"/>
    <w:rsid w:val="50DA6E8E"/>
    <w:rsid w:val="51475FBA"/>
    <w:rsid w:val="51AE7166"/>
    <w:rsid w:val="51CC64BF"/>
    <w:rsid w:val="525766D1"/>
    <w:rsid w:val="52727066"/>
    <w:rsid w:val="527955C2"/>
    <w:rsid w:val="529C508D"/>
    <w:rsid w:val="52F3BA1F"/>
    <w:rsid w:val="53226CDE"/>
    <w:rsid w:val="533A6DED"/>
    <w:rsid w:val="543E640E"/>
    <w:rsid w:val="54A817B0"/>
    <w:rsid w:val="54AB4AB2"/>
    <w:rsid w:val="55A03F4F"/>
    <w:rsid w:val="56892BD1"/>
    <w:rsid w:val="57803FD4"/>
    <w:rsid w:val="578E4396"/>
    <w:rsid w:val="57FD0E22"/>
    <w:rsid w:val="585520DE"/>
    <w:rsid w:val="586E367A"/>
    <w:rsid w:val="588E5DDC"/>
    <w:rsid w:val="59507D05"/>
    <w:rsid w:val="597A5EB7"/>
    <w:rsid w:val="59A57D21"/>
    <w:rsid w:val="59AD307A"/>
    <w:rsid w:val="59CC1752"/>
    <w:rsid w:val="59FBF43B"/>
    <w:rsid w:val="5A370F40"/>
    <w:rsid w:val="5A736072"/>
    <w:rsid w:val="5AA56967"/>
    <w:rsid w:val="5AF70A51"/>
    <w:rsid w:val="5B201842"/>
    <w:rsid w:val="5B251CD2"/>
    <w:rsid w:val="5B8544A8"/>
    <w:rsid w:val="5BCC5A39"/>
    <w:rsid w:val="5BDE39BF"/>
    <w:rsid w:val="5BF09C58"/>
    <w:rsid w:val="5CB85FBE"/>
    <w:rsid w:val="5CDA2E82"/>
    <w:rsid w:val="5D6D0B56"/>
    <w:rsid w:val="5E6F6B50"/>
    <w:rsid w:val="5EAC1442"/>
    <w:rsid w:val="5F11698F"/>
    <w:rsid w:val="5F323956"/>
    <w:rsid w:val="5F7E4C6A"/>
    <w:rsid w:val="5FE255F3"/>
    <w:rsid w:val="5FEC48FC"/>
    <w:rsid w:val="60847A10"/>
    <w:rsid w:val="617C3A5E"/>
    <w:rsid w:val="61945B24"/>
    <w:rsid w:val="61F41846"/>
    <w:rsid w:val="62037CDB"/>
    <w:rsid w:val="620C71E5"/>
    <w:rsid w:val="626F0853"/>
    <w:rsid w:val="628472D5"/>
    <w:rsid w:val="637426A4"/>
    <w:rsid w:val="637A3FCD"/>
    <w:rsid w:val="639B44B7"/>
    <w:rsid w:val="64077B7B"/>
    <w:rsid w:val="6429154F"/>
    <w:rsid w:val="64300B2F"/>
    <w:rsid w:val="64AD2180"/>
    <w:rsid w:val="64B04B39"/>
    <w:rsid w:val="64B33C3A"/>
    <w:rsid w:val="65006754"/>
    <w:rsid w:val="65077AE2"/>
    <w:rsid w:val="65A17F37"/>
    <w:rsid w:val="660B715E"/>
    <w:rsid w:val="663530C5"/>
    <w:rsid w:val="679F4002"/>
    <w:rsid w:val="67A31AD2"/>
    <w:rsid w:val="67F7A3C1"/>
    <w:rsid w:val="68A35D74"/>
    <w:rsid w:val="68B735CD"/>
    <w:rsid w:val="694320DB"/>
    <w:rsid w:val="694B23D7"/>
    <w:rsid w:val="6A72255F"/>
    <w:rsid w:val="6A9110FC"/>
    <w:rsid w:val="6B853828"/>
    <w:rsid w:val="6C423AF6"/>
    <w:rsid w:val="6CA634AC"/>
    <w:rsid w:val="6CD74ED9"/>
    <w:rsid w:val="6D194857"/>
    <w:rsid w:val="6DE70AA5"/>
    <w:rsid w:val="6DE94229"/>
    <w:rsid w:val="6DEC1F6B"/>
    <w:rsid w:val="6DF71B3C"/>
    <w:rsid w:val="6E3B6AC8"/>
    <w:rsid w:val="6E7C509D"/>
    <w:rsid w:val="6EBBF03D"/>
    <w:rsid w:val="6EDA6267"/>
    <w:rsid w:val="6F285225"/>
    <w:rsid w:val="6F3911E0"/>
    <w:rsid w:val="6FBD551F"/>
    <w:rsid w:val="6FCE2048"/>
    <w:rsid w:val="6FDE6986"/>
    <w:rsid w:val="6FF6BCF8"/>
    <w:rsid w:val="704E14F2"/>
    <w:rsid w:val="70DA42FD"/>
    <w:rsid w:val="71092E34"/>
    <w:rsid w:val="713D78D4"/>
    <w:rsid w:val="71500A63"/>
    <w:rsid w:val="718C05CE"/>
    <w:rsid w:val="71A42811"/>
    <w:rsid w:val="71F852AC"/>
    <w:rsid w:val="71F87130"/>
    <w:rsid w:val="72023B0B"/>
    <w:rsid w:val="722D0A2F"/>
    <w:rsid w:val="727637F9"/>
    <w:rsid w:val="73A55F11"/>
    <w:rsid w:val="73C53042"/>
    <w:rsid w:val="73CC5482"/>
    <w:rsid w:val="748102EA"/>
    <w:rsid w:val="74C74B98"/>
    <w:rsid w:val="75706FDE"/>
    <w:rsid w:val="75A849CA"/>
    <w:rsid w:val="762F3B08"/>
    <w:rsid w:val="76742AFE"/>
    <w:rsid w:val="7677439C"/>
    <w:rsid w:val="768A40CF"/>
    <w:rsid w:val="76AF1D88"/>
    <w:rsid w:val="76B33626"/>
    <w:rsid w:val="76B86E8E"/>
    <w:rsid w:val="76EE4427"/>
    <w:rsid w:val="773FC395"/>
    <w:rsid w:val="77435EA1"/>
    <w:rsid w:val="778D031B"/>
    <w:rsid w:val="78C7785D"/>
    <w:rsid w:val="78E33F6B"/>
    <w:rsid w:val="79343894"/>
    <w:rsid w:val="79AC21E9"/>
    <w:rsid w:val="79CF63E5"/>
    <w:rsid w:val="7A0643B5"/>
    <w:rsid w:val="7A630A97"/>
    <w:rsid w:val="7AC8166A"/>
    <w:rsid w:val="7B2014A6"/>
    <w:rsid w:val="7B4B841F"/>
    <w:rsid w:val="7BC6204D"/>
    <w:rsid w:val="7BD758A3"/>
    <w:rsid w:val="7BF1074D"/>
    <w:rsid w:val="7BF7F7E2"/>
    <w:rsid w:val="7BFE3DF2"/>
    <w:rsid w:val="7C350F81"/>
    <w:rsid w:val="7C696F46"/>
    <w:rsid w:val="7C7970C0"/>
    <w:rsid w:val="7CBA3278"/>
    <w:rsid w:val="7DBF36E2"/>
    <w:rsid w:val="7DCC1471"/>
    <w:rsid w:val="7E2748F9"/>
    <w:rsid w:val="7E470B2E"/>
    <w:rsid w:val="7ED78737"/>
    <w:rsid w:val="7EFB3DBC"/>
    <w:rsid w:val="7F5933B8"/>
    <w:rsid w:val="7FBF6C0F"/>
    <w:rsid w:val="7FFEA5A9"/>
    <w:rsid w:val="7FFEE822"/>
    <w:rsid w:val="9BA1CD5D"/>
    <w:rsid w:val="AFFD7F87"/>
    <w:rsid w:val="BFDBEC9F"/>
    <w:rsid w:val="BFFBAE66"/>
    <w:rsid w:val="D77F2260"/>
    <w:rsid w:val="D9FE6D58"/>
    <w:rsid w:val="DFDBAF24"/>
    <w:rsid w:val="DFF0A520"/>
    <w:rsid w:val="EF7DB292"/>
    <w:rsid w:val="EFBF4B1A"/>
    <w:rsid w:val="EFDF3067"/>
    <w:rsid w:val="EFDF8768"/>
    <w:rsid w:val="F3EE08E0"/>
    <w:rsid w:val="F5EBFFDF"/>
    <w:rsid w:val="F86FBF95"/>
    <w:rsid w:val="FA3DD46E"/>
    <w:rsid w:val="FEEA5FED"/>
    <w:rsid w:val="FEFDFED7"/>
    <w:rsid w:val="FF1E36AA"/>
    <w:rsid w:val="FFDDF58F"/>
    <w:rsid w:val="FFFDC9D5"/>
    <w:rsid w:val="FFFF983C"/>
    <w:rsid w:val="FFFFF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tLeast"/>
      <w:jc w:val="both"/>
    </w:pPr>
    <w:rPr>
      <w:rFonts w:ascii="Arial" w:hAnsi="Arial" w:eastAsia="微软雅黑"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tLeast"/>
      <w:outlineLvl w:val="0"/>
    </w:pPr>
    <w:rPr>
      <w:b/>
      <w:bCs/>
      <w:kern w:val="44"/>
      <w:sz w:val="44"/>
      <w:szCs w:val="44"/>
    </w:rPr>
  </w:style>
  <w:style w:type="character" w:default="1" w:styleId="13">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paragraph" w:styleId="3">
    <w:name w:val="annotation text"/>
    <w:basedOn w:val="1"/>
    <w:link w:val="35"/>
    <w:unhideWhenUsed/>
    <w:qFormat/>
    <w:uiPriority w:val="99"/>
    <w:pPr>
      <w:jc w:val="left"/>
    </w:pPr>
  </w:style>
  <w:style w:type="paragraph" w:styleId="4">
    <w:name w:val="Body Text Indent"/>
    <w:basedOn w:val="1"/>
    <w:link w:val="21"/>
    <w:qFormat/>
    <w:uiPriority w:val="0"/>
    <w:pPr>
      <w:widowControl w:val="0"/>
      <w:spacing w:before="100" w:beforeAutospacing="1" w:after="100" w:afterAutospacing="1" w:line="240" w:lineRule="auto"/>
      <w:ind w:left="240" w:leftChars="100"/>
    </w:pPr>
    <w:rPr>
      <w:rFonts w:eastAsia="宋体" w:cs="Arial"/>
      <w:sz w:val="20"/>
      <w:szCs w:val="24"/>
    </w:rPr>
  </w:style>
  <w:style w:type="paragraph" w:styleId="5">
    <w:name w:val="footer"/>
    <w:basedOn w:val="1"/>
    <w:link w:val="18"/>
    <w:unhideWhenUsed/>
    <w:qFormat/>
    <w:uiPriority w:val="99"/>
    <w:pPr>
      <w:tabs>
        <w:tab w:val="center" w:pos="4153"/>
        <w:tab w:val="right" w:pos="8306"/>
      </w:tabs>
      <w:snapToGrid w:val="0"/>
      <w:spacing w:line="240" w:lineRule="atLeast"/>
      <w:jc w:val="left"/>
    </w:pPr>
    <w:rPr>
      <w:sz w:val="18"/>
      <w:szCs w:val="18"/>
    </w:rPr>
  </w:style>
  <w:style w:type="paragraph" w:styleId="6">
    <w:name w:val="header"/>
    <w:basedOn w:val="1"/>
    <w:link w:val="17"/>
    <w:unhideWhenUsed/>
    <w:qFormat/>
    <w:uiPriority w:val="99"/>
    <w:pPr>
      <w:tabs>
        <w:tab w:val="center" w:pos="4153"/>
        <w:tab w:val="right" w:pos="8306"/>
      </w:tabs>
      <w:snapToGrid w:val="0"/>
      <w:spacing w:line="240" w:lineRule="atLeast"/>
      <w:jc w:val="center"/>
    </w:pPr>
    <w:rPr>
      <w:sz w:val="18"/>
      <w:szCs w:val="18"/>
    </w:rPr>
  </w:style>
  <w:style w:type="paragraph" w:styleId="7">
    <w:name w:val="toc 1"/>
    <w:basedOn w:val="1"/>
    <w:next w:val="1"/>
    <w:unhideWhenUsed/>
    <w:qFormat/>
    <w:uiPriority w:val="39"/>
    <w:pPr>
      <w:tabs>
        <w:tab w:val="right" w:leader="dot" w:pos="9628"/>
      </w:tabs>
    </w:pPr>
    <w:rPr>
      <w:rFonts w:ascii="微软雅黑" w:hAnsi="微软雅黑" w:cs="微软雅黑"/>
      <w:b/>
      <w:bCs/>
      <w:sz w:val="24"/>
      <w:szCs w:val="24"/>
    </w:rPr>
  </w:style>
  <w:style w:type="paragraph" w:styleId="8">
    <w:name w:val="toc 2"/>
    <w:basedOn w:val="1"/>
    <w:next w:val="1"/>
    <w:unhideWhenUsed/>
    <w:qFormat/>
    <w:uiPriority w:val="39"/>
    <w:pPr>
      <w:ind w:left="200" w:leftChars="200"/>
    </w:pPr>
    <w:rPr>
      <w:sz w:val="20"/>
    </w:rPr>
  </w:style>
  <w:style w:type="paragraph" w:styleId="9">
    <w:name w:val="Normal (Web)"/>
    <w:basedOn w:val="1"/>
    <w:unhideWhenUsed/>
    <w:qFormat/>
    <w:uiPriority w:val="99"/>
    <w:rPr>
      <w:sz w:val="24"/>
    </w:rPr>
  </w:style>
  <w:style w:type="paragraph" w:styleId="10">
    <w:name w:val="annotation subject"/>
    <w:basedOn w:val="3"/>
    <w:next w:val="3"/>
    <w:link w:val="36"/>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i/>
    </w:rPr>
  </w:style>
  <w:style w:type="character" w:styleId="15">
    <w:name w:val="Hyperlink"/>
    <w:basedOn w:val="13"/>
    <w:unhideWhenUsed/>
    <w:qFormat/>
    <w:uiPriority w:val="99"/>
    <w:rPr>
      <w:color w:val="467886" w:themeColor="hyperlink"/>
      <w:u w:val="single"/>
      <w14:textFill>
        <w14:solidFill>
          <w14:schemeClr w14:val="hlink"/>
        </w14:solidFill>
      </w14:textFill>
    </w:rPr>
  </w:style>
  <w:style w:type="character" w:styleId="16">
    <w:name w:val="annotation reference"/>
    <w:basedOn w:val="13"/>
    <w:unhideWhenUsed/>
    <w:qFormat/>
    <w:uiPriority w:val="99"/>
    <w:rPr>
      <w:sz w:val="21"/>
      <w:szCs w:val="21"/>
    </w:rPr>
  </w:style>
  <w:style w:type="character" w:customStyle="1" w:styleId="17">
    <w:name w:val="页眉 字符"/>
    <w:basedOn w:val="13"/>
    <w:link w:val="6"/>
    <w:qFormat/>
    <w:uiPriority w:val="99"/>
    <w:rPr>
      <w:sz w:val="18"/>
      <w:szCs w:val="18"/>
    </w:rPr>
  </w:style>
  <w:style w:type="character" w:customStyle="1" w:styleId="18">
    <w:name w:val="页脚 字符"/>
    <w:basedOn w:val="13"/>
    <w:link w:val="5"/>
    <w:qFormat/>
    <w:uiPriority w:val="99"/>
    <w:rPr>
      <w:sz w:val="18"/>
      <w:szCs w:val="18"/>
    </w:rPr>
  </w:style>
  <w:style w:type="character" w:customStyle="1" w:styleId="19">
    <w:name w:val="未处理的提及1"/>
    <w:basedOn w:val="13"/>
    <w:unhideWhenUsed/>
    <w:qFormat/>
    <w:uiPriority w:val="99"/>
    <w:rPr>
      <w:color w:val="605E5C"/>
      <w:shd w:val="clear" w:color="auto" w:fill="E1DFDD"/>
    </w:rPr>
  </w:style>
  <w:style w:type="paragraph" w:customStyle="1" w:styleId="20">
    <w:name w:val="List Paragraph"/>
    <w:basedOn w:val="1"/>
    <w:unhideWhenUsed/>
    <w:qFormat/>
    <w:uiPriority w:val="99"/>
    <w:pPr>
      <w:ind w:firstLine="420" w:firstLineChars="200"/>
    </w:pPr>
  </w:style>
  <w:style w:type="character" w:customStyle="1" w:styleId="21">
    <w:name w:val="正文文本缩进 字符"/>
    <w:basedOn w:val="13"/>
    <w:link w:val="4"/>
    <w:qFormat/>
    <w:uiPriority w:val="0"/>
    <w:rPr>
      <w:rFonts w:eastAsia="宋体" w:cs="Arial"/>
      <w:kern w:val="2"/>
      <w:szCs w:val="24"/>
    </w:rPr>
  </w:style>
  <w:style w:type="paragraph" w:customStyle="1" w:styleId="22">
    <w:name w:val="CQ-1级标题样式"/>
    <w:basedOn w:val="4"/>
    <w:link w:val="23"/>
    <w:qFormat/>
    <w:uiPriority w:val="0"/>
    <w:pPr>
      <w:numPr>
        <w:ilvl w:val="0"/>
        <w:numId w:val="1"/>
      </w:numPr>
      <w:spacing w:before="312" w:beforeLines="100" w:beforeAutospacing="0" w:after="0" w:afterAutospacing="0" w:line="360" w:lineRule="auto"/>
      <w:ind w:leftChars="0"/>
      <w:jc w:val="left"/>
      <w:outlineLvl w:val="0"/>
    </w:pPr>
    <w:rPr>
      <w:rFonts w:ascii="微软雅黑" w:hAnsi="微软雅黑" w:eastAsia="微软雅黑"/>
      <w:b/>
      <w:sz w:val="24"/>
      <w:szCs w:val="21"/>
    </w:rPr>
  </w:style>
  <w:style w:type="character" w:customStyle="1" w:styleId="23">
    <w:name w:val="CQ-1级标题样式 字符"/>
    <w:basedOn w:val="21"/>
    <w:link w:val="22"/>
    <w:qFormat/>
    <w:uiPriority w:val="0"/>
    <w:rPr>
      <w:rFonts w:ascii="微软雅黑" w:hAnsi="微软雅黑" w:eastAsia="微软雅黑" w:cs="Arial"/>
      <w:b/>
      <w:kern w:val="2"/>
      <w:sz w:val="24"/>
      <w:szCs w:val="21"/>
    </w:rPr>
  </w:style>
  <w:style w:type="paragraph" w:customStyle="1" w:styleId="24">
    <w:name w:val="CQ-2级标题样式"/>
    <w:basedOn w:val="4"/>
    <w:link w:val="25"/>
    <w:qFormat/>
    <w:uiPriority w:val="0"/>
    <w:pPr>
      <w:numPr>
        <w:ilvl w:val="1"/>
        <w:numId w:val="1"/>
      </w:numPr>
      <w:spacing w:beforeLines="100" w:beforeAutospacing="0" w:after="0" w:afterAutospacing="0" w:line="360" w:lineRule="auto"/>
      <w:ind w:leftChars="0"/>
      <w:jc w:val="left"/>
      <w:outlineLvl w:val="1"/>
    </w:pPr>
    <w:rPr>
      <w:rFonts w:ascii="微软雅黑" w:hAnsi="微软雅黑" w:eastAsia="微软雅黑"/>
      <w:b/>
      <w:bCs/>
      <w:sz w:val="24"/>
    </w:rPr>
  </w:style>
  <w:style w:type="character" w:customStyle="1" w:styleId="25">
    <w:name w:val="CQ-2级标题样式 字符"/>
    <w:basedOn w:val="21"/>
    <w:link w:val="24"/>
    <w:qFormat/>
    <w:uiPriority w:val="0"/>
    <w:rPr>
      <w:rFonts w:ascii="微软雅黑" w:hAnsi="微软雅黑" w:eastAsia="宋体" w:cs="Arial"/>
      <w:b/>
      <w:bCs/>
      <w:kern w:val="2"/>
      <w:sz w:val="24"/>
      <w:szCs w:val="24"/>
    </w:rPr>
  </w:style>
  <w:style w:type="character" w:customStyle="1" w:styleId="26">
    <w:name w:val="标题 1 字符"/>
    <w:basedOn w:val="13"/>
    <w:link w:val="2"/>
    <w:qFormat/>
    <w:uiPriority w:val="9"/>
    <w:rPr>
      <w:b/>
      <w:bCs/>
      <w:kern w:val="44"/>
      <w:sz w:val="44"/>
      <w:szCs w:val="44"/>
    </w:rPr>
  </w:style>
  <w:style w:type="paragraph" w:customStyle="1" w:styleId="27">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28">
    <w:name w:val="CQ-3级标题样式"/>
    <w:basedOn w:val="1"/>
    <w:link w:val="29"/>
    <w:qFormat/>
    <w:uiPriority w:val="0"/>
    <w:pPr>
      <w:numPr>
        <w:ilvl w:val="2"/>
        <w:numId w:val="1"/>
      </w:numPr>
      <w:spacing w:line="360" w:lineRule="auto"/>
      <w:jc w:val="left"/>
    </w:pPr>
    <w:rPr>
      <w:rFonts w:ascii="微软雅黑" w:hAnsi="微软雅黑"/>
      <w:sz w:val="20"/>
      <w:szCs w:val="20"/>
    </w:rPr>
  </w:style>
  <w:style w:type="character" w:customStyle="1" w:styleId="29">
    <w:name w:val="CQ-3级标题样式 字符"/>
    <w:basedOn w:val="13"/>
    <w:link w:val="28"/>
    <w:qFormat/>
    <w:uiPriority w:val="0"/>
    <w:rPr>
      <w:rFonts w:ascii="微软雅黑" w:hAnsi="微软雅黑"/>
      <w:kern w:val="2"/>
    </w:rPr>
  </w:style>
  <w:style w:type="character" w:customStyle="1" w:styleId="30">
    <w:name w:val="Placeholder Text"/>
    <w:basedOn w:val="13"/>
    <w:unhideWhenUsed/>
    <w:qFormat/>
    <w:uiPriority w:val="99"/>
    <w:rPr>
      <w:color w:val="666666"/>
    </w:rPr>
  </w:style>
  <w:style w:type="paragraph" w:customStyle="1" w:styleId="31">
    <w:name w:val="CQ-正文样式"/>
    <w:basedOn w:val="1"/>
    <w:link w:val="32"/>
    <w:qFormat/>
    <w:uiPriority w:val="0"/>
    <w:pPr>
      <w:spacing w:line="360" w:lineRule="auto"/>
      <w:jc w:val="left"/>
    </w:pPr>
    <w:rPr>
      <w:sz w:val="20"/>
    </w:rPr>
  </w:style>
  <w:style w:type="character" w:customStyle="1" w:styleId="32">
    <w:name w:val="CQ-正文样式 字符"/>
    <w:basedOn w:val="13"/>
    <w:link w:val="31"/>
    <w:qFormat/>
    <w:uiPriority w:val="0"/>
    <w:rPr>
      <w:rFonts w:ascii="Arial" w:hAnsi="Arial" w:eastAsia="微软雅黑" w:cstheme="minorBidi"/>
      <w:kern w:val="2"/>
      <w:szCs w:val="22"/>
    </w:rPr>
  </w:style>
  <w:style w:type="paragraph" w:customStyle="1" w:styleId="33">
    <w:name w:val="CQ-居中1级标题"/>
    <w:basedOn w:val="28"/>
    <w:link w:val="34"/>
    <w:qFormat/>
    <w:uiPriority w:val="0"/>
    <w:pPr>
      <w:numPr>
        <w:ilvl w:val="0"/>
        <w:numId w:val="0"/>
      </w:numPr>
      <w:jc w:val="center"/>
    </w:pPr>
    <w:rPr>
      <w:b/>
      <w:sz w:val="28"/>
    </w:rPr>
  </w:style>
  <w:style w:type="character" w:customStyle="1" w:styleId="34">
    <w:name w:val="CQ-居中1级标题 字符"/>
    <w:basedOn w:val="29"/>
    <w:link w:val="33"/>
    <w:qFormat/>
    <w:uiPriority w:val="0"/>
    <w:rPr>
      <w:rFonts w:ascii="微软雅黑" w:hAnsi="微软雅黑"/>
      <w:b/>
      <w:kern w:val="2"/>
      <w:sz w:val="28"/>
    </w:rPr>
  </w:style>
  <w:style w:type="character" w:customStyle="1" w:styleId="35">
    <w:name w:val="批注文字 字符"/>
    <w:basedOn w:val="13"/>
    <w:link w:val="3"/>
    <w:semiHidden/>
    <w:qFormat/>
    <w:uiPriority w:val="99"/>
    <w:rPr>
      <w:rFonts w:ascii="Arial" w:hAnsi="Arial" w:eastAsia="微软雅黑" w:cstheme="minorBidi"/>
      <w:kern w:val="2"/>
      <w:sz w:val="21"/>
      <w:szCs w:val="22"/>
    </w:rPr>
  </w:style>
  <w:style w:type="character" w:customStyle="1" w:styleId="36">
    <w:name w:val="批注主题 字符"/>
    <w:basedOn w:val="35"/>
    <w:link w:val="10"/>
    <w:semiHidden/>
    <w:qFormat/>
    <w:uiPriority w:val="99"/>
    <w:rPr>
      <w:rFonts w:ascii="Arial" w:hAnsi="Arial" w:eastAsia="微软雅黑" w:cstheme="minorBidi"/>
      <w:b/>
      <w:bCs/>
      <w:kern w:val="2"/>
      <w:sz w:val="21"/>
      <w:szCs w:val="22"/>
    </w:rPr>
  </w:style>
  <w:style w:type="paragraph" w:customStyle="1" w:styleId="37">
    <w:name w:val="Revision"/>
    <w:hidden/>
    <w:unhideWhenUsed/>
    <w:qFormat/>
    <w:uiPriority w:val="99"/>
    <w:rPr>
      <w:rFonts w:ascii="Arial" w:hAnsi="Arial" w:eastAsia="微软雅黑"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3817</Words>
  <Characters>10661</Characters>
  <Lines>292</Lines>
  <Paragraphs>192</Paragraphs>
  <TotalTime>0</TotalTime>
  <ScaleCrop>false</ScaleCrop>
  <LinksUpToDate>false</LinksUpToDate>
  <CharactersWithSpaces>11999</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XXX二级文件名字和英文”&amp;#x000D”Security System Manual</cp:category>
  <dcterms:created xsi:type="dcterms:W3CDTF">2024-12-05T14:08:00Z</dcterms:created>
  <dc:creator>Cherry Lee</dc:creator>
  <cp:lastModifiedBy>杨龙威</cp:lastModifiedBy>
  <dcterms:modified xsi:type="dcterms:W3CDTF">2025-11-14T09:15:29Z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BBCF19846DB447EDBD1963E63D7D7564_13</vt:lpwstr>
  </property>
  <property fmtid="{D5CDD505-2E9C-101B-9397-08002B2CF9AE}" pid="4" name="KSOTemplateDocerSaveRecord">
    <vt:lpwstr>eyJoZGlkIjoiNWY1Y2YzZDViZGUwY2RiMWQxM2Q4MDAwOTU4OWIxYmMiLCJ1c2VySWQiOiIxNTMxMzk2MjUzIn0=</vt:lpwstr>
  </property>
</Properties>
</file>