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0B19F">
      <w:pPr>
        <w:pStyle w:val="20"/>
        <w:numPr>
          <w:ilvl w:val="0"/>
          <w:numId w:val="2"/>
        </w:numPr>
        <w:rPr>
          <w:rFonts w:hint="eastAsia"/>
        </w:rPr>
      </w:pPr>
      <w:r>
        <w:rPr>
          <w:rFonts w:hint="eastAsia"/>
        </w:rPr>
        <w:t>总则</w:t>
      </w:r>
      <w:r>
        <w:t>General Policy</w:t>
      </w:r>
    </w:p>
    <w:p w14:paraId="7F867CF5">
      <w:pPr>
        <w:pStyle w:val="29"/>
        <w:ind w:firstLine="420"/>
        <w:rPr>
          <w:rFonts w:hint="eastAsia" w:eastAsia="微软雅黑"/>
          <w:lang w:val="en-US" w:eastAsia="zh-CN"/>
        </w:rPr>
      </w:pPr>
      <w:r>
        <w:rPr>
          <w:rFonts w:hint="eastAsia"/>
        </w:rPr>
        <w:t>用于处理和存储敏感数据和密钥的系统和网络必须置于高安全网络内，用商业级防火墙将高安全网络与其他网络做逻辑隔离，制定网络拓扑图。选型的商业防火墙须具有入侵检测和病毒检测功能，防火墙的管理必须符合第3章控制流程，防火墙的配置必须符合第4章安全策略。每季度或网络结构和安全配置有重大变更时须对安全网络及其中的所有系统做外部和内部漏洞扫描，每年或网络结构和安全配置有重大变更时须对安全网络做渗透测试。</w:t>
      </w:r>
    </w:p>
    <w:p w14:paraId="437859FD">
      <w:pPr>
        <w:pStyle w:val="29"/>
        <w:ind w:firstLine="420"/>
      </w:pPr>
      <w:r>
        <w:t xml:space="preserve">The systems and networks used </w:t>
      </w:r>
      <w:r>
        <w:rPr>
          <w:rFonts w:hint="eastAsia"/>
        </w:rPr>
        <w:t xml:space="preserve">to </w:t>
      </w:r>
      <w:r>
        <w:t>process and stor</w:t>
      </w:r>
      <w:r>
        <w:rPr>
          <w:rFonts w:hint="eastAsia"/>
        </w:rPr>
        <w:t>e</w:t>
      </w:r>
      <w:r>
        <w:t xml:space="preserve"> sensitive data must be placed within a high security network, which</w:t>
      </w:r>
      <w:r>
        <w:rPr>
          <w:rFonts w:hint="eastAsia"/>
          <w:lang w:val="en-US" w:eastAsia="zh-CN"/>
        </w:rPr>
        <w:t xml:space="preserve"> is</w:t>
      </w:r>
      <w:r>
        <w:t xml:space="preserve"> logically isolated from other networks using </w:t>
      </w:r>
      <w:r>
        <w:rPr>
          <w:rFonts w:hint="eastAsia"/>
        </w:rPr>
        <w:t>enterprise-</w:t>
      </w:r>
      <w:r>
        <w:t xml:space="preserve">grade firewalls, and a </w:t>
      </w:r>
      <w:r>
        <w:rPr>
          <w:rFonts w:hint="eastAsia"/>
          <w:lang w:val="en-US" w:eastAsia="zh-CN"/>
        </w:rPr>
        <w:t>N</w:t>
      </w:r>
      <w:r>
        <w:t xml:space="preserve">etwork </w:t>
      </w:r>
      <w:r>
        <w:rPr>
          <w:rFonts w:hint="eastAsia"/>
        </w:rPr>
        <w:t>T</w:t>
      </w:r>
      <w:r>
        <w:t xml:space="preserve">opology </w:t>
      </w:r>
      <w:r>
        <w:rPr>
          <w:rFonts w:hint="eastAsia"/>
        </w:rPr>
        <w:t>D</w:t>
      </w:r>
      <w:r>
        <w:t xml:space="preserve">iagram must be developed. The selected </w:t>
      </w:r>
      <w:r>
        <w:rPr>
          <w:rFonts w:hint="eastAsia"/>
        </w:rPr>
        <w:t>enterprise-</w:t>
      </w:r>
      <w:r>
        <w:t xml:space="preserve">grade </w:t>
      </w:r>
      <w:r>
        <w:rPr>
          <w:rFonts w:hint="eastAsia"/>
          <w:lang w:val="en-US" w:eastAsia="zh-CN"/>
        </w:rPr>
        <w:t xml:space="preserve">firewall </w:t>
      </w:r>
      <w:r>
        <w:t>must have IPS</w:t>
      </w:r>
      <w:r>
        <w:rPr>
          <w:rFonts w:hint="eastAsia"/>
        </w:rPr>
        <w:t>(Intrusion Prevention System)</w:t>
      </w:r>
      <w:r>
        <w:t xml:space="preserve"> </w:t>
      </w:r>
      <w:r>
        <w:rPr>
          <w:rFonts w:hint="eastAsia"/>
        </w:rPr>
        <w:t>and IDS(Intrusion Detection System)</w:t>
      </w:r>
      <w:r>
        <w:t xml:space="preserve"> functions, the management of the firewall must comply with the control process in </w:t>
      </w:r>
      <w:r>
        <w:rPr>
          <w:rFonts w:hint="eastAsia"/>
        </w:rPr>
        <w:t>chapter</w:t>
      </w:r>
      <w:r>
        <w:t xml:space="preserve"> 3, and the configuration of the firewall must comply with the security policy in </w:t>
      </w:r>
      <w:r>
        <w:rPr>
          <w:rFonts w:hint="eastAsia"/>
        </w:rPr>
        <w:t>chapter</w:t>
      </w:r>
      <w:r>
        <w:t xml:space="preserve"> 4. Every quarter or when there are significant changes</w:t>
      </w:r>
      <w:r>
        <w:rPr>
          <w:rFonts w:hint="eastAsia"/>
        </w:rPr>
        <w:t xml:space="preserve"> in network structure and security configurations</w:t>
      </w:r>
      <w:r>
        <w:t>, external and internal vulnerability scans must be conducted on the security network and all systems within it. Every year or when there are significant changes</w:t>
      </w:r>
      <w:r>
        <w:rPr>
          <w:rFonts w:hint="eastAsia"/>
        </w:rPr>
        <w:t xml:space="preserve"> in network structure and security configurations</w:t>
      </w:r>
      <w:r>
        <w:t>, external and internal penetration testing must be conducted on the security network and all systems within it.</w:t>
      </w:r>
    </w:p>
    <w:p w14:paraId="7D336B03">
      <w:pPr>
        <w:pStyle w:val="20"/>
        <w:numPr>
          <w:ilvl w:val="0"/>
          <w:numId w:val="2"/>
        </w:numPr>
        <w:rPr>
          <w:rFonts w:hint="eastAsia"/>
        </w:rPr>
      </w:pPr>
      <w:r>
        <w:rPr>
          <w:rFonts w:hint="eastAsia"/>
        </w:rPr>
        <w:t>适用范围Scope</w:t>
      </w:r>
    </w:p>
    <w:p w14:paraId="2325D758">
      <w:pPr>
        <w:pStyle w:val="29"/>
        <w:ind w:firstLine="420"/>
      </w:pPr>
      <w:r>
        <w:t>包括但不限于Visa、Master</w:t>
      </w:r>
      <w:r>
        <w:rPr>
          <w:rFonts w:hint="eastAsia"/>
        </w:rPr>
        <w:t>c</w:t>
      </w:r>
      <w:r>
        <w:t>ard、JCB、AMEX、GSM、Union</w:t>
      </w:r>
      <w:r>
        <w:rPr>
          <w:rFonts w:hint="eastAsia"/>
        </w:rPr>
        <w:t>P</w:t>
      </w:r>
      <w:r>
        <w:t>ay等的敏感数据和密钥都受此网络安全控制流程的约束</w:t>
      </w:r>
      <w:r>
        <w:rPr>
          <w:rFonts w:hint="eastAsia"/>
        </w:rPr>
        <w:t>。</w:t>
      </w:r>
    </w:p>
    <w:p w14:paraId="69AEDBF1">
      <w:pPr>
        <w:pStyle w:val="29"/>
        <w:ind w:firstLine="420"/>
      </w:pPr>
      <w:r>
        <w:t>Sensitive data and keys, including but not limited to Visa, Mastercard, JCB, AMEX, GSM, Union</w:t>
      </w:r>
      <w:r>
        <w:rPr>
          <w:rFonts w:hint="eastAsia"/>
        </w:rPr>
        <w:t>P</w:t>
      </w:r>
      <w:r>
        <w:t>ay, etc., are subject to this network security control process</w:t>
      </w:r>
      <w:r>
        <w:rPr>
          <w:rFonts w:hint="eastAsia"/>
        </w:rPr>
        <w:t>.</w:t>
      </w:r>
    </w:p>
    <w:p w14:paraId="751E66B9">
      <w:pPr>
        <w:pStyle w:val="20"/>
        <w:numPr>
          <w:ilvl w:val="0"/>
          <w:numId w:val="2"/>
        </w:numPr>
        <w:rPr>
          <w:rFonts w:hint="eastAsia"/>
        </w:rPr>
      </w:pPr>
      <w:r>
        <w:rPr>
          <w:rFonts w:hint="eastAsia"/>
        </w:rPr>
        <w:t>控制流程Control Processes</w:t>
      </w:r>
    </w:p>
    <w:p w14:paraId="303A7D14">
      <w:pPr>
        <w:pStyle w:val="22"/>
        <w:spacing w:before="312"/>
        <w:rPr>
          <w:rFonts w:hint="eastAsia"/>
        </w:rPr>
      </w:pPr>
      <w:r>
        <w:rPr>
          <w:rFonts w:hint="eastAsia"/>
        </w:rPr>
        <w:t>变更管理 Change Management</w:t>
      </w:r>
    </w:p>
    <w:p w14:paraId="55AD41BF">
      <w:pPr>
        <w:pStyle w:val="29"/>
        <w:ind w:firstLine="420"/>
        <w:rPr>
          <w:rFonts w:hint="eastAsia"/>
        </w:rPr>
      </w:pPr>
      <w:r>
        <w:rPr>
          <w:rFonts w:hint="eastAsia"/>
        </w:rPr>
        <w:t>任何对网络变更、系统变更都须符合</w:t>
      </w:r>
      <w:r>
        <w:rPr>
          <w:rFonts w:hint="eastAsia"/>
          <w:lang w:val="en-US" w:eastAsia="zh-CN"/>
        </w:rPr>
        <w:t>图1流程</w:t>
      </w:r>
      <w:r>
        <w:rPr>
          <w:rFonts w:hint="eastAsia"/>
        </w:rPr>
        <w:t>。网络变更包括网络结构的调整、网络设备的新增/更换/撤销、网络中系统的新增/更换/撤销、防火墙配置的变更等；没有经过CISO的审批，禁止对网络实施任何变更。</w:t>
      </w:r>
    </w:p>
    <w:p w14:paraId="1B343A4A">
      <w:pPr>
        <w:pStyle w:val="29"/>
        <w:ind w:firstLine="420"/>
        <w:rPr>
          <w:rFonts w:hint="eastAsia"/>
          <w:b/>
          <w:bCs/>
        </w:rPr>
      </w:pPr>
      <w:r>
        <w:t>Any changes to the network</w:t>
      </w:r>
      <w:r>
        <w:rPr>
          <w:rFonts w:hint="eastAsia"/>
          <w:lang w:val="en-US" w:eastAsia="zh-CN"/>
        </w:rPr>
        <w:t xml:space="preserve"> and system</w:t>
      </w:r>
      <w:r>
        <w:t xml:space="preserve"> must comply with the </w:t>
      </w:r>
      <w:r>
        <w:rPr>
          <w:rFonts w:hint="eastAsia"/>
          <w:lang w:val="en-US" w:eastAsia="zh-CN"/>
        </w:rPr>
        <w:t>Figure 1</w:t>
      </w:r>
      <w:r>
        <w:t>, including adjustments to the network structure, addition</w:t>
      </w:r>
      <w:r>
        <w:rPr>
          <w:rFonts w:hint="eastAsia"/>
          <w:lang w:val="en-US" w:eastAsia="zh-CN"/>
        </w:rPr>
        <w:t>,</w:t>
      </w:r>
      <w:r>
        <w:t>replacement</w:t>
      </w:r>
      <w:r>
        <w:rPr>
          <w:rFonts w:hint="eastAsia"/>
        </w:rPr>
        <w:t xml:space="preserve"> or </w:t>
      </w:r>
      <w:r>
        <w:t>revocation of network equipment, addition</w:t>
      </w:r>
      <w:r>
        <w:rPr>
          <w:rFonts w:hint="eastAsia"/>
        </w:rPr>
        <w:t xml:space="preserve"> or </w:t>
      </w:r>
      <w:r>
        <w:t>replacement</w:t>
      </w:r>
      <w:r>
        <w:rPr>
          <w:rFonts w:hint="eastAsia"/>
        </w:rPr>
        <w:t xml:space="preserve"> or </w:t>
      </w:r>
      <w:r>
        <w:t xml:space="preserve">revocation of systems in the network, changes to firewall configuration. </w:t>
      </w:r>
      <w:r>
        <w:rPr>
          <w:rFonts w:hint="eastAsia"/>
          <w:lang w:val="en-US" w:eastAsia="zh-CN"/>
        </w:rPr>
        <w:t>All Change to network and associated system must be approved by the CISO</w:t>
      </w:r>
      <w:r>
        <w:t>.</w:t>
      </w:r>
    </w:p>
    <w:p w14:paraId="4C5C261E">
      <w:pPr>
        <w:pStyle w:val="29"/>
        <w:ind w:firstLine="420"/>
        <w:rPr>
          <w:rFonts w:hint="default" w:eastAsia="微软雅黑"/>
          <w:lang w:val="en-US" w:eastAsia="zh-CN"/>
        </w:rPr>
      </w:pPr>
      <w:r>
        <w:object>
          <v:shape id="_x0000_i1025" o:spt="75" type="#_x0000_t75" style="height:327.9pt;width:481.6pt;" o:ole="t" filled="f" o:preferrelative="t" stroked="f" coordsize="21600,21600">
            <v:path/>
            <v:fill on="f" focussize="0,0"/>
            <v:stroke on="f"/>
            <v:imagedata r:id="rId10" o:title=""/>
            <o:lock v:ext="edit" aspectratio="f"/>
            <w10:wrap type="none"/>
            <w10:anchorlock/>
          </v:shape>
          <o:OLEObject Type="Embed" ProgID="Visio.Drawing.15" ShapeID="_x0000_i1025" DrawAspect="Content" ObjectID="_1468075725" r:id="rId9">
            <o:LockedField>false</o:LockedField>
          </o:OLEObject>
        </w:object>
      </w:r>
      <w:r>
        <w:rPr>
          <w:rFonts w:hint="eastAsia"/>
          <w:lang w:val="en-US" w:eastAsia="zh-CN"/>
        </w:rPr>
        <w:t xml:space="preserve">                                           图1 Figure1</w:t>
      </w:r>
    </w:p>
    <w:p w14:paraId="0E000903">
      <w:pPr>
        <w:pStyle w:val="22"/>
        <w:spacing w:before="312"/>
        <w:rPr>
          <w:rFonts w:hint="eastAsia"/>
        </w:rPr>
      </w:pPr>
      <w:r>
        <w:rPr>
          <w:rFonts w:hint="eastAsia"/>
        </w:rPr>
        <w:t>定期管理Regular Management</w:t>
      </w:r>
    </w:p>
    <w:p w14:paraId="765A13A7">
      <w:pPr>
        <w:pStyle w:val="29"/>
        <w:ind w:firstLine="420"/>
      </w:pPr>
      <w:r>
        <w:rPr>
          <w:rFonts w:hint="eastAsia"/>
        </w:rPr>
        <w:t>依据第4章安全策略，对网络的定期管理包括：</w:t>
      </w:r>
    </w:p>
    <w:p w14:paraId="1E6AF79C">
      <w:pPr>
        <w:pStyle w:val="29"/>
        <w:ind w:firstLine="420"/>
      </w:pPr>
      <w:r>
        <w:rPr>
          <w:rFonts w:hint="eastAsia"/>
        </w:rPr>
        <w:t>According to chapter 4 of the security policy，the regular management of the network includes:</w:t>
      </w:r>
    </w:p>
    <w:p w14:paraId="16170F9B">
      <w:pPr>
        <w:pStyle w:val="29"/>
        <w:numPr>
          <w:ilvl w:val="0"/>
          <w:numId w:val="3"/>
        </w:numPr>
      </w:pPr>
      <w:r>
        <w:rPr>
          <w:rFonts w:hint="eastAsia"/>
        </w:rPr>
        <w:t>每季度</w:t>
      </w:r>
      <w:r>
        <w:rPr>
          <w:rFonts w:hint="eastAsia"/>
          <w:lang w:val="en-US" w:eastAsia="zh-CN"/>
        </w:rPr>
        <w:t>由IT部门联合业务部门一起</w:t>
      </w:r>
      <w:r>
        <w:rPr>
          <w:rFonts w:hint="eastAsia"/>
        </w:rPr>
        <w:t>对防火墙进行合规性检查。检查过程中须对防火墙所有策略进行截图附到《防火墙合规性检查报告》中，并且报告还要有检查人、复核人、检查日期。如检查出有防火墙策略不符合第4章安全策略，则须将不合符的策略填入《安全整改记录表》，并限时7天内完成整改。</w:t>
      </w:r>
    </w:p>
    <w:p w14:paraId="26DCB222">
      <w:pPr>
        <w:pStyle w:val="29"/>
        <w:ind w:left="420" w:firstLine="420"/>
      </w:pPr>
      <w:r>
        <w:rPr>
          <w:rFonts w:hint="eastAsia"/>
          <w:lang w:val="en-US" w:eastAsia="zh-CN"/>
        </w:rPr>
        <w:t>IT team should coordinate with business department to c</w:t>
      </w:r>
      <w:r>
        <w:rPr>
          <w:rFonts w:hint="eastAsia"/>
        </w:rPr>
        <w:t xml:space="preserve">onduct compliance checks </w:t>
      </w:r>
      <w:r>
        <w:rPr>
          <w:rFonts w:hint="eastAsia"/>
          <w:lang w:val="en-US" w:eastAsia="zh-CN"/>
        </w:rPr>
        <w:t>for firewall rules on a quarterly basis</w:t>
      </w:r>
      <w:r>
        <w:rPr>
          <w:rFonts w:hint="eastAsia"/>
        </w:rPr>
        <w:t>.During the inspection, screenshots of all firewall policies must be attached to the "Firewall Compliance Check Report", and the report must also include the inspector, reviewer, and inspection date. If the inspection finds that the firewall policy does not comply with the security policy in chapter 4, the non-compliant policy must be filled in the "Security Correction Record Form" and the correction must be completed within 7 days.</w:t>
      </w:r>
    </w:p>
    <w:p w14:paraId="168F78DF">
      <w:pPr>
        <w:pStyle w:val="29"/>
        <w:numPr>
          <w:ilvl w:val="0"/>
          <w:numId w:val="3"/>
        </w:numPr>
        <w:rPr>
          <w:highlight w:val="none"/>
        </w:rPr>
      </w:pPr>
      <w:r>
        <w:rPr>
          <w:rFonts w:hint="eastAsia"/>
          <w:highlight w:val="none"/>
        </w:rPr>
        <w:t>IPS实时告警调查处理。当</w:t>
      </w:r>
      <w:r>
        <w:rPr>
          <w:rFonts w:hint="eastAsia"/>
          <w:highlight w:val="none"/>
          <w:lang w:val="en-US" w:eastAsia="zh-CN"/>
        </w:rPr>
        <w:t>外部IP</w:t>
      </w:r>
      <w:r>
        <w:rPr>
          <w:rFonts w:hint="eastAsia"/>
          <w:highlight w:val="none"/>
        </w:rPr>
        <w:t>出现IPS告警时，须确定攻击是否被有效拦截</w:t>
      </w:r>
      <w:r>
        <w:rPr>
          <w:rFonts w:hint="eastAsia"/>
          <w:highlight w:val="none"/>
          <w:lang w:val="en-US" w:eastAsia="zh-CN"/>
        </w:rPr>
        <w:t>;当内部IP出现IPS告警时，须填入《安全整改记录表》并立即进行调查处理。</w:t>
      </w:r>
    </w:p>
    <w:p w14:paraId="47AB7F10">
      <w:pPr>
        <w:pStyle w:val="29"/>
        <w:ind w:firstLine="420"/>
      </w:pPr>
      <w:r>
        <w:rPr>
          <w:rFonts w:hint="eastAsia"/>
        </w:rPr>
        <w:t>IPS real-time alarm investigation and processing. When the external IP IPS alarm, the team</w:t>
      </w:r>
      <w:r>
        <w:rPr>
          <w:rFonts w:hint="eastAsia"/>
          <w:lang w:val="en-US" w:eastAsia="zh-CN"/>
        </w:rPr>
        <w:t xml:space="preserve"> </w:t>
      </w:r>
      <w:r>
        <w:rPr>
          <w:rFonts w:hint="eastAsia"/>
        </w:rPr>
        <w:t>must determine whether the attack was effectively blocked; when the internal IP IPS alarm, must be filled into the “</w:t>
      </w:r>
      <w:r>
        <w:rPr>
          <w:rFonts w:hint="eastAsia"/>
          <w:lang w:val="en-US" w:eastAsia="zh-CN"/>
        </w:rPr>
        <w:t>Security Correction Record Form</w:t>
      </w:r>
      <w:r>
        <w:rPr>
          <w:rFonts w:hint="eastAsia"/>
        </w:rPr>
        <w:t>” and immediately investigate and deal with.</w:t>
      </w:r>
    </w:p>
    <w:p w14:paraId="7C46B1E6">
      <w:pPr>
        <w:pStyle w:val="29"/>
        <w:numPr>
          <w:ilvl w:val="0"/>
          <w:numId w:val="3"/>
        </w:numPr>
      </w:pPr>
      <w:r>
        <w:rPr>
          <w:rFonts w:hint="eastAsia"/>
        </w:rPr>
        <w:t>每季度做内部和外部漏洞扫描。或网络结构和安全配置有重大变更时，对变更影响到的部分网络做内部或外部扫描，例如当高安全网络增加某个系统并且该系统不对其他网络开放时，仅须对该系统做补充内部漏洞扫描即可。漏洞扫描完成后要导出《漏洞扫描报告》，</w:t>
      </w:r>
    </w:p>
    <w:p w14:paraId="1E148B3C">
      <w:pPr>
        <w:pStyle w:val="29"/>
        <w:numPr>
          <w:ilvl w:val="0"/>
          <w:numId w:val="4"/>
        </w:numPr>
        <w:ind w:left="420" w:firstLine="420"/>
      </w:pPr>
      <w:r>
        <w:rPr>
          <w:rFonts w:hint="eastAsia"/>
        </w:rPr>
        <w:t>如报告中显示有</w:t>
      </w:r>
      <w:r>
        <w:rPr>
          <w:rFonts w:hint="eastAsia"/>
          <w:lang w:val="en-US" w:eastAsia="zh-CN"/>
        </w:rPr>
        <w:t>关键</w:t>
      </w:r>
      <w:r>
        <w:rPr>
          <w:rFonts w:hint="eastAsia"/>
        </w:rPr>
        <w:t>、</w:t>
      </w:r>
      <w:r>
        <w:rPr>
          <w:rFonts w:hint="eastAsia"/>
          <w:lang w:val="en-US" w:eastAsia="zh-CN"/>
        </w:rPr>
        <w:t>严重、</w:t>
      </w:r>
      <w:r>
        <w:rPr>
          <w:rFonts w:hint="eastAsia"/>
        </w:rPr>
        <w:t>中等漏洞，则须填入《安全整改记录表》;</w:t>
      </w:r>
    </w:p>
    <w:p w14:paraId="4F21896A">
      <w:pPr>
        <w:pStyle w:val="29"/>
        <w:numPr>
          <w:ilvl w:val="0"/>
          <w:numId w:val="4"/>
        </w:numPr>
        <w:ind w:left="420" w:firstLine="420"/>
      </w:pPr>
      <w:r>
        <w:rPr>
          <w:rFonts w:hint="eastAsia"/>
        </w:rPr>
        <w:t>对于外部</w:t>
      </w:r>
      <w:r>
        <w:rPr>
          <w:rFonts w:hint="eastAsia"/>
          <w:lang w:val="en-US" w:eastAsia="zh-CN"/>
        </w:rPr>
        <w:t>关键</w:t>
      </w:r>
      <w:r>
        <w:rPr>
          <w:rFonts w:hint="eastAsia"/>
          <w:lang w:eastAsia="zh-CN"/>
        </w:rPr>
        <w:t>、</w:t>
      </w:r>
      <w:r>
        <w:rPr>
          <w:rFonts w:hint="eastAsia"/>
          <w:lang w:val="en-US" w:eastAsia="zh-CN"/>
        </w:rPr>
        <w:t>严重</w:t>
      </w:r>
      <w:r>
        <w:rPr>
          <w:rFonts w:hint="eastAsia"/>
        </w:rPr>
        <w:t>和中等漏洞须限时7天内关闭漏洞;</w:t>
      </w:r>
    </w:p>
    <w:p w14:paraId="68427D52">
      <w:pPr>
        <w:pStyle w:val="29"/>
        <w:numPr>
          <w:ilvl w:val="0"/>
          <w:numId w:val="4"/>
        </w:numPr>
        <w:ind w:left="420" w:firstLine="420"/>
      </w:pPr>
      <w:r>
        <w:rPr>
          <w:rFonts w:hint="eastAsia"/>
        </w:rPr>
        <w:t>对于内部</w:t>
      </w:r>
      <w:r>
        <w:rPr>
          <w:rFonts w:hint="eastAsia"/>
          <w:lang w:val="en-US" w:eastAsia="zh-CN"/>
        </w:rPr>
        <w:t>关键</w:t>
      </w:r>
      <w:r>
        <w:rPr>
          <w:rFonts w:hint="eastAsia"/>
          <w:lang w:eastAsia="zh-CN"/>
        </w:rPr>
        <w:t>、</w:t>
      </w:r>
      <w:r>
        <w:rPr>
          <w:rFonts w:hint="eastAsia"/>
          <w:lang w:val="en-US" w:eastAsia="zh-CN"/>
        </w:rPr>
        <w:t>严重</w:t>
      </w:r>
      <w:r>
        <w:rPr>
          <w:rFonts w:hint="eastAsia"/>
        </w:rPr>
        <w:t>漏洞须限时30天内关闭漏洞，对于内部中等漏洞记录在册后逐步进行分析整改</w:t>
      </w:r>
    </w:p>
    <w:p w14:paraId="3DDC186C">
      <w:pPr>
        <w:pStyle w:val="29"/>
        <w:numPr>
          <w:ilvl w:val="0"/>
          <w:numId w:val="4"/>
        </w:numPr>
        <w:ind w:left="420" w:firstLine="420"/>
      </w:pPr>
      <w:r>
        <w:rPr>
          <w:rFonts w:hint="eastAsia"/>
        </w:rPr>
        <w:t>如整改后还存在部分以上级别的漏洞无法关闭，则须对这些漏洞进一步做渗透测试。</w:t>
      </w:r>
    </w:p>
    <w:p w14:paraId="27C4CECD">
      <w:pPr>
        <w:pStyle w:val="29"/>
        <w:numPr>
          <w:ilvl w:val="0"/>
          <w:numId w:val="4"/>
        </w:numPr>
        <w:ind w:left="420" w:firstLine="420"/>
        <w:rPr>
          <w:highlight w:val="none"/>
        </w:rPr>
      </w:pPr>
      <w:r>
        <w:rPr>
          <w:rFonts w:hint="eastAsia"/>
          <w:highlight w:val="none"/>
          <w:lang w:val="en-US" w:eastAsia="zh-CN"/>
        </w:rPr>
        <w:t>对于内部漏洞扫描需先做一次发现扫描；对于外部漏洞扫描，在漏扫前需和第三方确认IP.</w:t>
      </w:r>
    </w:p>
    <w:p w14:paraId="7CE8F3A1">
      <w:pPr>
        <w:pStyle w:val="29"/>
        <w:ind w:left="420" w:firstLine="420"/>
      </w:pPr>
      <w:r>
        <w:t>Conduct internal and external vulnerability scans every quarter. When there are significant changes in the network structure and security configuration, internal or external scans should be conducted on the affected parts of the network. For example, when a high security network adds a system that is not open to other networks, only supplementary internal vulnerability scans need to be conducted on the system. After the vulnerability scan is completed, the 'Vulnerability Scan Report' should be exported,</w:t>
      </w:r>
    </w:p>
    <w:p w14:paraId="78400E30">
      <w:pPr>
        <w:pStyle w:val="29"/>
        <w:ind w:left="420" w:firstLine="420"/>
      </w:pPr>
      <w:r>
        <w:t xml:space="preserve">A. </w:t>
      </w:r>
      <w:r>
        <w:rPr>
          <w:rFonts w:hint="eastAsia"/>
        </w:rPr>
        <w:t>If the report shows critical, serious, or moderate vulnerabilities, the 'Security Rectification Record Form' must be filled in</w:t>
      </w:r>
      <w:r>
        <w:t>;</w:t>
      </w:r>
    </w:p>
    <w:p w14:paraId="35E942D2">
      <w:pPr>
        <w:pStyle w:val="29"/>
        <w:ind w:left="420" w:firstLine="420"/>
      </w:pPr>
      <w:r>
        <w:t xml:space="preserve">B. </w:t>
      </w:r>
      <w:r>
        <w:rPr>
          <w:rFonts w:hint="eastAsia"/>
        </w:rPr>
        <w:t>External critical, severe, and moderate vulnerabilities must be closed within 7 days</w:t>
      </w:r>
      <w:r>
        <w:t>;</w:t>
      </w:r>
    </w:p>
    <w:p w14:paraId="5D766121">
      <w:pPr>
        <w:pStyle w:val="29"/>
        <w:ind w:left="420" w:firstLine="420"/>
      </w:pPr>
      <w:r>
        <w:t>C.</w:t>
      </w:r>
      <w:r>
        <w:rPr>
          <w:rFonts w:hint="eastAsia"/>
        </w:rPr>
        <w:t xml:space="preserve"> For critical and serious internal vulnerabilities, they must be closed within 30 days. For moderate internal vulnerabilities, they will be gradually analyzed and rectified after being recorded.</w:t>
      </w:r>
    </w:p>
    <w:p w14:paraId="1A5246FF">
      <w:pPr>
        <w:pStyle w:val="29"/>
        <w:ind w:left="420" w:firstLine="420"/>
      </w:pPr>
      <w:r>
        <w:t>D. If there are still some High or Medium vulnerabilities that cannot be closed after rectification, further penetration testing must be conducted on these vulnerabilities.</w:t>
      </w:r>
    </w:p>
    <w:p w14:paraId="5461EEEE">
      <w:pPr>
        <w:pStyle w:val="29"/>
        <w:ind w:left="420" w:firstLine="420"/>
        <w:rPr>
          <w:rFonts w:hint="default" w:eastAsia="微软雅黑"/>
          <w:lang w:val="en-US" w:eastAsia="zh-CN"/>
        </w:rPr>
      </w:pPr>
      <w:r>
        <w:rPr>
          <w:rFonts w:hint="eastAsia"/>
          <w:lang w:val="en-US" w:eastAsia="zh-CN"/>
        </w:rPr>
        <w:t>E. For internal vulnerability scanning, you need to do a discovery scan first; for external vulnerability scanning, you need to confirm the IP with the third party before the vulnerability scan.</w:t>
      </w:r>
    </w:p>
    <w:p w14:paraId="66356164">
      <w:pPr>
        <w:pStyle w:val="29"/>
        <w:numPr>
          <w:ilvl w:val="0"/>
          <w:numId w:val="3"/>
        </w:numPr>
      </w:pPr>
      <w:r>
        <w:rPr>
          <w:rFonts w:hint="eastAsia"/>
        </w:rPr>
        <w:t>每年或网络结构安全配置有重大变更时，做内部和外部渗透测试</w:t>
      </w:r>
      <w:r>
        <w:rPr>
          <w:rFonts w:hint="eastAsia"/>
          <w:lang w:eastAsia="zh-CN"/>
        </w:rPr>
        <w:t>，</w:t>
      </w:r>
      <w:r>
        <w:rPr>
          <w:rFonts w:hint="eastAsia"/>
          <w:lang w:val="en-US" w:eastAsia="zh-CN"/>
        </w:rPr>
        <w:t>以及漏洞扫描中出现无法修复的漏洞时进行渗透测试</w:t>
      </w:r>
      <w:r>
        <w:rPr>
          <w:rFonts w:hint="eastAsia"/>
        </w:rPr>
        <w:t>。渗透测试针对内部和外部漏洞扫描中发现的漏洞来展开，对于</w:t>
      </w:r>
      <w:r>
        <w:rPr>
          <w:rFonts w:hint="eastAsia"/>
          <w:lang w:val="en-US" w:eastAsia="zh-CN"/>
        </w:rPr>
        <w:t>高危严重和中等</w:t>
      </w:r>
      <w:r>
        <w:rPr>
          <w:rFonts w:hint="eastAsia"/>
        </w:rPr>
        <w:t>漏洞都要做渗透测试并保存测试过程截图附到《渗透测试报告》中。如渗透测试过程中发现有漏洞能被渗透，则该漏洞必须关闭，并记录到《安全整改记录表》。</w:t>
      </w:r>
    </w:p>
    <w:p w14:paraId="23034C9D">
      <w:pPr>
        <w:pStyle w:val="29"/>
        <w:ind w:firstLine="420"/>
      </w:pPr>
      <w:r>
        <w:rPr>
          <w:rFonts w:hint="eastAsia"/>
        </w:rPr>
        <w:t>Conduct internal and external penetration testing every year or when there are significant changes in network security configuration, as well as perform penetration testing when irreparable vulnerabilities are identified during vulnerability scanning. Penetration testing is conducted for vulnerabilities discovered during internal and external vulnerability scans. For high-risk, severe, and moderate vulnerabilities, penetration testing must be conducted and screenshots of the testing process must be saved and attached to the Penetration Testing Report. If a vulnerability is found during the penetration testing process that can be penetrated, it must be closed and recorded in the "Security Rectification Record Form"</w:t>
      </w:r>
      <w:r>
        <w:t>.</w:t>
      </w:r>
    </w:p>
    <w:p w14:paraId="5A135FD0">
      <w:pPr>
        <w:pStyle w:val="29"/>
      </w:pPr>
      <w:r>
        <w:object>
          <v:shape id="_x0000_i1026" o:spt="75" type="#_x0000_t75" style="height:245.45pt;width:481.75pt;" o:ole="t" filled="f" o:preferrelative="t" stroked="f" coordsize="21600,21600">
            <v:path/>
            <v:fill on="f" focussize="0,0"/>
            <v:stroke on="f" joinstyle="miter"/>
            <v:imagedata r:id="rId12" o:title=""/>
            <o:lock v:ext="edit" aspectratio="f"/>
            <w10:wrap type="none"/>
            <w10:anchorlock/>
          </v:shape>
          <o:OLEObject Type="Embed" ProgID="Visio.Drawing.15" ShapeID="_x0000_i1026" DrawAspect="Content" ObjectID="_1468075726" r:id="rId11">
            <o:LockedField>false</o:LockedField>
          </o:OLEObject>
        </w:object>
      </w:r>
    </w:p>
    <w:p w14:paraId="631D6C93">
      <w:pPr>
        <w:pStyle w:val="29"/>
        <w:numPr>
          <w:ilvl w:val="0"/>
          <w:numId w:val="5"/>
        </w:numPr>
        <w:ind w:left="420" w:leftChars="0" w:hanging="420" w:firstLineChars="0"/>
      </w:pPr>
      <w:r>
        <w:rPr>
          <w:rFonts w:hint="eastAsia"/>
        </w:rPr>
        <w:t>使用一种能够侦测到流氓和隐藏无线网络的扫描设备，无论是否使用无线网络。必须至少每月对HSA进行随机扫描。</w:t>
      </w:r>
    </w:p>
    <w:p w14:paraId="7A31C92A">
      <w:pPr>
        <w:pStyle w:val="29"/>
        <w:numPr>
          <w:ilvl w:val="0"/>
          <w:numId w:val="0"/>
        </w:numPr>
        <w:ind w:leftChars="0" w:firstLine="420" w:firstLineChars="0"/>
      </w:pPr>
      <w:r>
        <w:rPr>
          <w:rFonts w:hint="eastAsia"/>
        </w:rPr>
        <w:t>Use a scanning device that is capable of</w:t>
      </w:r>
      <w:r>
        <w:rPr>
          <w:rFonts w:hint="eastAsia"/>
          <w:lang w:val="en-US" w:eastAsia="zh-CN"/>
        </w:rPr>
        <w:t xml:space="preserve"> </w:t>
      </w:r>
      <w:r>
        <w:rPr>
          <w:rFonts w:hint="eastAsia"/>
        </w:rPr>
        <w:t>detecting rogue and hidden wireless networks,regardless of whether or not the vendor uses</w:t>
      </w:r>
      <w:r>
        <w:rPr>
          <w:rFonts w:hint="eastAsia"/>
          <w:lang w:val="en-US" w:eastAsia="zh-CN"/>
        </w:rPr>
        <w:t xml:space="preserve"> </w:t>
      </w:r>
      <w:r>
        <w:rPr>
          <w:rFonts w:hint="eastAsia"/>
        </w:rPr>
        <w:t>a wireless network. Random scans of the</w:t>
      </w:r>
      <w:r>
        <w:rPr>
          <w:rFonts w:hint="eastAsia"/>
          <w:lang w:val="en-US" w:eastAsia="zh-CN"/>
        </w:rPr>
        <w:t xml:space="preserve"> </w:t>
      </w:r>
      <w:r>
        <w:rPr>
          <w:rFonts w:hint="eastAsia"/>
        </w:rPr>
        <w:t>HSA must be conducted at least monthly.</w:t>
      </w:r>
    </w:p>
    <w:p w14:paraId="40AD6D3F">
      <w:pPr>
        <w:pStyle w:val="20"/>
        <w:numPr>
          <w:ilvl w:val="0"/>
          <w:numId w:val="2"/>
        </w:numPr>
        <w:rPr>
          <w:rFonts w:hint="eastAsia"/>
        </w:rPr>
      </w:pPr>
      <w:r>
        <w:rPr>
          <w:rFonts w:hint="eastAsia"/>
        </w:rPr>
        <w:t>安全策略Security Policy</w:t>
      </w:r>
    </w:p>
    <w:p w14:paraId="4BAC5452">
      <w:pPr>
        <w:pStyle w:val="29"/>
        <w:ind w:firstLine="420"/>
      </w:pPr>
      <w:r>
        <w:rPr>
          <w:rFonts w:hint="eastAsia"/>
        </w:rPr>
        <w:t>处理和存储数据的网络处于两台防火墙之后的高安全区，与其他网络交换数据的网络在前面一台防火墙的DMZ区，并且只能由高安全区向DMZ区发起访问，访问策略遵从最小化原则。具体细则如下：</w:t>
      </w:r>
    </w:p>
    <w:p w14:paraId="4FD6727A">
      <w:pPr>
        <w:pStyle w:val="29"/>
        <w:ind w:firstLine="420"/>
      </w:pPr>
      <w:r>
        <w:rPr>
          <w:rFonts w:hint="eastAsia"/>
        </w:rPr>
        <w:t>The network for processing and storing data is located in a high-security zone behind two firewalls. The network that exchanges data with other networks is in the DMZ zone behind the front firewall, and access can only be initiated from the high-security zone to the DMZ zone, with access policies adhering to the principle of minimization. The specific details are as follows:</w:t>
      </w:r>
    </w:p>
    <w:p w14:paraId="6C07E0A2">
      <w:pPr>
        <w:pStyle w:val="29"/>
      </w:pPr>
      <w:r>
        <w:rPr>
          <w:rFonts w:hint="eastAsia"/>
        </w:rPr>
        <w:t>1).</w:t>
      </w:r>
      <w:r>
        <w:t>Firewall must be on</w:t>
      </w:r>
      <w:r>
        <w:rPr>
          <w:rFonts w:hint="eastAsia"/>
        </w:rPr>
        <w:t xml:space="preserve"> </w:t>
      </w:r>
      <w:r>
        <w:t>hardware without any other non-firewall or network access control functionalities.</w:t>
      </w:r>
    </w:p>
    <w:p w14:paraId="747485D3">
      <w:pPr>
        <w:pStyle w:val="29"/>
      </w:pPr>
      <w:r>
        <w:rPr>
          <w:rFonts w:hint="eastAsia"/>
        </w:rPr>
        <w:t>防火墙必须是独立的硬件设备，没有其他非防火墙或网络访问控制的功能。</w:t>
      </w:r>
    </w:p>
    <w:p w14:paraId="4D8A102B">
      <w:pPr>
        <w:pStyle w:val="29"/>
      </w:pPr>
      <w:r>
        <w:rPr>
          <w:rFonts w:hint="eastAsia"/>
        </w:rPr>
        <w:t>2).Firewalls must be managed via dedicated physical terminals</w:t>
      </w:r>
      <w:r>
        <w:t xml:space="preserve">, non-management ports must not </w:t>
      </w:r>
      <w:r>
        <w:rPr>
          <w:rFonts w:hint="eastAsia"/>
        </w:rPr>
        <w:t>have management functions enabled</w:t>
      </w:r>
      <w:r>
        <w:t>.</w:t>
      </w:r>
    </w:p>
    <w:p w14:paraId="6EC585B4">
      <w:pPr>
        <w:pStyle w:val="29"/>
      </w:pPr>
      <w:r>
        <w:rPr>
          <w:rFonts w:hint="eastAsia"/>
        </w:rPr>
        <w:t>管理防火墙必须是专门的终端，非防火墙管理接口必须禁用管理功能。</w:t>
      </w:r>
    </w:p>
    <w:p w14:paraId="14A3E1CC">
      <w:pPr>
        <w:pStyle w:val="29"/>
      </w:pPr>
      <w:r>
        <w:rPr>
          <w:rFonts w:hint="eastAsia"/>
        </w:rPr>
        <w:t>3).</w:t>
      </w:r>
      <w:r>
        <w:t xml:space="preserve">Firewall changes must be approved by the CISO and </w:t>
      </w:r>
      <w:r>
        <w:rPr>
          <w:rFonts w:hint="eastAsia"/>
        </w:rPr>
        <w:t>must be operated by administrators</w:t>
      </w:r>
      <w:r>
        <w:t xml:space="preserve"> with </w:t>
      </w:r>
      <w:r>
        <w:rPr>
          <w:rFonts w:hint="eastAsia"/>
        </w:rPr>
        <w:t>minimum necessary</w:t>
      </w:r>
      <w:r>
        <w:t xml:space="preserve"> permissions to operate under dual control.</w:t>
      </w:r>
    </w:p>
    <w:p w14:paraId="13170189">
      <w:pPr>
        <w:pStyle w:val="29"/>
      </w:pPr>
      <w:r>
        <w:t>防火墙变更必须由经过CISO审批，并且赋予相对最小权限的管理员在双控下操作。</w:t>
      </w:r>
    </w:p>
    <w:p w14:paraId="7988FCA7">
      <w:pPr>
        <w:pStyle w:val="29"/>
      </w:pPr>
      <w:r>
        <w:rPr>
          <w:rFonts w:hint="eastAsia"/>
        </w:rPr>
        <w:t>4).</w:t>
      </w:r>
      <w:r>
        <w:t>Vendor default account and password must be disable</w:t>
      </w:r>
      <w:r>
        <w:rPr>
          <w:rFonts w:hint="eastAsia"/>
          <w:lang w:val="en-US" w:eastAsia="zh-CN"/>
        </w:rPr>
        <w:t>d</w:t>
      </w:r>
      <w:r>
        <w:t xml:space="preserve"> or changed.</w:t>
      </w:r>
    </w:p>
    <w:p w14:paraId="38D9B880">
      <w:pPr>
        <w:pStyle w:val="29"/>
      </w:pPr>
      <w:r>
        <w:rPr>
          <w:rFonts w:hint="eastAsia"/>
        </w:rPr>
        <w:t>供应商默认账户和密码必须禁用或修改。</w:t>
      </w:r>
    </w:p>
    <w:p w14:paraId="60256AA5">
      <w:pPr>
        <w:pStyle w:val="29"/>
      </w:pPr>
      <w:r>
        <w:rPr>
          <w:rFonts w:hint="eastAsia"/>
        </w:rPr>
        <w:t>5).</w:t>
      </w:r>
      <w:r>
        <w:rPr>
          <w:rFonts w:hint="eastAsia"/>
          <w:lang w:val="en-US" w:eastAsia="zh-CN"/>
        </w:rPr>
        <w:t>VLAN</w:t>
      </w:r>
      <w:r>
        <w:t xml:space="preserve"> technology can</w:t>
      </w:r>
      <w:r>
        <w:rPr>
          <w:rFonts w:hint="eastAsia"/>
        </w:rPr>
        <w:t>not</w:t>
      </w:r>
      <w:r>
        <w:t xml:space="preserve"> be used to separate different level</w:t>
      </w:r>
      <w:r>
        <w:rPr>
          <w:rFonts w:hint="eastAsia"/>
          <w:lang w:val="en-US" w:eastAsia="zh-CN"/>
        </w:rPr>
        <w:t>s</w:t>
      </w:r>
      <w:r>
        <w:t xml:space="preserve"> of network domains</w:t>
      </w:r>
    </w:p>
    <w:p w14:paraId="09C7D93D">
      <w:pPr>
        <w:pStyle w:val="29"/>
      </w:pPr>
      <w:r>
        <w:t>禁止用VLAN来划分不同安全等级的网络。</w:t>
      </w:r>
    </w:p>
    <w:p w14:paraId="34A84323">
      <w:pPr>
        <w:pStyle w:val="29"/>
        <w:rPr>
          <w:rFonts w:hint="eastAsia" w:eastAsia="微软雅黑"/>
          <w:lang w:eastAsia="zh-CN"/>
        </w:rPr>
      </w:pPr>
      <w:r>
        <w:t>6</w:t>
      </w:r>
      <w:r>
        <w:rPr>
          <w:rFonts w:hint="eastAsia"/>
        </w:rPr>
        <w:t>).</w:t>
      </w:r>
      <w:r>
        <w:t>Every policy must enable IPS/IDS monitoring</w:t>
      </w:r>
      <w:r>
        <w:rPr>
          <w:rFonts w:hint="eastAsia"/>
          <w:lang w:val="en-US" w:eastAsia="zh-CN"/>
        </w:rPr>
        <w:t>.</w:t>
      </w:r>
      <w:r>
        <w:rPr>
          <w:rFonts w:hint="eastAsia"/>
          <w:lang w:eastAsia="zh-CN"/>
        </w:rPr>
        <w:t>（</w:t>
      </w:r>
      <w:r>
        <w:rPr>
          <w:rFonts w:hint="eastAsia"/>
        </w:rPr>
        <w:t>except for vulnerability scanning</w:t>
      </w:r>
      <w:r>
        <w:t>.</w:t>
      </w:r>
      <w:r>
        <w:rPr>
          <w:rFonts w:hint="eastAsia"/>
          <w:lang w:eastAsia="zh-CN"/>
        </w:rPr>
        <w:t>）</w:t>
      </w:r>
    </w:p>
    <w:p w14:paraId="6C586914">
      <w:pPr>
        <w:pStyle w:val="29"/>
      </w:pPr>
      <w:r>
        <w:t>每条策略都必须启用IPS/IDS监控</w:t>
      </w:r>
      <w:r>
        <w:rPr>
          <w:rFonts w:hint="eastAsia"/>
          <w:lang w:eastAsia="zh-CN"/>
        </w:rPr>
        <w:t>（</w:t>
      </w:r>
      <w:r>
        <w:rPr>
          <w:rFonts w:hint="eastAsia"/>
          <w:lang w:val="en-US" w:eastAsia="zh-CN"/>
        </w:rPr>
        <w:t>漏洞扫描除外</w:t>
      </w:r>
      <w:r>
        <w:rPr>
          <w:rFonts w:hint="eastAsia"/>
          <w:lang w:eastAsia="zh-CN"/>
        </w:rPr>
        <w:t>）</w:t>
      </w:r>
      <w:r>
        <w:t>。</w:t>
      </w:r>
    </w:p>
    <w:p w14:paraId="6BFC2040">
      <w:pPr>
        <w:pStyle w:val="29"/>
      </w:pPr>
      <w:r>
        <w:t>7</w:t>
      </w:r>
      <w:r>
        <w:rPr>
          <w:rFonts w:hint="eastAsia"/>
        </w:rPr>
        <w:t>).Firewall IPS/IDS signatures should be regularly updated from the vendor's official website</w:t>
      </w:r>
      <w:r>
        <w:t>.</w:t>
      </w:r>
      <w:r>
        <w:rPr>
          <w:rFonts w:hint="eastAsia"/>
        </w:rPr>
        <w:t>At least quarterly, automatically or manually update firewall firmware patches from the supplier's official website.</w:t>
      </w:r>
    </w:p>
    <w:p w14:paraId="56A4D626">
      <w:pPr>
        <w:pStyle w:val="29"/>
      </w:pPr>
      <w:r>
        <w:rPr>
          <w:rFonts w:hint="eastAsia"/>
        </w:rPr>
        <w:t>自动</w:t>
      </w:r>
      <w:r>
        <w:t>从供应商官网更新防火墙IPS/IDS</w:t>
      </w:r>
      <w:r>
        <w:rPr>
          <w:rFonts w:hint="eastAsia"/>
        </w:rPr>
        <w:t>。至少每季度自动或手动从供应商官网更新防火墙固件补丁</w:t>
      </w:r>
      <w:r>
        <w:t>。</w:t>
      </w:r>
    </w:p>
    <w:p w14:paraId="7E89C5CF">
      <w:pPr>
        <w:pStyle w:val="29"/>
      </w:pPr>
      <w:r>
        <w:t>8</w:t>
      </w:r>
      <w:r>
        <w:rPr>
          <w:rFonts w:hint="eastAsia"/>
        </w:rPr>
        <w:t>).</w:t>
      </w:r>
      <w:r>
        <w:t>Firewall logs must be redirected to dedicated log server.</w:t>
      </w:r>
    </w:p>
    <w:p w14:paraId="41E05613">
      <w:pPr>
        <w:pStyle w:val="29"/>
      </w:pPr>
      <w:r>
        <w:rPr>
          <w:rFonts w:hint="eastAsia"/>
        </w:rPr>
        <w:t>防火墙日志必须指向日志服务器。</w:t>
      </w:r>
    </w:p>
    <w:p w14:paraId="3D7D68A7">
      <w:pPr>
        <w:pStyle w:val="29"/>
      </w:pPr>
      <w:r>
        <w:t>9</w:t>
      </w:r>
      <w:r>
        <w:rPr>
          <w:rFonts w:hint="eastAsia"/>
        </w:rPr>
        <w:t>).The firewall logs on the log server should be kept for at least one year.</w:t>
      </w:r>
    </w:p>
    <w:p w14:paraId="2950FFCF">
      <w:pPr>
        <w:pStyle w:val="29"/>
      </w:pPr>
      <w:r>
        <w:t>日志服务器上的防火墙日志至少保存一年。</w:t>
      </w:r>
    </w:p>
    <w:p w14:paraId="1D4BBAFA">
      <w:pPr>
        <w:pStyle w:val="29"/>
      </w:pPr>
      <w:r>
        <w:t>10</w:t>
      </w:r>
      <w:r>
        <w:rPr>
          <w:rFonts w:hint="eastAsia"/>
        </w:rPr>
        <w:t>).</w:t>
      </w:r>
      <w:r>
        <w:t xml:space="preserve">All management activities (including login, logout, change) and IPS warnings must be logged. IPS needs to alert and be processed in real time, changes need to be notified in real time to be confirmed, and other activity logs need to be checked </w:t>
      </w:r>
      <w:r>
        <w:rPr>
          <w:rFonts w:hint="eastAsia"/>
        </w:rPr>
        <w:t>month</w:t>
      </w:r>
      <w:r>
        <w:t>ly.</w:t>
      </w:r>
    </w:p>
    <w:p w14:paraId="67C36A9D">
      <w:pPr>
        <w:pStyle w:val="29"/>
      </w:pPr>
      <w:r>
        <w:t>所有管理活动(包括登录、登出、变更)和IPS预警必须记录日志。IPS需要实时报警并被处理，变更需要实时通知被确认，其他活动日志需要每</w:t>
      </w:r>
      <w:r>
        <w:rPr>
          <w:rFonts w:hint="eastAsia"/>
        </w:rPr>
        <w:t>月</w:t>
      </w:r>
      <w:r>
        <w:t>检查。</w:t>
      </w:r>
    </w:p>
    <w:p w14:paraId="2E1A7F4A">
      <w:pPr>
        <w:pStyle w:val="29"/>
      </w:pPr>
      <w:r>
        <w:t>11</w:t>
      </w:r>
      <w:r>
        <w:rPr>
          <w:rFonts w:hint="eastAsia"/>
        </w:rPr>
        <w:t>).</w:t>
      </w:r>
      <w:r>
        <w:t>The firewall must automatically synchronize the time from the NTP server.</w:t>
      </w:r>
    </w:p>
    <w:p w14:paraId="0DDB013F">
      <w:pPr>
        <w:pStyle w:val="29"/>
      </w:pPr>
      <w:r>
        <w:t>防火墙必须从NTP服务器自动同步时间.</w:t>
      </w:r>
    </w:p>
    <w:p w14:paraId="6AEBCA1B">
      <w:pPr>
        <w:pStyle w:val="29"/>
        <w:rPr>
          <w:rFonts w:hint="eastAsia"/>
          <w:highlight w:val="none"/>
          <w:lang w:val="en-US" w:eastAsia="zh-CN"/>
        </w:rPr>
      </w:pPr>
      <w:r>
        <w:rPr>
          <w:rFonts w:hint="eastAsia"/>
        </w:rPr>
        <w:t>12)</w:t>
      </w:r>
      <w:r>
        <w:rPr>
          <w:rFonts w:hint="eastAsia"/>
          <w:highlight w:val="none"/>
        </w:rPr>
        <w:t>.</w:t>
      </w:r>
      <w:r>
        <w:rPr>
          <w:highlight w:val="none"/>
        </w:rPr>
        <w:t>Network communication</w:t>
      </w:r>
      <w:r>
        <w:rPr>
          <w:rFonts w:ascii="Segoe UI" w:hAnsi="Segoe UI" w:eastAsia="Segoe UI" w:cs="Segoe UI"/>
          <w:i w:val="0"/>
          <w:iCs w:val="0"/>
          <w:caps w:val="0"/>
          <w:spacing w:val="0"/>
          <w:sz w:val="19"/>
          <w:szCs w:val="19"/>
          <w:shd w:val="clear" w:fill="FFFFFF"/>
        </w:rPr>
        <w:t xml:space="preserve"> </w:t>
      </w:r>
      <w:r>
        <w:rPr>
          <w:highlight w:val="none"/>
        </w:rPr>
        <w:t xml:space="preserve">must be initiated </w:t>
      </w:r>
      <w:bookmarkStart w:id="2" w:name="_GoBack"/>
      <w:bookmarkEnd w:id="2"/>
      <w:r>
        <w:rPr>
          <w:highlight w:val="none"/>
        </w:rPr>
        <w:t xml:space="preserve">from a higher-security network, </w:t>
      </w:r>
      <w:r>
        <w:rPr>
          <w:rFonts w:hint="eastAsia"/>
          <w:highlight w:val="none"/>
        </w:rPr>
        <w:t>except for SFTP whitelist access, vulnerability scanning, and SM external business scenarios</w:t>
      </w:r>
      <w:r>
        <w:rPr>
          <w:highlight w:val="none"/>
        </w:rPr>
        <w:t>.</w:t>
      </w:r>
    </w:p>
    <w:p w14:paraId="26F48101">
      <w:pPr>
        <w:pStyle w:val="29"/>
        <w:rPr>
          <w:rFonts w:hint="default" w:eastAsia="微软雅黑"/>
          <w:highlight w:val="none"/>
          <w:lang w:val="en-US" w:eastAsia="zh-CN"/>
        </w:rPr>
      </w:pPr>
      <w:r>
        <w:rPr>
          <w:rFonts w:hint="eastAsia"/>
          <w:highlight w:val="none"/>
        </w:rPr>
        <w:t>访问必须</w:t>
      </w:r>
      <w:r>
        <w:rPr>
          <w:highlight w:val="none"/>
        </w:rPr>
        <w:t>由</w:t>
      </w:r>
      <w:r>
        <w:rPr>
          <w:rFonts w:hint="eastAsia"/>
          <w:highlight w:val="none"/>
        </w:rPr>
        <w:t>更高</w:t>
      </w:r>
      <w:r>
        <w:rPr>
          <w:highlight w:val="none"/>
        </w:rPr>
        <w:t>安全网络发起</w:t>
      </w:r>
      <w:r>
        <w:rPr>
          <w:rFonts w:hint="eastAsia"/>
          <w:highlight w:val="none"/>
          <w:lang w:val="en-US" w:eastAsia="zh-CN"/>
        </w:rPr>
        <w:t>, 除SFTP白名单访问SFTP、漏洞扫描以及SM对外业务场景以外。</w:t>
      </w:r>
    </w:p>
    <w:p w14:paraId="07DF353D">
      <w:pPr>
        <w:pStyle w:val="29"/>
      </w:pPr>
      <w:r>
        <w:rPr>
          <w:rFonts w:hint="eastAsia"/>
        </w:rPr>
        <w:t xml:space="preserve">13).Firewall </w:t>
      </w:r>
      <w:r>
        <w:t>Rule</w:t>
      </w:r>
      <w:r>
        <w:rPr>
          <w:rFonts w:hint="eastAsia"/>
        </w:rPr>
        <w:t>s</w:t>
      </w:r>
      <w:r>
        <w:t xml:space="preserve"> must only be configured to provide the minimum access required</w:t>
      </w:r>
      <w:r>
        <w:rPr>
          <w:rFonts w:hint="eastAsia"/>
        </w:rPr>
        <w:t xml:space="preserve"> </w:t>
      </w:r>
      <w:r>
        <w:t>only, restricted</w:t>
      </w:r>
      <w:r>
        <w:rPr>
          <w:rFonts w:hint="eastAsia"/>
        </w:rPr>
        <w:t xml:space="preserve"> by </w:t>
      </w:r>
      <w:r>
        <w:t>source/destination IP addresses and ports</w:t>
      </w:r>
      <w:r>
        <w:rPr>
          <w:rFonts w:hint="eastAsia"/>
        </w:rPr>
        <w:t>.</w:t>
      </w:r>
    </w:p>
    <w:p w14:paraId="13333888">
      <w:pPr>
        <w:pStyle w:val="29"/>
      </w:pPr>
      <w:r>
        <w:rPr>
          <w:rFonts w:hint="eastAsia"/>
        </w:rPr>
        <w:t>防火墙</w:t>
      </w:r>
      <w:r>
        <w:t>策略设置必须满足源IP、目的IP、端口最小化原则。</w:t>
      </w:r>
    </w:p>
    <w:p w14:paraId="16B3DF71">
      <w:pPr>
        <w:pStyle w:val="29"/>
      </w:pPr>
      <w:r>
        <w:rPr>
          <w:rFonts w:hint="eastAsia"/>
        </w:rPr>
        <w:t>14).</w:t>
      </w:r>
      <w:r>
        <w:t>Configure “deny all” policy for each zone to zone communication</w:t>
      </w:r>
    </w:p>
    <w:p w14:paraId="2618AC7A">
      <w:pPr>
        <w:pStyle w:val="29"/>
      </w:pPr>
      <w:r>
        <w:t>每个区域与区域之间的通信默认配置为全部deny。</w:t>
      </w:r>
    </w:p>
    <w:p w14:paraId="27EF0E62">
      <w:pPr>
        <w:pStyle w:val="29"/>
        <w:numPr>
          <w:ilvl w:val="0"/>
          <w:numId w:val="6"/>
        </w:numPr>
        <w:rPr>
          <w:rFonts w:hint="eastAsia"/>
          <w:lang w:val="en-US" w:eastAsia="zh-CN"/>
        </w:rPr>
      </w:pPr>
      <w:r>
        <w:rPr>
          <w:rFonts w:hint="eastAsia"/>
          <w:lang w:val="en-US" w:eastAsia="zh-CN"/>
        </w:rPr>
        <w:t xml:space="preserve">.Customers accessing SFTP should be advised to use more secure connection methods, such as dedicated lines, SSL_VPN, IPSecVPN, etc. </w:t>
      </w:r>
    </w:p>
    <w:p w14:paraId="5EE81017">
      <w:pPr>
        <w:pStyle w:val="29"/>
        <w:numPr>
          <w:ilvl w:val="0"/>
          <w:numId w:val="0"/>
        </w:numPr>
        <w:rPr>
          <w:rFonts w:hint="eastAsia"/>
          <w:lang w:val="en-US" w:eastAsia="zh-CN"/>
        </w:rPr>
      </w:pPr>
      <w:r>
        <w:rPr>
          <w:rFonts w:hint="eastAsia"/>
          <w:lang w:val="en-US" w:eastAsia="zh-CN"/>
        </w:rPr>
        <w:t>客户访问SFTP应建议客户使用更为安全的连接方式，如专线、SSL_VPN、IPSecVPN等方式</w:t>
      </w:r>
    </w:p>
    <w:p w14:paraId="2C251F1C">
      <w:pPr>
        <w:pStyle w:val="29"/>
        <w:numPr>
          <w:ilvl w:val="0"/>
          <w:numId w:val="0"/>
        </w:numPr>
        <w:rPr>
          <w:rFonts w:hint="eastAsia"/>
          <w:lang w:val="en-US" w:eastAsia="zh-CN"/>
        </w:rPr>
      </w:pPr>
    </w:p>
    <w:p w14:paraId="3C756568">
      <w:pPr>
        <w:pStyle w:val="29"/>
        <w:numPr>
          <w:ilvl w:val="0"/>
          <w:numId w:val="0"/>
        </w:numPr>
        <w:ind w:leftChars="0"/>
        <w:outlineLvl w:val="1"/>
        <w:rPr>
          <w:rFonts w:hint="eastAsia" w:ascii="微软雅黑" w:hAnsi="微软雅黑" w:eastAsia="微软雅黑" w:cs="Arial"/>
          <w:b/>
          <w:bCs/>
          <w:kern w:val="2"/>
          <w:sz w:val="24"/>
          <w:szCs w:val="24"/>
          <w:lang w:val="en-US" w:eastAsia="zh-CN" w:bidi="ar-SA"/>
        </w:rPr>
      </w:pPr>
      <w:r>
        <w:rPr>
          <w:rFonts w:hint="eastAsia"/>
          <w:lang w:val="en-US" w:eastAsia="zh-CN"/>
        </w:rPr>
        <w:t xml:space="preserve">4.1 </w:t>
      </w:r>
      <w:r>
        <w:rPr>
          <w:rFonts w:hint="eastAsia" w:ascii="微软雅黑" w:hAnsi="微软雅黑" w:eastAsia="微软雅黑" w:cs="Arial"/>
          <w:b/>
          <w:bCs/>
          <w:kern w:val="2"/>
          <w:sz w:val="24"/>
          <w:szCs w:val="24"/>
          <w:lang w:val="en-US" w:eastAsia="zh-CN" w:bidi="ar-SA"/>
        </w:rPr>
        <w:t>防火墙配置强化策略 Firewall hardening policies</w:t>
      </w:r>
    </w:p>
    <w:p w14:paraId="53DFBDA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720" w:leftChars="0" w:right="0" w:hanging="360" w:firstLineChars="0"/>
        <w:jc w:val="left"/>
        <w:rPr>
          <w:rFonts w:hint="eastAsia" w:ascii="Arial" w:hAnsi="Arial" w:eastAsia="微软雅黑" w:cstheme="minorBidi"/>
          <w:kern w:val="2"/>
          <w:sz w:val="20"/>
          <w:szCs w:val="22"/>
          <w:lang w:val="en-US" w:eastAsia="zh-CN" w:bidi="ar-SA"/>
        </w:rPr>
      </w:pPr>
      <w:r>
        <w:rPr>
          <w:rFonts w:hint="eastAsia" w:ascii="Arial" w:hAnsi="Arial" w:eastAsia="微软雅黑" w:cstheme="minorBidi"/>
          <w:kern w:val="2"/>
          <w:sz w:val="20"/>
          <w:szCs w:val="22"/>
          <w:lang w:val="en-US" w:eastAsia="zh-CN" w:bidi="ar-SA"/>
        </w:rPr>
        <w:t>启用防火墙密码复杂度策略，密码长度不低于 1</w:t>
      </w:r>
      <w:r>
        <w:rPr>
          <w:rFonts w:hint="eastAsia" w:cstheme="minorBidi"/>
          <w:kern w:val="2"/>
          <w:sz w:val="20"/>
          <w:szCs w:val="22"/>
          <w:lang w:val="en-US" w:eastAsia="zh-CN" w:bidi="ar-SA"/>
        </w:rPr>
        <w:t>4</w:t>
      </w:r>
      <w:r>
        <w:rPr>
          <w:rFonts w:hint="eastAsia" w:ascii="Arial" w:hAnsi="Arial" w:eastAsia="微软雅黑" w:cstheme="minorBidi"/>
          <w:kern w:val="2"/>
          <w:sz w:val="20"/>
          <w:szCs w:val="22"/>
          <w:lang w:val="en-US" w:eastAsia="zh-CN" w:bidi="ar-SA"/>
        </w:rPr>
        <w:t xml:space="preserve"> 位，包含大小写字母、数字与特殊字符，</w:t>
      </w:r>
      <w:r>
        <w:rPr>
          <w:rFonts w:hint="eastAsia" w:cstheme="minorBidi"/>
          <w:kern w:val="2"/>
          <w:sz w:val="20"/>
          <w:szCs w:val="22"/>
          <w:lang w:val="en-US" w:eastAsia="zh-CN" w:bidi="ar-SA"/>
        </w:rPr>
        <w:t>30天</w:t>
      </w:r>
      <w:r>
        <w:rPr>
          <w:rFonts w:hint="eastAsia" w:ascii="Arial" w:hAnsi="Arial" w:eastAsia="微软雅黑" w:cstheme="minorBidi"/>
          <w:kern w:val="2"/>
          <w:sz w:val="20"/>
          <w:szCs w:val="22"/>
          <w:lang w:val="en-US" w:eastAsia="zh-CN" w:bidi="ar-SA"/>
        </w:rPr>
        <w:t>更换且禁止使用历史密码。</w:t>
      </w:r>
    </w:p>
    <w:p w14:paraId="6FE9FD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rPr>
          <w:rFonts w:hint="eastAsia" w:ascii="Arial" w:hAnsi="Arial" w:eastAsia="微软雅黑" w:cstheme="minorBidi"/>
          <w:kern w:val="2"/>
          <w:sz w:val="20"/>
          <w:szCs w:val="22"/>
          <w:lang w:val="en-US" w:eastAsia="zh-CN" w:bidi="ar-SA"/>
        </w:rPr>
      </w:pPr>
      <w:r>
        <w:rPr>
          <w:rFonts w:hint="eastAsia" w:ascii="Arial" w:hAnsi="Arial" w:eastAsia="微软雅黑" w:cstheme="minorBidi"/>
          <w:kern w:val="2"/>
          <w:sz w:val="20"/>
          <w:szCs w:val="22"/>
          <w:lang w:val="en-US" w:eastAsia="zh-CN" w:bidi="ar-SA"/>
        </w:rPr>
        <w:t>Enable firewall password complexity policy, with a password length of no less than 14 characters, including uppercase and lowercase letters, numbers, and special characters. Change within 30 days and prohibit the use of historical passwords.</w:t>
      </w:r>
    </w:p>
    <w:p w14:paraId="2CD20E2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720" w:leftChars="0" w:right="0" w:hanging="360" w:firstLineChars="0"/>
        <w:jc w:val="left"/>
        <w:rPr>
          <w:rFonts w:hint="eastAsia" w:ascii="Arial" w:hAnsi="Arial" w:eastAsia="微软雅黑" w:cstheme="minorBidi"/>
          <w:kern w:val="2"/>
          <w:sz w:val="20"/>
          <w:szCs w:val="22"/>
          <w:lang w:val="en-US" w:eastAsia="zh-CN" w:bidi="ar-SA"/>
        </w:rPr>
      </w:pPr>
      <w:r>
        <w:rPr>
          <w:rFonts w:hint="eastAsia" w:ascii="Arial" w:hAnsi="Arial" w:eastAsia="微软雅黑" w:cstheme="minorBidi"/>
          <w:kern w:val="2"/>
          <w:sz w:val="20"/>
          <w:szCs w:val="22"/>
          <w:lang w:val="en-US" w:eastAsia="zh-CN" w:bidi="ar-SA"/>
        </w:rPr>
        <w:t>防火墙管理界面仅允许指定管理 IP / 管理机访问，禁止所有其他 IP 访问管理端口。</w:t>
      </w:r>
    </w:p>
    <w:p w14:paraId="2016F5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firstLine="416" w:firstLineChars="0"/>
        <w:jc w:val="left"/>
        <w:rPr>
          <w:rFonts w:hint="eastAsia" w:ascii="Arial" w:hAnsi="Arial" w:eastAsia="微软雅黑" w:cstheme="minorBidi"/>
          <w:kern w:val="2"/>
          <w:sz w:val="20"/>
          <w:szCs w:val="22"/>
          <w:lang w:val="en-US" w:eastAsia="zh-CN" w:bidi="ar-SA"/>
        </w:rPr>
      </w:pPr>
      <w:r>
        <w:rPr>
          <w:rFonts w:hint="eastAsia" w:ascii="Arial" w:hAnsi="Arial" w:eastAsia="微软雅黑" w:cstheme="minorBidi"/>
          <w:kern w:val="2"/>
          <w:sz w:val="20"/>
          <w:szCs w:val="22"/>
          <w:lang w:val="en-US" w:eastAsia="zh-CN" w:bidi="ar-SA"/>
        </w:rPr>
        <w:t>The firewall management interface only allows specified management IP/management machine access and prohibits all other IPs from accessing the management port.</w:t>
      </w:r>
    </w:p>
    <w:p w14:paraId="1AEDF17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720" w:leftChars="0" w:right="0" w:hanging="360" w:firstLineChars="0"/>
        <w:jc w:val="left"/>
        <w:rPr>
          <w:rFonts w:hint="eastAsia" w:ascii="Arial" w:hAnsi="Arial" w:eastAsia="微软雅黑" w:cstheme="minorBidi"/>
          <w:kern w:val="2"/>
          <w:sz w:val="20"/>
          <w:szCs w:val="22"/>
          <w:lang w:val="en-US" w:eastAsia="zh-CN" w:bidi="ar-SA"/>
        </w:rPr>
      </w:pPr>
      <w:r>
        <w:rPr>
          <w:rFonts w:hint="eastAsia" w:ascii="Arial" w:hAnsi="Arial" w:eastAsia="微软雅黑" w:cstheme="minorBidi"/>
          <w:kern w:val="2"/>
          <w:sz w:val="20"/>
          <w:szCs w:val="22"/>
          <w:lang w:val="en-US" w:eastAsia="zh-CN" w:bidi="ar-SA"/>
        </w:rPr>
        <w:t>禁用闲置账户与临时账户，管理员账户实行一人一号、专人专用。</w:t>
      </w:r>
    </w:p>
    <w:p w14:paraId="0FD16AE8">
      <w:pPr>
        <w:pStyle w:val="35"/>
        <w:keepNext w:val="0"/>
        <w:keepLines w:val="0"/>
        <w:widowControl/>
        <w:suppressLineNumbers w:val="0"/>
        <w:ind w:left="420" w:leftChars="0" w:firstLine="420" w:firstLineChars="0"/>
        <w:rPr>
          <w:rFonts w:hint="eastAsia" w:ascii="Arial" w:hAnsi="Arial" w:eastAsia="微软雅黑" w:cstheme="minorBidi"/>
          <w:color w:val="auto"/>
          <w:kern w:val="2"/>
          <w:sz w:val="20"/>
          <w:szCs w:val="22"/>
          <w:lang w:val="en-US" w:eastAsia="zh-CN" w:bidi="ar-SA"/>
        </w:rPr>
      </w:pPr>
      <w:r>
        <w:rPr>
          <w:rFonts w:hint="eastAsia" w:ascii="Arial" w:hAnsi="Arial" w:eastAsia="微软雅黑" w:cstheme="minorBidi"/>
          <w:color w:val="auto"/>
          <w:kern w:val="2"/>
          <w:sz w:val="20"/>
          <w:szCs w:val="22"/>
          <w:lang w:val="en-US" w:eastAsia="zh-CN" w:bidi="ar-SA"/>
        </w:rPr>
        <w:t>Disable idle and temporary accounts, and implement one person one account and dedicated personnel for administrator accounts.</w:t>
      </w:r>
    </w:p>
    <w:p w14:paraId="5C94354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firstLine="416" w:firstLineChars="0"/>
        <w:jc w:val="left"/>
        <w:rPr>
          <w:rFonts w:hint="eastAsia" w:ascii="Arial" w:hAnsi="Arial" w:eastAsia="微软雅黑" w:cstheme="minorBidi"/>
          <w:kern w:val="2"/>
          <w:sz w:val="20"/>
          <w:szCs w:val="22"/>
          <w:lang w:val="en-US" w:eastAsia="zh-CN" w:bidi="ar-SA"/>
        </w:rPr>
      </w:pPr>
    </w:p>
    <w:p w14:paraId="5908062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720" w:leftChars="0" w:right="0" w:hanging="360" w:firstLineChars="0"/>
        <w:jc w:val="left"/>
        <w:rPr>
          <w:color w:val="000000"/>
          <w:sz w:val="32"/>
          <w:szCs w:val="32"/>
        </w:rPr>
      </w:pPr>
      <w:r>
        <w:rPr>
          <w:rFonts w:hint="eastAsia" w:ascii="Arial" w:hAnsi="Arial" w:eastAsia="微软雅黑" w:cstheme="minorBidi"/>
          <w:kern w:val="2"/>
          <w:sz w:val="20"/>
          <w:szCs w:val="22"/>
          <w:lang w:val="en-US" w:eastAsia="zh-CN" w:bidi="ar-SA"/>
        </w:rPr>
        <w:t>关闭非必要服务、端口与 Web 管理功能，减少攻击面。</w:t>
      </w:r>
    </w:p>
    <w:p w14:paraId="44185C3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firstLine="416" w:firstLineChars="0"/>
        <w:jc w:val="left"/>
        <w:rPr>
          <w:rFonts w:hint="eastAsia" w:ascii="Arial" w:hAnsi="Arial" w:eastAsia="微软雅黑" w:cstheme="minorBidi"/>
          <w:color w:val="auto"/>
          <w:kern w:val="2"/>
          <w:sz w:val="20"/>
          <w:szCs w:val="22"/>
          <w:lang w:val="en-US" w:eastAsia="zh-CN" w:bidi="ar-SA"/>
        </w:rPr>
      </w:pPr>
      <w:r>
        <w:rPr>
          <w:rFonts w:hint="eastAsia" w:ascii="Arial" w:hAnsi="Arial" w:eastAsia="微软雅黑" w:cstheme="minorBidi"/>
          <w:color w:val="auto"/>
          <w:kern w:val="2"/>
          <w:sz w:val="20"/>
          <w:szCs w:val="22"/>
          <w:lang w:val="en-US" w:eastAsia="zh-CN" w:bidi="ar-SA"/>
        </w:rPr>
        <w:t>Disable non essential services, ports, and web management functions to reduce the attack surface.</w:t>
      </w:r>
    </w:p>
    <w:p w14:paraId="24DB1F0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720" w:leftChars="0" w:right="0" w:hanging="360" w:firstLineChars="0"/>
        <w:jc w:val="left"/>
        <w:rPr>
          <w:color w:val="000000"/>
          <w:sz w:val="32"/>
          <w:szCs w:val="32"/>
        </w:rPr>
      </w:pPr>
      <w:r>
        <w:rPr>
          <w:rFonts w:hint="eastAsia" w:ascii="Arial" w:hAnsi="Arial" w:eastAsia="微软雅黑" w:cstheme="minorBidi"/>
          <w:kern w:val="2"/>
          <w:sz w:val="20"/>
          <w:szCs w:val="22"/>
          <w:lang w:val="en-US" w:eastAsia="zh-CN" w:bidi="ar-SA"/>
        </w:rPr>
        <w:t>配置登录失败锁定策略，连续多次登录失败自动锁定账户。</w:t>
      </w:r>
    </w:p>
    <w:p w14:paraId="3D1659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firstLine="416" w:firstLineChars="0"/>
        <w:jc w:val="left"/>
        <w:rPr>
          <w:rFonts w:hint="default"/>
          <w:lang w:val="en-US" w:eastAsia="zh-CN"/>
        </w:rPr>
      </w:pPr>
      <w:r>
        <w:rPr>
          <w:rFonts w:hint="eastAsia" w:ascii="Arial" w:hAnsi="Arial" w:eastAsia="微软雅黑" w:cstheme="minorBidi"/>
          <w:color w:val="auto"/>
          <w:kern w:val="2"/>
          <w:sz w:val="20"/>
          <w:szCs w:val="22"/>
          <w:lang w:val="en-US" w:eastAsia="zh-CN" w:bidi="ar-SA"/>
        </w:rPr>
        <w:t>Configure login failure lock policy, automatically lock the account after multiple consecutive login failures.</w:t>
      </w:r>
    </w:p>
    <w:p w14:paraId="2D5D2956">
      <w:pPr>
        <w:pStyle w:val="20"/>
        <w:numPr>
          <w:ilvl w:val="0"/>
          <w:numId w:val="2"/>
        </w:numPr>
        <w:rPr>
          <w:rFonts w:hint="eastAsia"/>
        </w:rPr>
      </w:pPr>
      <w:r>
        <w:rPr>
          <w:rFonts w:hint="eastAsia"/>
        </w:rPr>
        <w:t>相关文件Related Documents</w:t>
      </w:r>
    </w:p>
    <w:p w14:paraId="72563AE3">
      <w:pPr>
        <w:pStyle w:val="29"/>
      </w:pPr>
      <w:r>
        <w:rPr>
          <w:rFonts w:hint="eastAsia"/>
        </w:rPr>
        <w:t>《网络拓扑图》</w:t>
      </w:r>
      <w:r>
        <w:rPr>
          <w:rFonts w:hint="default" w:ascii="Arial Italic" w:hAnsi="Arial Italic" w:cs="Arial Italic"/>
          <w:i/>
          <w:iCs/>
        </w:rPr>
        <w:t>Network Topology Diagram</w:t>
      </w:r>
    </w:p>
    <w:p w14:paraId="548BDCAB">
      <w:pPr>
        <w:pStyle w:val="20"/>
        <w:numPr>
          <w:ilvl w:val="0"/>
          <w:numId w:val="2"/>
        </w:numPr>
        <w:rPr>
          <w:rFonts w:hint="eastAsia"/>
        </w:rPr>
      </w:pPr>
      <w:r>
        <w:rPr>
          <w:rFonts w:hint="eastAsia"/>
        </w:rPr>
        <w:t>相关记录Related Forms</w:t>
      </w:r>
    </w:p>
    <w:p w14:paraId="56CE9B14">
      <w:pPr>
        <w:pStyle w:val="29"/>
        <w:rPr>
          <w:rFonts w:hint="default" w:ascii="Arial Italic" w:hAnsi="Arial Italic" w:cs="Arial Italic"/>
          <w:i/>
          <w:iCs/>
        </w:rPr>
      </w:pPr>
      <w:r>
        <w:rPr>
          <w:rFonts w:hint="eastAsia"/>
        </w:rPr>
        <w:t>《变更记录表》</w:t>
      </w:r>
      <w:r>
        <w:rPr>
          <w:rFonts w:hint="default" w:ascii="Arial Italic" w:hAnsi="Arial Italic" w:cs="Arial Italic"/>
          <w:i/>
          <w:iCs/>
        </w:rPr>
        <w:t>Change Record</w:t>
      </w:r>
    </w:p>
    <w:p w14:paraId="46DADFE7">
      <w:pPr>
        <w:pStyle w:val="29"/>
        <w:rPr>
          <w:rFonts w:hint="default" w:ascii="Arial Italic" w:hAnsi="Arial Italic" w:cs="Arial Italic"/>
          <w:i/>
          <w:iCs/>
        </w:rPr>
      </w:pPr>
      <w:r>
        <w:rPr>
          <w:rFonts w:hint="eastAsia"/>
        </w:rPr>
        <w:t>《防火墙合规性检查报告》</w:t>
      </w:r>
      <w:r>
        <w:rPr>
          <w:rFonts w:hint="default" w:ascii="Arial Italic" w:hAnsi="Arial Italic" w:cs="Arial Italic"/>
          <w:i/>
          <w:iCs/>
        </w:rPr>
        <w:t>Firewall Compliance Check Report</w:t>
      </w:r>
    </w:p>
    <w:p w14:paraId="459C65E7">
      <w:pPr>
        <w:pStyle w:val="29"/>
        <w:rPr>
          <w:rFonts w:hint="default" w:ascii="Arial Italic" w:hAnsi="Arial Italic" w:cs="Arial Italic"/>
          <w:i/>
          <w:iCs/>
        </w:rPr>
      </w:pPr>
      <w:r>
        <w:rPr>
          <w:rFonts w:hint="eastAsia"/>
        </w:rPr>
        <w:t>《内部漏洞扫描报告》</w:t>
      </w:r>
      <w:r>
        <w:rPr>
          <w:rFonts w:hint="default" w:ascii="Arial Italic" w:hAnsi="Arial Italic" w:cs="Arial Italic"/>
          <w:i/>
          <w:iCs/>
        </w:rPr>
        <w:t>Internal Vulnerability Scanning Report</w:t>
      </w:r>
    </w:p>
    <w:p w14:paraId="0695C3F1">
      <w:pPr>
        <w:pStyle w:val="29"/>
        <w:rPr>
          <w:rFonts w:hint="default" w:ascii="Arial Italic" w:hAnsi="Arial Italic" w:cs="Arial Italic"/>
          <w:i/>
          <w:iCs/>
        </w:rPr>
      </w:pPr>
      <w:r>
        <w:rPr>
          <w:rFonts w:hint="eastAsia"/>
        </w:rPr>
        <w:t>《内部渗透测试报告》</w:t>
      </w:r>
      <w:r>
        <w:rPr>
          <w:rFonts w:hint="default" w:ascii="Arial Italic" w:hAnsi="Arial Italic" w:cs="Arial Italic"/>
          <w:i/>
          <w:iCs/>
        </w:rPr>
        <w:t>Internal Penetration Testing Report</w:t>
      </w:r>
    </w:p>
    <w:p w14:paraId="09511153">
      <w:pPr>
        <w:pStyle w:val="29"/>
        <w:rPr>
          <w:rFonts w:hint="eastAsia"/>
        </w:rPr>
      </w:pPr>
      <w:r>
        <w:rPr>
          <w:rFonts w:hint="eastAsia"/>
        </w:rPr>
        <w:t>《外部渗透测试报告》</w:t>
      </w:r>
      <w:r>
        <w:rPr>
          <w:rFonts w:hint="default" w:ascii="Arial Italic" w:hAnsi="Arial Italic" w:cs="Arial Italic"/>
          <w:i/>
          <w:iCs/>
        </w:rPr>
        <w:t>External Penetration Testing Report</w:t>
      </w:r>
    </w:p>
    <w:p w14:paraId="19D3FC7A">
      <w:pPr>
        <w:pStyle w:val="29"/>
        <w:rPr>
          <w:rFonts w:hint="default" w:ascii="Arial Italic" w:hAnsi="Arial Italic" w:cs="Arial Italic"/>
          <w:i/>
          <w:iCs/>
        </w:rPr>
      </w:pPr>
      <w:r>
        <w:rPr>
          <w:rFonts w:hint="eastAsia"/>
        </w:rPr>
        <w:t>《安全整改记录表》</w:t>
      </w:r>
      <w:r>
        <w:rPr>
          <w:rFonts w:hint="default" w:ascii="Arial Italic" w:hAnsi="Arial Italic" w:cs="Arial Italic"/>
          <w:i/>
          <w:iCs/>
        </w:rPr>
        <w:t>Security Correction Record Form</w:t>
      </w:r>
    </w:p>
    <w:p w14:paraId="0ADFD7D7">
      <w:pPr>
        <w:pStyle w:val="29"/>
        <w:rPr>
          <w:rFonts w:hint="eastAsia"/>
        </w:rPr>
      </w:pPr>
    </w:p>
    <w:p w14:paraId="279F7CEF">
      <w:pPr>
        <w:pStyle w:val="29"/>
        <w:rPr>
          <w:rFonts w:hint="eastAsia"/>
        </w:rPr>
      </w:pPr>
    </w:p>
    <w:p w14:paraId="115816F4">
      <w:pPr>
        <w:pStyle w:val="29"/>
        <w:rPr>
          <w:rFonts w:hint="eastAsia"/>
        </w:rPr>
      </w:pPr>
    </w:p>
    <w:p w14:paraId="6D3109F6">
      <w:pPr>
        <w:pStyle w:val="31"/>
        <w:outlineLvl w:val="0"/>
        <w:rPr>
          <w:rFonts w:hint="eastAsia"/>
        </w:rPr>
      </w:pPr>
      <w:bookmarkStart w:id="0" w:name="_Toc184729186"/>
      <w:r>
        <w:t>Document History 文件历史记录</w:t>
      </w:r>
      <w:bookmarkEnd w:id="0"/>
    </w:p>
    <w:p w14:paraId="13E747C4">
      <w:pPr>
        <w:rPr>
          <w:b/>
        </w:rPr>
      </w:pPr>
      <w:r>
        <w:rPr>
          <w:b/>
        </w:rPr>
        <w:t xml:space="preserve"> </w:t>
      </w:r>
    </w:p>
    <w:tbl>
      <w:tblPr>
        <w:tblStyle w:val="10"/>
        <w:tblW w:w="1126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71"/>
        <w:gridCol w:w="1575"/>
        <w:gridCol w:w="3528"/>
        <w:gridCol w:w="1630"/>
        <w:gridCol w:w="1630"/>
        <w:gridCol w:w="1630"/>
      </w:tblGrid>
      <w:tr w14:paraId="552536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28" w:hRule="atLeast"/>
          <w:jc w:val="center"/>
        </w:trPr>
        <w:tc>
          <w:tcPr>
            <w:tcW w:w="1271" w:type="dxa"/>
            <w:shd w:val="clear" w:color="auto" w:fill="E0E0E0"/>
            <w:vAlign w:val="center"/>
          </w:tcPr>
          <w:p w14:paraId="0164D84C">
            <w:pPr>
              <w:jc w:val="center"/>
              <w:rPr>
                <w:rFonts w:hint="eastAsia" w:ascii="微软雅黑" w:hAnsi="微软雅黑"/>
                <w:b/>
              </w:rPr>
            </w:pPr>
            <w:r>
              <w:rPr>
                <w:rFonts w:ascii="微软雅黑" w:hAnsi="微软雅黑"/>
                <w:b/>
              </w:rPr>
              <w:t>版本</w:t>
            </w:r>
          </w:p>
          <w:p w14:paraId="73735F72">
            <w:pPr>
              <w:jc w:val="center"/>
              <w:rPr>
                <w:rFonts w:hint="eastAsia" w:ascii="微软雅黑" w:hAnsi="微软雅黑"/>
                <w:b/>
              </w:rPr>
            </w:pPr>
            <w:r>
              <w:rPr>
                <w:rFonts w:ascii="微软雅黑" w:hAnsi="微软雅黑"/>
                <w:b/>
              </w:rPr>
              <w:t>Version</w:t>
            </w:r>
          </w:p>
        </w:tc>
        <w:tc>
          <w:tcPr>
            <w:tcW w:w="1575" w:type="dxa"/>
            <w:shd w:val="clear" w:color="auto" w:fill="E0E0E0"/>
            <w:vAlign w:val="center"/>
          </w:tcPr>
          <w:p w14:paraId="6D076092">
            <w:pPr>
              <w:jc w:val="center"/>
              <w:rPr>
                <w:rFonts w:hint="eastAsia" w:ascii="微软雅黑" w:hAnsi="微软雅黑"/>
                <w:b/>
              </w:rPr>
            </w:pPr>
            <w:r>
              <w:rPr>
                <w:rFonts w:ascii="微软雅黑" w:hAnsi="微软雅黑"/>
                <w:b/>
              </w:rPr>
              <w:t>日期</w:t>
            </w:r>
          </w:p>
          <w:p w14:paraId="4D5A3A6F">
            <w:pPr>
              <w:jc w:val="center"/>
              <w:rPr>
                <w:rFonts w:hint="eastAsia" w:ascii="微软雅黑" w:hAnsi="微软雅黑"/>
                <w:b/>
              </w:rPr>
            </w:pPr>
            <w:r>
              <w:rPr>
                <w:rFonts w:ascii="微软雅黑" w:hAnsi="微软雅黑"/>
                <w:b/>
              </w:rPr>
              <w:t>Date</w:t>
            </w:r>
          </w:p>
        </w:tc>
        <w:tc>
          <w:tcPr>
            <w:tcW w:w="3528" w:type="dxa"/>
            <w:shd w:val="clear" w:color="auto" w:fill="E0E0E0"/>
            <w:vAlign w:val="top"/>
          </w:tcPr>
          <w:p w14:paraId="289C8B4C">
            <w:pPr>
              <w:jc w:val="center"/>
              <w:rPr>
                <w:rFonts w:hint="eastAsia" w:ascii="微软雅黑" w:hAnsi="微软雅黑" w:eastAsia="微软雅黑" w:cs="微软雅黑"/>
                <w:b/>
                <w:bCs/>
                <w:sz w:val="21"/>
                <w:szCs w:val="21"/>
                <w:vertAlign w:val="baseline"/>
                <w:lang w:val="en-US" w:eastAsia="zh-CN"/>
              </w:rPr>
            </w:pPr>
            <w:r>
              <w:rPr>
                <w:rFonts w:hint="eastAsia" w:ascii="微软雅黑" w:hAnsi="微软雅黑" w:eastAsia="微软雅黑" w:cs="微软雅黑"/>
                <w:b/>
                <w:bCs/>
                <w:sz w:val="21"/>
                <w:szCs w:val="21"/>
                <w:vertAlign w:val="baseline"/>
                <w:lang w:val="en-US" w:eastAsia="zh-CN"/>
              </w:rPr>
              <w:t>变更简述</w:t>
            </w:r>
          </w:p>
          <w:p w14:paraId="61E7A021">
            <w:pPr>
              <w:jc w:val="center"/>
            </w:pPr>
            <w:r>
              <w:rPr>
                <w:rFonts w:hint="eastAsia" w:ascii="微软雅黑" w:hAnsi="微软雅黑" w:eastAsia="微软雅黑" w:cs="微软雅黑"/>
                <w:b/>
                <w:bCs/>
                <w:sz w:val="21"/>
                <w:szCs w:val="21"/>
                <w:vertAlign w:val="baseline"/>
                <w:lang w:val="en-US" w:eastAsia="zh-CN"/>
              </w:rPr>
              <w:t>Brief Description of change</w:t>
            </w:r>
          </w:p>
        </w:tc>
        <w:tc>
          <w:tcPr>
            <w:tcW w:w="1630" w:type="dxa"/>
            <w:shd w:val="clear" w:color="auto" w:fill="E0E0E0"/>
            <w:vAlign w:val="center"/>
          </w:tcPr>
          <w:p w14:paraId="7C6F4B68">
            <w:pPr>
              <w:jc w:val="center"/>
              <w:rPr>
                <w:rFonts w:hint="default" w:ascii="微软雅黑" w:hAnsi="微软雅黑" w:eastAsia="微软雅黑"/>
                <w:b/>
                <w:lang w:val="en-US" w:eastAsia="zh-CN"/>
              </w:rPr>
            </w:pPr>
            <w:r>
              <w:rPr>
                <w:rFonts w:hint="eastAsia" w:ascii="微软雅黑" w:hAnsi="微软雅黑"/>
                <w:b/>
                <w:lang w:val="en-US" w:eastAsia="zh-CN"/>
              </w:rPr>
              <w:t>编辑</w:t>
            </w:r>
          </w:p>
          <w:p w14:paraId="679BFA0E">
            <w:pPr>
              <w:jc w:val="center"/>
              <w:rPr>
                <w:rFonts w:hint="eastAsia" w:ascii="微软雅黑" w:hAnsi="微软雅黑"/>
                <w:b/>
              </w:rPr>
            </w:pPr>
            <w:r>
              <w:rPr>
                <w:rFonts w:hint="eastAsia" w:ascii="微软雅黑" w:hAnsi="微软雅黑"/>
                <w:b/>
                <w:lang w:val="en-US" w:eastAsia="zh-CN"/>
              </w:rPr>
              <w:t>Editor</w:t>
            </w:r>
          </w:p>
        </w:tc>
        <w:tc>
          <w:tcPr>
            <w:tcW w:w="1630" w:type="dxa"/>
            <w:shd w:val="clear" w:color="auto" w:fill="E0E0E0"/>
            <w:vAlign w:val="center"/>
          </w:tcPr>
          <w:p w14:paraId="1794E174">
            <w:pPr>
              <w:jc w:val="center"/>
              <w:rPr>
                <w:rFonts w:hint="eastAsia" w:ascii="微软雅黑" w:hAnsi="微软雅黑"/>
                <w:b/>
                <w:lang w:val="en-US" w:eastAsia="zh-CN"/>
              </w:rPr>
            </w:pPr>
            <w:r>
              <w:rPr>
                <w:rFonts w:hint="eastAsia" w:ascii="微软雅黑" w:hAnsi="微软雅黑"/>
                <w:b/>
                <w:lang w:val="en-US" w:eastAsia="zh-CN"/>
              </w:rPr>
              <w:t>审批</w:t>
            </w:r>
          </w:p>
          <w:p w14:paraId="1C74DBE5">
            <w:pPr>
              <w:jc w:val="center"/>
              <w:rPr>
                <w:rFonts w:hint="default" w:ascii="微软雅黑" w:hAnsi="微软雅黑" w:eastAsia="微软雅黑"/>
                <w:b/>
                <w:lang w:val="en-US" w:eastAsia="zh-CN"/>
              </w:rPr>
            </w:pPr>
            <w:r>
              <w:rPr>
                <w:rFonts w:hint="eastAsia" w:ascii="微软雅黑" w:hAnsi="微软雅黑"/>
                <w:b/>
                <w:lang w:val="en-US" w:eastAsia="zh-CN"/>
              </w:rPr>
              <w:t>Auditor</w:t>
            </w:r>
          </w:p>
        </w:tc>
        <w:tc>
          <w:tcPr>
            <w:tcW w:w="1630" w:type="dxa"/>
            <w:shd w:val="clear" w:color="auto" w:fill="E0E0E0"/>
            <w:vAlign w:val="center"/>
          </w:tcPr>
          <w:p w14:paraId="7EACDE97">
            <w:pPr>
              <w:jc w:val="center"/>
              <w:rPr>
                <w:rFonts w:hint="eastAsia" w:ascii="微软雅黑" w:hAnsi="微软雅黑"/>
                <w:b/>
              </w:rPr>
            </w:pPr>
            <w:r>
              <w:rPr>
                <w:rFonts w:hint="eastAsia" w:ascii="微软雅黑" w:hAnsi="微软雅黑"/>
                <w:b/>
              </w:rPr>
              <w:t>批准</w:t>
            </w:r>
          </w:p>
          <w:p w14:paraId="003FC22B">
            <w:pPr>
              <w:jc w:val="center"/>
              <w:rPr>
                <w:rFonts w:ascii="微软雅黑" w:hAnsi="微软雅黑"/>
                <w:b/>
              </w:rPr>
            </w:pPr>
            <w:r>
              <w:rPr>
                <w:rFonts w:hint="eastAsia" w:ascii="微软雅黑" w:hAnsi="微软雅黑"/>
                <w:b/>
              </w:rPr>
              <w:t>Approve</w:t>
            </w:r>
          </w:p>
        </w:tc>
      </w:tr>
      <w:tr w14:paraId="0E302F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tcBorders>
              <w:bottom w:val="single" w:color="auto" w:sz="6" w:space="0"/>
            </w:tcBorders>
            <w:vAlign w:val="center"/>
          </w:tcPr>
          <w:p w14:paraId="048FD47C">
            <w:pPr>
              <w:spacing w:line="280" w:lineRule="exact"/>
              <w:jc w:val="center"/>
              <w:rPr>
                <w:rFonts w:hint="eastAsia" w:ascii="微软雅黑" w:hAnsi="微软雅黑"/>
              </w:rPr>
            </w:pPr>
            <w:r>
              <w:rPr>
                <w:rFonts w:hint="eastAsia" w:ascii="微软雅黑" w:hAnsi="微软雅黑"/>
              </w:rPr>
              <w:t>1.0</w:t>
            </w:r>
          </w:p>
        </w:tc>
        <w:tc>
          <w:tcPr>
            <w:tcW w:w="1575" w:type="dxa"/>
            <w:tcBorders>
              <w:bottom w:val="single" w:color="auto" w:sz="6" w:space="0"/>
            </w:tcBorders>
            <w:vAlign w:val="center"/>
          </w:tcPr>
          <w:p w14:paraId="2BEC3067">
            <w:pPr>
              <w:spacing w:line="280" w:lineRule="exact"/>
              <w:jc w:val="center"/>
              <w:rPr>
                <w:rFonts w:hint="default"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w:t>
            </w:r>
            <w:r>
              <w:rPr>
                <w:rFonts w:hint="eastAsia" w:ascii="微软雅黑" w:hAnsi="微软雅黑"/>
              </w:rPr>
              <w:t>/</w:t>
            </w:r>
            <w:r>
              <w:rPr>
                <w:rFonts w:hint="eastAsia" w:ascii="微软雅黑" w:hAnsi="微软雅黑"/>
                <w:lang w:val="en-US" w:eastAsia="zh-CN"/>
              </w:rPr>
              <w:t>15</w:t>
            </w:r>
          </w:p>
        </w:tc>
        <w:tc>
          <w:tcPr>
            <w:tcW w:w="3528" w:type="dxa"/>
            <w:tcBorders>
              <w:bottom w:val="single" w:color="auto" w:sz="6" w:space="0"/>
            </w:tcBorders>
            <w:vAlign w:val="center"/>
          </w:tcPr>
          <w:p w14:paraId="144E7FD2">
            <w:pPr>
              <w:spacing w:line="280" w:lineRule="exact"/>
              <w:jc w:val="center"/>
              <w:rPr>
                <w:rFonts w:hint="eastAsia" w:ascii="微软雅黑" w:hAnsi="微软雅黑"/>
              </w:rPr>
            </w:pPr>
            <w:r>
              <w:rPr>
                <w:rFonts w:hint="eastAsia" w:ascii="微软雅黑" w:hAnsi="微软雅黑"/>
              </w:rPr>
              <w:t>新版发布</w:t>
            </w:r>
          </w:p>
          <w:p w14:paraId="603DD588">
            <w:pPr>
              <w:spacing w:line="280" w:lineRule="exact"/>
              <w:jc w:val="center"/>
              <w:rPr>
                <w:rFonts w:hint="eastAsia" w:ascii="微软雅黑" w:hAnsi="微软雅黑"/>
              </w:rPr>
            </w:pPr>
            <w:r>
              <w:rPr>
                <w:rFonts w:ascii="微软雅黑" w:hAnsi="微软雅黑"/>
              </w:rPr>
              <w:t>New version release</w:t>
            </w:r>
          </w:p>
        </w:tc>
        <w:tc>
          <w:tcPr>
            <w:tcW w:w="1630" w:type="dxa"/>
            <w:tcBorders>
              <w:bottom w:val="single" w:color="auto" w:sz="6" w:space="0"/>
            </w:tcBorders>
            <w:vAlign w:val="center"/>
          </w:tcPr>
          <w:p w14:paraId="7C83957A">
            <w:pPr>
              <w:spacing w:line="280" w:lineRule="exact"/>
              <w:jc w:val="center"/>
              <w:rPr>
                <w:rFonts w:hint="eastAsia" w:ascii="微软雅黑" w:hAnsi="微软雅黑" w:eastAsia="微软雅黑"/>
                <w:lang w:val="en-US" w:eastAsia="zh-CN"/>
              </w:rPr>
            </w:pPr>
            <w:r>
              <w:rPr>
                <w:rFonts w:hint="eastAsia" w:ascii="微软雅黑" w:hAnsi="微软雅黑"/>
                <w:lang w:val="en-US" w:eastAsia="zh-CN"/>
              </w:rPr>
              <w:t>郑炳佳</w:t>
            </w:r>
          </w:p>
        </w:tc>
        <w:tc>
          <w:tcPr>
            <w:tcW w:w="1630" w:type="dxa"/>
            <w:tcBorders>
              <w:bottom w:val="single" w:color="auto" w:sz="6" w:space="0"/>
            </w:tcBorders>
            <w:vAlign w:val="center"/>
          </w:tcPr>
          <w:p w14:paraId="6A31597F">
            <w:pPr>
              <w:spacing w:line="280" w:lineRule="exact"/>
              <w:jc w:val="center"/>
              <w:rPr>
                <w:rFonts w:hint="eastAsia" w:ascii="微软雅黑" w:hAnsi="微软雅黑" w:eastAsia="微软雅黑"/>
                <w:lang w:val="en-US" w:eastAsia="zh-CN"/>
              </w:rPr>
            </w:pPr>
            <w:r>
              <w:rPr>
                <w:rFonts w:hint="eastAsia" w:ascii="微软雅黑" w:hAnsi="微软雅黑"/>
                <w:lang w:val="en-US" w:eastAsia="zh-CN"/>
              </w:rPr>
              <w:t>杨龙威</w:t>
            </w:r>
          </w:p>
        </w:tc>
        <w:tc>
          <w:tcPr>
            <w:tcW w:w="1630" w:type="dxa"/>
            <w:tcBorders>
              <w:bottom w:val="single" w:color="auto" w:sz="6" w:space="0"/>
            </w:tcBorders>
            <w:vAlign w:val="center"/>
          </w:tcPr>
          <w:p w14:paraId="6D99A053">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郭思才</w:t>
            </w:r>
          </w:p>
        </w:tc>
      </w:tr>
      <w:tr w14:paraId="764E1D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38B6841D">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w:t>
            </w:r>
          </w:p>
        </w:tc>
        <w:tc>
          <w:tcPr>
            <w:tcW w:w="1575" w:type="dxa"/>
            <w:shd w:val="clear" w:color="auto" w:fill="auto"/>
            <w:vAlign w:val="center"/>
          </w:tcPr>
          <w:p w14:paraId="1023AAA9">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4</w:t>
            </w:r>
            <w:r>
              <w:rPr>
                <w:rFonts w:hint="eastAsia" w:ascii="微软雅黑" w:hAnsi="微软雅黑"/>
              </w:rPr>
              <w:t>/</w:t>
            </w:r>
            <w:r>
              <w:rPr>
                <w:rFonts w:hint="eastAsia" w:ascii="微软雅黑" w:hAnsi="微软雅黑"/>
                <w:lang w:val="en-US" w:eastAsia="zh-CN"/>
              </w:rPr>
              <w:t>30</w:t>
            </w:r>
          </w:p>
        </w:tc>
        <w:tc>
          <w:tcPr>
            <w:tcW w:w="3528" w:type="dxa"/>
            <w:shd w:val="clear" w:color="auto" w:fill="auto"/>
            <w:vAlign w:val="center"/>
          </w:tcPr>
          <w:p w14:paraId="66D03E35">
            <w:pPr>
              <w:spacing w:line="280" w:lineRule="exact"/>
              <w:jc w:val="center"/>
              <w:rPr>
                <w:rFonts w:hint="eastAsia" w:ascii="微软雅黑" w:hAnsi="微软雅黑"/>
                <w:lang w:val="en-US" w:eastAsia="zh-CN"/>
              </w:rPr>
            </w:pPr>
            <w:r>
              <w:rPr>
                <w:rFonts w:hint="eastAsia" w:ascii="微软雅黑" w:hAnsi="微软雅黑"/>
                <w:lang w:val="en-US" w:eastAsia="zh-CN"/>
              </w:rPr>
              <w:t>修改信息等级</w:t>
            </w:r>
          </w:p>
          <w:p w14:paraId="03E23E99">
            <w:pPr>
              <w:spacing w:line="280" w:lineRule="exact"/>
              <w:jc w:val="center"/>
              <w:rPr>
                <w:rFonts w:hint="default" w:ascii="微软雅黑" w:hAnsi="微软雅黑"/>
                <w:lang w:val="en-US" w:eastAsia="zh-CN"/>
              </w:rPr>
            </w:pPr>
            <w:r>
              <w:rPr>
                <w:rFonts w:hint="default" w:ascii="微软雅黑" w:hAnsi="微软雅黑"/>
                <w:lang w:val="en-US" w:eastAsia="zh-CN"/>
              </w:rPr>
              <w:t xml:space="preserve">Modify information </w:t>
            </w:r>
            <w:r>
              <w:rPr>
                <w:rFonts w:hint="eastAsia" w:ascii="微软雅黑" w:hAnsi="微软雅黑"/>
                <w:lang w:val="en-US" w:eastAsia="zh-CN"/>
              </w:rPr>
              <w:t>Class</w:t>
            </w:r>
          </w:p>
        </w:tc>
        <w:tc>
          <w:tcPr>
            <w:tcW w:w="1630" w:type="dxa"/>
            <w:shd w:val="clear" w:color="auto" w:fill="auto"/>
            <w:vAlign w:val="center"/>
          </w:tcPr>
          <w:p w14:paraId="3BD8519A">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2DA5F607">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6B6F2DD5">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129F91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390FC0E8">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3.0</w:t>
            </w:r>
          </w:p>
        </w:tc>
        <w:tc>
          <w:tcPr>
            <w:tcW w:w="1575" w:type="dxa"/>
            <w:shd w:val="clear" w:color="auto" w:fill="auto"/>
            <w:vAlign w:val="center"/>
          </w:tcPr>
          <w:p w14:paraId="1CA10B28">
            <w:pPr>
              <w:spacing w:line="280" w:lineRule="exact"/>
              <w:jc w:val="center"/>
              <w:rPr>
                <w:rFonts w:hint="default" w:ascii="微软雅黑" w:hAnsi="微软雅黑"/>
                <w:lang w:val="en-US"/>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15</w:t>
            </w:r>
          </w:p>
        </w:tc>
        <w:tc>
          <w:tcPr>
            <w:tcW w:w="3528" w:type="dxa"/>
            <w:shd w:val="clear" w:color="auto" w:fill="auto"/>
            <w:vAlign w:val="center"/>
          </w:tcPr>
          <w:p w14:paraId="3832715F">
            <w:pPr>
              <w:spacing w:line="280" w:lineRule="exact"/>
              <w:jc w:val="center"/>
              <w:rPr>
                <w:rFonts w:hint="eastAsia" w:ascii="微软雅黑" w:hAnsi="微软雅黑"/>
                <w:lang w:val="en-US" w:eastAsia="zh-CN"/>
              </w:rPr>
            </w:pPr>
            <w:r>
              <w:rPr>
                <w:rFonts w:hint="eastAsia" w:ascii="微软雅黑" w:hAnsi="微软雅黑"/>
                <w:lang w:val="en-US" w:eastAsia="zh-CN"/>
              </w:rPr>
              <w:t>修改渗透测试描述</w:t>
            </w:r>
          </w:p>
          <w:p w14:paraId="16F06730">
            <w:pPr>
              <w:spacing w:line="280" w:lineRule="exact"/>
              <w:jc w:val="center"/>
              <w:rPr>
                <w:rFonts w:hint="default" w:ascii="微软雅黑" w:hAnsi="微软雅黑"/>
                <w:lang w:val="en-US" w:eastAsia="zh-CN"/>
              </w:rPr>
            </w:pPr>
            <w:r>
              <w:rPr>
                <w:rFonts w:hint="default" w:ascii="微软雅黑" w:hAnsi="微软雅黑"/>
                <w:lang w:val="en-US" w:eastAsia="zh-CN"/>
              </w:rPr>
              <w:t>Modify penetration test description</w:t>
            </w:r>
          </w:p>
        </w:tc>
        <w:tc>
          <w:tcPr>
            <w:tcW w:w="1630" w:type="dxa"/>
            <w:shd w:val="clear" w:color="auto" w:fill="auto"/>
            <w:vAlign w:val="center"/>
          </w:tcPr>
          <w:p w14:paraId="1F3BBF83">
            <w:pPr>
              <w:spacing w:line="280" w:lineRule="exact"/>
              <w:jc w:val="center"/>
              <w:rPr>
                <w:rFonts w:hint="eastAsia" w:ascii="微软雅黑" w:hAnsi="微软雅黑"/>
                <w:lang w:val="en-US" w:eastAsia="zh-CN"/>
              </w:rPr>
            </w:pPr>
            <w:r>
              <w:rPr>
                <w:rFonts w:hint="eastAsia" w:ascii="微软雅黑" w:hAnsi="微软雅黑"/>
                <w:lang w:val="en-US" w:eastAsia="zh-CN"/>
              </w:rPr>
              <w:t>郑炳佳</w:t>
            </w:r>
          </w:p>
        </w:tc>
        <w:tc>
          <w:tcPr>
            <w:tcW w:w="1630" w:type="dxa"/>
            <w:shd w:val="clear" w:color="auto" w:fill="auto"/>
            <w:vAlign w:val="center"/>
          </w:tcPr>
          <w:p w14:paraId="6C80FA4F">
            <w:pPr>
              <w:spacing w:line="280" w:lineRule="exact"/>
              <w:jc w:val="center"/>
              <w:rPr>
                <w:rFonts w:hint="eastAsia" w:ascii="微软雅黑" w:hAnsi="微软雅黑"/>
                <w:lang w:val="en-US" w:eastAsia="zh-CN"/>
              </w:rPr>
            </w:pPr>
            <w:r>
              <w:rPr>
                <w:rFonts w:hint="eastAsia" w:ascii="微软雅黑" w:hAnsi="微软雅黑"/>
                <w:lang w:val="en-US" w:eastAsia="zh-CN"/>
              </w:rPr>
              <w:t>杨龙威</w:t>
            </w:r>
          </w:p>
        </w:tc>
        <w:tc>
          <w:tcPr>
            <w:tcW w:w="1630" w:type="dxa"/>
            <w:shd w:val="clear" w:color="auto" w:fill="auto"/>
            <w:vAlign w:val="center"/>
          </w:tcPr>
          <w:p w14:paraId="0BD90115">
            <w:pPr>
              <w:spacing w:line="280" w:lineRule="exact"/>
              <w:jc w:val="center"/>
              <w:rPr>
                <w:rFonts w:hint="eastAsia" w:ascii="微软雅黑" w:hAnsi="微软雅黑"/>
                <w:lang w:val="en-US" w:eastAsia="zh-CN"/>
              </w:rPr>
            </w:pPr>
            <w:r>
              <w:rPr>
                <w:rFonts w:hint="eastAsia" w:ascii="微软雅黑" w:hAnsi="微软雅黑"/>
                <w:lang w:val="en-US" w:eastAsia="zh-CN"/>
              </w:rPr>
              <w:t>郭思才</w:t>
            </w:r>
          </w:p>
        </w:tc>
      </w:tr>
      <w:tr w14:paraId="6EFF31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0BCD3C28">
            <w:pPr>
              <w:spacing w:line="280" w:lineRule="exact"/>
              <w:jc w:val="center"/>
              <w:rPr>
                <w:rFonts w:hint="default" w:ascii="微软雅黑" w:hAnsi="微软雅黑"/>
                <w:lang w:val="en-US" w:eastAsia="zh-CN"/>
              </w:rPr>
            </w:pPr>
            <w:r>
              <w:rPr>
                <w:rFonts w:hint="eastAsia" w:ascii="微软雅黑" w:hAnsi="微软雅黑"/>
                <w:lang w:val="en-US" w:eastAsia="zh-CN"/>
              </w:rPr>
              <w:t>4.0</w:t>
            </w:r>
          </w:p>
        </w:tc>
        <w:tc>
          <w:tcPr>
            <w:tcW w:w="1575" w:type="dxa"/>
            <w:shd w:val="clear" w:color="auto" w:fill="auto"/>
            <w:vAlign w:val="center"/>
          </w:tcPr>
          <w:p w14:paraId="70A7EA4D">
            <w:pPr>
              <w:spacing w:line="280" w:lineRule="exact"/>
              <w:jc w:val="center"/>
              <w:rPr>
                <w:rFonts w:hint="eastAsia"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6</w:t>
            </w:r>
            <w:r>
              <w:rPr>
                <w:rFonts w:hint="eastAsia" w:ascii="微软雅黑" w:hAnsi="微软雅黑"/>
              </w:rPr>
              <w:t>/</w:t>
            </w:r>
            <w:r>
              <w:rPr>
                <w:rFonts w:hint="eastAsia" w:ascii="微软雅黑" w:hAnsi="微软雅黑"/>
                <w:lang w:val="en-US" w:eastAsia="zh-CN"/>
              </w:rPr>
              <w:t>9</w:t>
            </w:r>
          </w:p>
        </w:tc>
        <w:tc>
          <w:tcPr>
            <w:tcW w:w="3528" w:type="dxa"/>
            <w:shd w:val="clear" w:color="auto" w:fill="auto"/>
            <w:vAlign w:val="center"/>
          </w:tcPr>
          <w:p w14:paraId="1357FA95">
            <w:pPr>
              <w:spacing w:line="280" w:lineRule="exact"/>
              <w:jc w:val="center"/>
              <w:rPr>
                <w:rFonts w:hint="eastAsia" w:ascii="微软雅黑" w:hAnsi="微软雅黑"/>
                <w:lang w:val="en-US" w:eastAsia="zh-CN"/>
              </w:rPr>
            </w:pPr>
            <w:r>
              <w:rPr>
                <w:rFonts w:hint="eastAsia" w:ascii="微软雅黑" w:hAnsi="微软雅黑"/>
                <w:lang w:val="en-US" w:eastAsia="zh-CN"/>
              </w:rPr>
              <w:t>新增SFTP连接要求</w:t>
            </w:r>
          </w:p>
          <w:p w14:paraId="0D03F54A">
            <w:pPr>
              <w:spacing w:line="280" w:lineRule="exact"/>
              <w:jc w:val="center"/>
              <w:rPr>
                <w:rFonts w:hint="default" w:ascii="微软雅黑" w:hAnsi="微软雅黑"/>
                <w:lang w:val="en-US" w:eastAsia="zh-CN"/>
              </w:rPr>
            </w:pPr>
            <w:r>
              <w:rPr>
                <w:rFonts w:hint="default" w:ascii="微软雅黑" w:hAnsi="微软雅黑"/>
                <w:lang w:val="en-US" w:eastAsia="zh-CN"/>
              </w:rPr>
              <w:t>Add SFTP connection requirements</w:t>
            </w:r>
          </w:p>
        </w:tc>
        <w:tc>
          <w:tcPr>
            <w:tcW w:w="1630" w:type="dxa"/>
            <w:shd w:val="clear" w:color="auto" w:fill="auto"/>
            <w:vAlign w:val="center"/>
          </w:tcPr>
          <w:p w14:paraId="4A755574">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410FC00E">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5F7ACA40">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23A68B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5052D912">
            <w:pPr>
              <w:spacing w:line="280" w:lineRule="exact"/>
              <w:jc w:val="center"/>
              <w:rPr>
                <w:rFonts w:hint="default" w:ascii="微软雅黑" w:hAnsi="微软雅黑"/>
                <w:lang w:val="en-US" w:eastAsia="zh-CN"/>
              </w:rPr>
            </w:pPr>
            <w:r>
              <w:rPr>
                <w:rFonts w:hint="eastAsia" w:ascii="微软雅黑" w:hAnsi="微软雅黑"/>
                <w:lang w:val="en-US" w:eastAsia="zh-CN"/>
              </w:rPr>
              <w:t>5.0</w:t>
            </w:r>
          </w:p>
        </w:tc>
        <w:tc>
          <w:tcPr>
            <w:tcW w:w="1575" w:type="dxa"/>
            <w:shd w:val="clear" w:color="auto" w:fill="auto"/>
            <w:vAlign w:val="center"/>
          </w:tcPr>
          <w:p w14:paraId="3CBF8EB1">
            <w:pPr>
              <w:spacing w:line="280" w:lineRule="exact"/>
              <w:jc w:val="center"/>
              <w:rPr>
                <w:rFonts w:hint="default" w:ascii="微软雅黑" w:hAnsi="微软雅黑" w:eastAsia="微软雅黑"/>
                <w:lang w:val="en-US" w:eastAsia="zh-CN"/>
              </w:rPr>
            </w:pPr>
            <w:r>
              <w:rPr>
                <w:rFonts w:hint="eastAsia" w:ascii="微软雅黑" w:hAnsi="微软雅黑"/>
              </w:rPr>
              <w:t>202</w:t>
            </w:r>
            <w:r>
              <w:rPr>
                <w:rFonts w:hint="eastAsia" w:ascii="微软雅黑" w:hAnsi="微软雅黑"/>
                <w:lang w:val="en-US" w:eastAsia="zh-CN"/>
              </w:rPr>
              <w:t>5</w:t>
            </w:r>
            <w:r>
              <w:rPr>
                <w:rFonts w:hint="eastAsia" w:ascii="微软雅黑" w:hAnsi="微软雅黑"/>
              </w:rPr>
              <w:t>/</w:t>
            </w:r>
            <w:r>
              <w:rPr>
                <w:rFonts w:hint="eastAsia" w:ascii="微软雅黑" w:hAnsi="微软雅黑"/>
                <w:lang w:val="en-US" w:eastAsia="zh-CN"/>
              </w:rPr>
              <w:t>7</w:t>
            </w:r>
            <w:r>
              <w:rPr>
                <w:rFonts w:hint="eastAsia" w:ascii="微软雅黑" w:hAnsi="微软雅黑"/>
              </w:rPr>
              <w:t>/</w:t>
            </w:r>
            <w:r>
              <w:rPr>
                <w:rFonts w:hint="eastAsia" w:ascii="微软雅黑" w:hAnsi="微软雅黑"/>
                <w:lang w:val="en-US" w:eastAsia="zh-CN"/>
              </w:rPr>
              <w:t>17</w:t>
            </w:r>
          </w:p>
        </w:tc>
        <w:tc>
          <w:tcPr>
            <w:tcW w:w="3528" w:type="dxa"/>
            <w:shd w:val="clear" w:color="auto" w:fill="auto"/>
            <w:vAlign w:val="center"/>
          </w:tcPr>
          <w:p w14:paraId="30CD0BA8">
            <w:pPr>
              <w:spacing w:line="280" w:lineRule="exact"/>
              <w:jc w:val="center"/>
              <w:rPr>
                <w:rFonts w:hint="eastAsia" w:ascii="微软雅黑" w:hAnsi="微软雅黑"/>
                <w:lang w:val="en-US" w:eastAsia="zh-CN"/>
              </w:rPr>
            </w:pPr>
            <w:r>
              <w:rPr>
                <w:rFonts w:hint="eastAsia" w:ascii="微软雅黑" w:hAnsi="微软雅黑"/>
                <w:lang w:val="en-US" w:eastAsia="zh-CN"/>
              </w:rPr>
              <w:t>校正变更管理英文描述</w:t>
            </w:r>
          </w:p>
          <w:p w14:paraId="467DDA83">
            <w:pPr>
              <w:spacing w:line="280" w:lineRule="exact"/>
              <w:jc w:val="center"/>
              <w:rPr>
                <w:rFonts w:hint="default" w:ascii="微软雅黑" w:hAnsi="微软雅黑"/>
                <w:lang w:val="en-US" w:eastAsia="zh-CN"/>
              </w:rPr>
            </w:pPr>
            <w:r>
              <w:rPr>
                <w:rFonts w:hint="default" w:ascii="微软雅黑" w:hAnsi="微软雅黑"/>
                <w:lang w:val="en-US" w:eastAsia="zh-CN"/>
              </w:rPr>
              <w:t>Correction Change Management English Description</w:t>
            </w:r>
          </w:p>
        </w:tc>
        <w:tc>
          <w:tcPr>
            <w:tcW w:w="1630" w:type="dxa"/>
            <w:shd w:val="clear" w:color="auto" w:fill="auto"/>
            <w:vAlign w:val="center"/>
          </w:tcPr>
          <w:p w14:paraId="4ECAE3A8">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34F9C37C">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01AEED37">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r w14:paraId="15E9D4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37" w:hRule="atLeast"/>
          <w:jc w:val="center"/>
        </w:trPr>
        <w:tc>
          <w:tcPr>
            <w:tcW w:w="1271" w:type="dxa"/>
            <w:shd w:val="clear" w:color="auto" w:fill="auto"/>
            <w:vAlign w:val="center"/>
          </w:tcPr>
          <w:p w14:paraId="317B6CBE">
            <w:pPr>
              <w:spacing w:line="280" w:lineRule="exact"/>
              <w:jc w:val="center"/>
              <w:rPr>
                <w:rFonts w:hint="default" w:ascii="微软雅黑" w:hAnsi="微软雅黑"/>
                <w:lang w:val="en-US" w:eastAsia="zh-CN"/>
              </w:rPr>
            </w:pPr>
            <w:r>
              <w:rPr>
                <w:rFonts w:hint="eastAsia" w:ascii="微软雅黑" w:hAnsi="微软雅黑"/>
                <w:lang w:val="en-US" w:eastAsia="zh-CN"/>
              </w:rPr>
              <w:t>6.0</w:t>
            </w:r>
          </w:p>
        </w:tc>
        <w:tc>
          <w:tcPr>
            <w:tcW w:w="1575" w:type="dxa"/>
            <w:shd w:val="clear" w:color="auto" w:fill="auto"/>
            <w:vAlign w:val="center"/>
          </w:tcPr>
          <w:p w14:paraId="3C2496BF">
            <w:pPr>
              <w:spacing w:line="280" w:lineRule="exact"/>
              <w:jc w:val="center"/>
              <w:rPr>
                <w:rFonts w:hint="default" w:ascii="微软雅黑" w:hAnsi="微软雅黑" w:eastAsia="微软雅黑"/>
                <w:lang w:val="en-US" w:eastAsia="zh-CN"/>
              </w:rPr>
            </w:pPr>
            <w:r>
              <w:rPr>
                <w:rFonts w:hint="eastAsia" w:ascii="微软雅黑" w:hAnsi="微软雅黑"/>
                <w:lang w:val="en-US" w:eastAsia="zh-CN"/>
              </w:rPr>
              <w:t>2026/4/16</w:t>
            </w:r>
          </w:p>
        </w:tc>
        <w:tc>
          <w:tcPr>
            <w:tcW w:w="3528" w:type="dxa"/>
            <w:shd w:val="clear" w:color="auto" w:fill="auto"/>
            <w:vAlign w:val="center"/>
          </w:tcPr>
          <w:p w14:paraId="4A027323">
            <w:pPr>
              <w:spacing w:line="280" w:lineRule="exact"/>
              <w:jc w:val="center"/>
              <w:rPr>
                <w:rFonts w:hint="eastAsia" w:ascii="微软雅黑" w:hAnsi="微软雅黑"/>
                <w:lang w:val="en-US" w:eastAsia="zh-CN"/>
              </w:rPr>
            </w:pPr>
            <w:r>
              <w:rPr>
                <w:rFonts w:hint="eastAsia" w:ascii="微软雅黑" w:hAnsi="微软雅黑"/>
                <w:lang w:val="en-US" w:eastAsia="zh-CN"/>
              </w:rPr>
              <w:t>防火墙强化策略</w:t>
            </w:r>
          </w:p>
          <w:p w14:paraId="31F6B2BD">
            <w:pPr>
              <w:spacing w:line="280" w:lineRule="exact"/>
              <w:jc w:val="center"/>
              <w:rPr>
                <w:rFonts w:hint="default" w:ascii="微软雅黑" w:hAnsi="微软雅黑"/>
                <w:lang w:val="en-US" w:eastAsia="zh-CN"/>
              </w:rPr>
            </w:pPr>
            <w:r>
              <w:rPr>
                <w:rFonts w:hint="eastAsia" w:ascii="微软雅黑" w:hAnsi="微软雅黑" w:eastAsia="微软雅黑" w:cstheme="minorBidi"/>
                <w:kern w:val="2"/>
                <w:sz w:val="21"/>
                <w:szCs w:val="22"/>
                <w:lang w:val="en-US" w:eastAsia="zh-CN" w:bidi="ar-SA"/>
              </w:rPr>
              <w:t>Firewall hardening policies</w:t>
            </w:r>
          </w:p>
        </w:tc>
        <w:tc>
          <w:tcPr>
            <w:tcW w:w="1630" w:type="dxa"/>
            <w:shd w:val="clear" w:color="auto" w:fill="auto"/>
            <w:vAlign w:val="center"/>
          </w:tcPr>
          <w:p w14:paraId="2EEADE4A">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郑炳佳</w:t>
            </w:r>
          </w:p>
        </w:tc>
        <w:tc>
          <w:tcPr>
            <w:tcW w:w="1630" w:type="dxa"/>
            <w:shd w:val="clear" w:color="auto" w:fill="auto"/>
            <w:vAlign w:val="center"/>
          </w:tcPr>
          <w:p w14:paraId="7BE8F1D7">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杨龙威</w:t>
            </w:r>
          </w:p>
        </w:tc>
        <w:tc>
          <w:tcPr>
            <w:tcW w:w="1630" w:type="dxa"/>
            <w:shd w:val="clear" w:color="auto" w:fill="auto"/>
            <w:vAlign w:val="center"/>
          </w:tcPr>
          <w:p w14:paraId="1F1326C5">
            <w:pPr>
              <w:spacing w:line="280" w:lineRule="exact"/>
              <w:jc w:val="center"/>
              <w:rPr>
                <w:rFonts w:hint="eastAsia" w:ascii="微软雅黑" w:hAnsi="微软雅黑" w:eastAsia="微软雅黑" w:cstheme="minorBidi"/>
                <w:kern w:val="2"/>
                <w:sz w:val="21"/>
                <w:szCs w:val="22"/>
                <w:lang w:val="en-US" w:eastAsia="zh-CN" w:bidi="ar-SA"/>
              </w:rPr>
            </w:pPr>
            <w:r>
              <w:rPr>
                <w:rFonts w:hint="eastAsia" w:ascii="微软雅黑" w:hAnsi="微软雅黑"/>
                <w:lang w:val="en-US" w:eastAsia="zh-CN"/>
              </w:rPr>
              <w:t>郭思才</w:t>
            </w:r>
          </w:p>
        </w:tc>
      </w:tr>
    </w:tbl>
    <w:p w14:paraId="3C59E92A"/>
    <w:tbl>
      <w:tblPr>
        <w:tblStyle w:val="11"/>
        <w:tblW w:w="96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09"/>
        <w:gridCol w:w="3209"/>
        <w:gridCol w:w="3210"/>
      </w:tblGrid>
      <w:tr w14:paraId="2471C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7" w:hRule="atLeast"/>
        </w:trPr>
        <w:tc>
          <w:tcPr>
            <w:tcW w:w="3209" w:type="dxa"/>
            <w:shd w:val="clear" w:color="auto" w:fill="auto"/>
          </w:tcPr>
          <w:p w14:paraId="0CE01A6D">
            <w:pPr>
              <w:spacing w:line="480" w:lineRule="exact"/>
              <w:jc w:val="left"/>
              <w:rPr>
                <w:b/>
                <w:bCs/>
                <w:sz w:val="24"/>
                <w:szCs w:val="28"/>
              </w:rPr>
            </w:pPr>
            <w:r>
              <w:rPr>
                <w:rFonts w:hint="eastAsia" w:ascii="微软雅黑" w:hAnsi="微软雅黑"/>
                <w:b/>
                <w:lang w:val="en-US" w:eastAsia="zh-CN"/>
              </w:rPr>
              <w:t>编辑</w:t>
            </w:r>
            <w:r>
              <w:rPr>
                <w:rFonts w:hint="eastAsia"/>
                <w:b/>
                <w:bCs/>
                <w:sz w:val="24"/>
                <w:szCs w:val="28"/>
              </w:rPr>
              <w:t>：</w:t>
            </w:r>
          </w:p>
          <w:p w14:paraId="32002C01">
            <w:pPr>
              <w:spacing w:line="480" w:lineRule="exact"/>
              <w:jc w:val="left"/>
            </w:pPr>
            <w:r>
              <w:rPr>
                <w:rFonts w:hint="eastAsia" w:ascii="微软雅黑" w:hAnsi="微软雅黑"/>
                <w:b/>
                <w:lang w:val="en-US" w:eastAsia="zh-CN"/>
              </w:rPr>
              <w:t>Editor</w:t>
            </w:r>
            <w:r>
              <w:rPr>
                <w:rFonts w:hint="eastAsia"/>
                <w:sz w:val="24"/>
                <w:szCs w:val="28"/>
              </w:rPr>
              <w:t>:</w:t>
            </w:r>
          </w:p>
        </w:tc>
        <w:tc>
          <w:tcPr>
            <w:tcW w:w="3209" w:type="dxa"/>
            <w:shd w:val="clear" w:color="auto" w:fill="auto"/>
          </w:tcPr>
          <w:p w14:paraId="25912C33">
            <w:pPr>
              <w:spacing w:line="480" w:lineRule="exact"/>
              <w:jc w:val="left"/>
              <w:rPr>
                <w:b/>
                <w:bCs/>
                <w:sz w:val="24"/>
                <w:szCs w:val="28"/>
              </w:rPr>
            </w:pPr>
            <w:r>
              <w:rPr>
                <w:rFonts w:hint="eastAsia"/>
                <w:b/>
                <w:bCs/>
                <w:sz w:val="24"/>
                <w:szCs w:val="28"/>
              </w:rPr>
              <w:t>审批：</w:t>
            </w:r>
          </w:p>
          <w:p w14:paraId="7F9EAADB">
            <w:pPr>
              <w:spacing w:line="480" w:lineRule="exact"/>
              <w:jc w:val="left"/>
            </w:pPr>
            <w:r>
              <w:rPr>
                <w:rFonts w:hint="eastAsia" w:ascii="微软雅黑" w:hAnsi="微软雅黑"/>
                <w:b/>
                <w:lang w:val="en-US" w:eastAsia="zh-CN"/>
              </w:rPr>
              <w:t>Auditor</w:t>
            </w:r>
            <w:r>
              <w:rPr>
                <w:rFonts w:hint="eastAsia"/>
                <w:sz w:val="24"/>
                <w:szCs w:val="28"/>
              </w:rPr>
              <w:t>:</w:t>
            </w:r>
          </w:p>
        </w:tc>
        <w:tc>
          <w:tcPr>
            <w:tcW w:w="3210" w:type="dxa"/>
            <w:shd w:val="clear" w:color="auto" w:fill="auto"/>
          </w:tcPr>
          <w:p w14:paraId="1598F20E">
            <w:pPr>
              <w:spacing w:line="480" w:lineRule="exact"/>
              <w:jc w:val="left"/>
              <w:rPr>
                <w:b/>
                <w:bCs/>
                <w:sz w:val="24"/>
                <w:szCs w:val="28"/>
              </w:rPr>
            </w:pPr>
            <w:r>
              <w:rPr>
                <w:rFonts w:hint="eastAsia"/>
                <w:b/>
                <w:bCs/>
                <w:sz w:val="24"/>
                <w:szCs w:val="28"/>
                <w:lang w:val="en-US" w:eastAsia="zh-CN"/>
              </w:rPr>
              <w:t>批准</w:t>
            </w:r>
            <w:r>
              <w:rPr>
                <w:rFonts w:hint="eastAsia"/>
                <w:b/>
                <w:bCs/>
                <w:sz w:val="24"/>
                <w:szCs w:val="28"/>
              </w:rPr>
              <w:t>：</w:t>
            </w:r>
          </w:p>
          <w:p w14:paraId="2DB2B131">
            <w:pPr>
              <w:spacing w:line="480" w:lineRule="exact"/>
              <w:jc w:val="left"/>
            </w:pPr>
            <w:r>
              <w:rPr>
                <w:rFonts w:hint="eastAsia"/>
                <w:sz w:val="24"/>
                <w:szCs w:val="28"/>
                <w:lang w:val="en-US" w:eastAsia="zh-CN"/>
              </w:rPr>
              <w:t>Approve</w:t>
            </w:r>
            <w:r>
              <w:rPr>
                <w:rFonts w:hint="eastAsia"/>
                <w:sz w:val="24"/>
                <w:szCs w:val="28"/>
              </w:rPr>
              <w:t>:</w:t>
            </w:r>
          </w:p>
        </w:tc>
      </w:tr>
    </w:tbl>
    <w:p w14:paraId="0389EBC0">
      <w:pPr>
        <w:pStyle w:val="29"/>
      </w:pPr>
      <w:bookmarkStart w:id="1" w:name="_Toc2041538922_WPSOffice_Type1"/>
      <w:bookmarkEnd w:id="1"/>
    </w:p>
    <w:sectPr>
      <w:footerReference r:id="rId7" w:type="first"/>
      <w:headerReference r:id="rId5" w:type="default"/>
      <w:footerReference r:id="rId6" w:type="default"/>
      <w:pgSz w:w="11906" w:h="16838"/>
      <w:pgMar w:top="720" w:right="1134" w:bottom="1440" w:left="1134" w:header="567"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Helvetica Neue">
    <w:altName w:val="Times New Roman"/>
    <w:panose1 w:val="02000503000000020004"/>
    <w:charset w:val="00"/>
    <w:family w:val="auto"/>
    <w:pitch w:val="default"/>
    <w:sig w:usb0="00000000" w:usb1="00000000" w:usb2="00000010" w:usb3="00000000" w:csb0="00000000" w:csb1="00000000"/>
  </w:font>
  <w:font w:name="Segoe UI">
    <w:panose1 w:val="020B0502040204020203"/>
    <w:charset w:val="00"/>
    <w:family w:val="auto"/>
    <w:pitch w:val="default"/>
    <w:sig w:usb0="E4002EFF" w:usb1="C000E47F" w:usb2="00000009" w:usb3="00000000" w:csb0="200001FF" w:csb1="00000000"/>
  </w:font>
  <w:font w:name="Arial Italic">
    <w:altName w:val="Arial"/>
    <w:panose1 w:val="020B0604020202090204"/>
    <w:charset w:val="00"/>
    <w:family w:val="auto"/>
    <w:pitch w:val="default"/>
    <w:sig w:usb0="00000000" w:usb1="00000000" w:usb2="00000001" w:usb3="00000000" w:csb0="400001BF" w:csb1="DFF7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C32B5">
    <w:pPr>
      <w:pStyle w:val="5"/>
      <w:jc w:val="right"/>
    </w:pPr>
    <w:r>
      <mc:AlternateContent>
        <mc:Choice Requires="wps">
          <w:drawing>
            <wp:anchor distT="0" distB="0" distL="114300" distR="114300" simplePos="0" relativeHeight="251661312" behindDoc="0" locked="0" layoutInCell="1" allowOverlap="1">
              <wp:simplePos x="0" y="0"/>
              <wp:positionH relativeFrom="column">
                <wp:posOffset>2113280</wp:posOffset>
              </wp:positionH>
              <wp:positionV relativeFrom="paragraph">
                <wp:posOffset>-78740</wp:posOffset>
              </wp:positionV>
              <wp:extent cx="1937385" cy="443865"/>
              <wp:effectExtent l="0" t="0" r="18415" b="13335"/>
              <wp:wrapNone/>
              <wp:docPr id="787843771" name="文本框 3"/>
              <wp:cNvGraphicFramePr/>
              <a:graphic xmlns:a="http://schemas.openxmlformats.org/drawingml/2006/main">
                <a:graphicData uri="http://schemas.microsoft.com/office/word/2010/wordprocessingShape">
                  <wps:wsp>
                    <wps:cNvSpPr txBox="1"/>
                    <wps:spPr>
                      <a:xfrm>
                        <a:off x="0" y="0"/>
                        <a:ext cx="1937385" cy="443986"/>
                      </a:xfrm>
                      <a:prstGeom prst="rect">
                        <a:avLst/>
                      </a:prstGeom>
                      <a:solidFill>
                        <a:schemeClr val="lt1"/>
                      </a:solidFill>
                      <a:ln w="6350">
                        <a:noFill/>
                      </a:ln>
                    </wps:spPr>
                    <wps:txb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38300F8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66.4pt;margin-top:-6.2pt;height:34.95pt;width:152.55pt;z-index:251661312;mso-width-relative:page;mso-height-relative:page;" fillcolor="#FFFFFF [3201]" filled="t" stroked="f" coordsize="21600,21600" o:gfxdata="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g1ssrdcAAAAK&#10;AQAADwAAAAAAAAABACAAAAAiAAAAZHJzL2Rvd25yZXYueG1sUEsBAhQAFAAAAAgAh07iQFWOM3FW&#10;AgAAlwQAAA4AAAAAAAAAAQAgAAAAJgEAAGRycy9lMm9Eb2MueG1sUEsFBgAAAAAGAAYAWQEAAO4F&#10;AAAAAA==&#10;">
              <v:fill on="t" focussize="0,0"/>
              <v:stroke on="f" weight="0.5pt"/>
              <v:imagedata o:title=""/>
              <o:lock v:ext="edit" aspectratio="f"/>
              <v:textbox>
                <w:txbxContent>
                  <w:p w14:paraId="269D7DFF">
                    <w:pPr>
                      <w:jc w:val="center"/>
                      <w:rPr>
                        <w:sz w:val="18"/>
                        <w:szCs w:val="18"/>
                      </w:rPr>
                    </w:pPr>
                    <w:r>
                      <w:rPr>
                        <w:rFonts w:hint="eastAsia"/>
                        <w:sz w:val="18"/>
                        <w:szCs w:val="18"/>
                        <w:lang w:val="en-US" w:eastAsia="zh-CN"/>
                      </w:rPr>
                      <w:t>信息</w:t>
                    </w:r>
                    <w:r>
                      <w:rPr>
                        <w:rFonts w:hint="eastAsia"/>
                        <w:sz w:val="18"/>
                        <w:szCs w:val="18"/>
                      </w:rPr>
                      <w:t>等级：内部公开</w:t>
                    </w:r>
                  </w:p>
                  <w:p w14:paraId="1F001D6D">
                    <w:pPr>
                      <w:jc w:val="center"/>
                      <w:rPr>
                        <w:sz w:val="18"/>
                        <w:szCs w:val="18"/>
                        <w:u w:val="none"/>
                      </w:rPr>
                    </w:pPr>
                    <w:r>
                      <w:rPr>
                        <w:rFonts w:hint="eastAsia"/>
                        <w:sz w:val="18"/>
                        <w:szCs w:val="18"/>
                        <w:u w:val="none"/>
                      </w:rPr>
                      <w:t xml:space="preserve">Info Class: </w:t>
                    </w:r>
                    <w:r>
                      <w:rPr>
                        <w:sz w:val="18"/>
                        <w:szCs w:val="18"/>
                        <w:u w:val="none"/>
                      </w:rPr>
                      <w:t>Internal Disclosure</w:t>
                    </w:r>
                  </w:p>
                  <w:p w14:paraId="38300F8F"/>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5421630</wp:posOffset>
              </wp:positionH>
              <wp:positionV relativeFrom="paragraph">
                <wp:posOffset>-78740</wp:posOffset>
              </wp:positionV>
              <wp:extent cx="673100" cy="1828800"/>
              <wp:effectExtent l="0" t="0" r="0" b="0"/>
              <wp:wrapSquare wrapText="bothSides"/>
              <wp:docPr id="356813128" name="文本框 1"/>
              <wp:cNvGraphicFramePr/>
              <a:graphic xmlns:a="http://schemas.openxmlformats.org/drawingml/2006/main">
                <a:graphicData uri="http://schemas.microsoft.com/office/word/2010/wordprocessingShape">
                  <wps:wsp>
                    <wps:cNvSpPr txBox="1"/>
                    <wps:spPr>
                      <a:xfrm>
                        <a:off x="0" y="0"/>
                        <a:ext cx="673100" cy="1828800"/>
                      </a:xfrm>
                      <a:prstGeom prst="rect">
                        <a:avLst/>
                      </a:prstGeom>
                      <a:noFill/>
                      <a:ln w="6350">
                        <a:noFill/>
                      </a:ln>
                    </wps:spPr>
                    <wps:txbx>
                      <w:txbxContent>
                        <w:p w14:paraId="644B4CD2">
                          <w:pPr>
                            <w:pStyle w:val="5"/>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1" o:spid="_x0000_s1026" o:spt="202" type="#_x0000_t202" style="position:absolute;left:0pt;margin-left:426.9pt;margin-top:-6.2pt;height:144pt;width:53pt;mso-wrap-distance-bottom:0pt;mso-wrap-distance-left:9pt;mso-wrap-distance-right:9pt;mso-wrap-distance-top:0pt;z-index:251660288;mso-width-relative:page;mso-height-relative:page;" filled="f" stroked="f" coordsize="21600,21600" o:gfxdata="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67sI2AAAAAsBAAAPAAAAAAAAAAEAIAAAACIA&#10;AABkcnMvZG93bnJldi54bWxQSwECFAAUAAAACACHTuJAxMakSUICAABuBAAADgAAAAAAAAABACAA&#10;AAAnAQAAZHJzL2Uyb0RvYy54bWxQSwUGAAAAAAYABgBZAQAA2wUAAAAA&#10;">
              <v:fill on="f" focussize="0,0"/>
              <v:stroke on="f" weight="0.5pt"/>
              <v:imagedata o:title=""/>
              <o:lock v:ext="edit" aspectratio="f"/>
              <v:textbox style="mso-fit-shape-to-text:t;">
                <w:txbxContent>
                  <w:p w14:paraId="644B4CD2">
                    <w:pPr>
                      <w:pStyle w:val="5"/>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99059">
    <w:pPr>
      <w:pStyle w:val="5"/>
    </w:pPr>
    <w:r>
      <mc:AlternateContent>
        <mc:Choice Requires="wps">
          <w:drawing>
            <wp:anchor distT="0" distB="0" distL="114300" distR="114300" simplePos="0" relativeHeight="251662336" behindDoc="0" locked="0" layoutInCell="1" allowOverlap="1">
              <wp:simplePos x="0" y="0"/>
              <wp:positionH relativeFrom="column">
                <wp:posOffset>2445385</wp:posOffset>
              </wp:positionH>
              <wp:positionV relativeFrom="paragraph">
                <wp:posOffset>-88900</wp:posOffset>
              </wp:positionV>
              <wp:extent cx="1257935" cy="443865"/>
              <wp:effectExtent l="0" t="0" r="0" b="0"/>
              <wp:wrapNone/>
              <wp:docPr id="2051536471" name="文本框 3"/>
              <wp:cNvGraphicFramePr/>
              <a:graphic xmlns:a="http://schemas.openxmlformats.org/drawingml/2006/main">
                <a:graphicData uri="http://schemas.microsoft.com/office/word/2010/wordprocessingShape">
                  <wps:wsp>
                    <wps:cNvSpPr txBox="1"/>
                    <wps:spPr>
                      <a:xfrm>
                        <a:off x="0" y="0"/>
                        <a:ext cx="1257960" cy="443986"/>
                      </a:xfrm>
                      <a:prstGeom prst="rect">
                        <a:avLst/>
                      </a:prstGeom>
                      <a:solidFill>
                        <a:schemeClr val="lt1"/>
                      </a:solidFill>
                      <a:ln w="6350">
                        <a:noFill/>
                      </a:ln>
                    </wps:spPr>
                    <wps:txbx>
                      <w:txbxContent>
                        <w:p w14:paraId="0EEF0F38">
                          <w:pPr>
                            <w:jc w:val="center"/>
                            <w:rPr>
                              <w:sz w:val="18"/>
                              <w:szCs w:val="18"/>
                            </w:rPr>
                          </w:pPr>
                          <w:r>
                            <w:rPr>
                              <w:rFonts w:hint="eastAsia"/>
                              <w:sz w:val="18"/>
                              <w:szCs w:val="18"/>
                            </w:rPr>
                            <w:t>安全等级：内部公开</w:t>
                          </w:r>
                        </w:p>
                        <w:p w14:paraId="190A6690">
                          <w:pPr>
                            <w:jc w:val="center"/>
                            <w:rPr>
                              <w:sz w:val="18"/>
                              <w:szCs w:val="18"/>
                            </w:rPr>
                          </w:pPr>
                          <w:r>
                            <w:rPr>
                              <w:sz w:val="18"/>
                              <w:szCs w:val="18"/>
                            </w:rPr>
                            <w:t>Internal Disclosure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192.55pt;margin-top:-7pt;height:34.95pt;width:99.05pt;z-index:251662336;mso-width-relative:page;mso-height-relative:page;" fillcolor="#FFFFFF [3201]" filled="t" stroked="f" coordsize="21600,21600" o:gfxdata="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aNFu1gAAAAoB&#10;AAAPAAAAAAAAAAEAIAAAACIAAABkcnMvZG93bnJldi54bWxQSwECFAAUAAAACACHTuJAWhPsvVYC&#10;AACYBAAADgAAAAAAAAABACAAAAAlAQAAZHJzL2Uyb0RvYy54bWxQSwUGAAAAAAYABgBZAQAA7QUA&#10;AAAA&#10;">
              <v:fill on="t" focussize="0,0"/>
              <v:stroke on="f" weight="0.5pt"/>
              <v:imagedata o:title=""/>
              <o:lock v:ext="edit" aspectratio="f"/>
              <v:textbox>
                <w:txbxContent>
                  <w:p w14:paraId="0EEF0F38">
                    <w:pPr>
                      <w:jc w:val="center"/>
                      <w:rPr>
                        <w:sz w:val="18"/>
                        <w:szCs w:val="18"/>
                      </w:rPr>
                    </w:pPr>
                    <w:r>
                      <w:rPr>
                        <w:rFonts w:hint="eastAsia"/>
                        <w:sz w:val="18"/>
                        <w:szCs w:val="18"/>
                      </w:rPr>
                      <w:t>安全等级：内部公开</w:t>
                    </w:r>
                  </w:p>
                  <w:p w14:paraId="190A6690">
                    <w:pPr>
                      <w:jc w:val="center"/>
                      <w:rPr>
                        <w:sz w:val="18"/>
                        <w:szCs w:val="18"/>
                      </w:rPr>
                    </w:pPr>
                    <w:r>
                      <w:rPr>
                        <w:sz w:val="18"/>
                        <w:szCs w:val="18"/>
                      </w:rPr>
                      <w:t>Internal Disclosure</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26D15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226D156">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9555" w:type="dxa"/>
      <w:tblInd w:w="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3"/>
      <w:gridCol w:w="2422"/>
      <w:gridCol w:w="2740"/>
    </w:tblGrid>
    <w:tr w14:paraId="5609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16" w:hRule="atLeast"/>
      </w:trPr>
      <w:tc>
        <w:tcPr>
          <w:tcW w:w="4393" w:type="dxa"/>
          <w:vMerge w:val="restart"/>
          <w:vAlign w:val="top"/>
        </w:tcPr>
        <w:p w14:paraId="3E187837">
          <w:pPr>
            <w:pStyle w:val="6"/>
            <w:pBdr>
              <w:top w:val="none" w:color="auto" w:sz="0" w:space="0"/>
              <w:left w:val="none" w:color="auto" w:sz="0" w:space="0"/>
              <w:bottom w:val="none" w:color="auto" w:sz="0" w:space="0"/>
              <w:right w:val="none" w:color="auto" w:sz="0" w:space="0"/>
            </w:pBdr>
            <w:jc w:val="left"/>
            <w:rPr>
              <w:rFonts w:hint="eastAsia" w:eastAsia="宋体"/>
              <w:sz w:val="24"/>
              <w:szCs w:val="24"/>
              <w:lang w:eastAsia="zh-CN"/>
            </w:rPr>
          </w:pPr>
          <w:r>
            <w:rPr>
              <w:rFonts w:hint="eastAsia" w:eastAsia="宋体"/>
              <w:sz w:val="24"/>
              <w:szCs w:val="24"/>
              <w:lang w:eastAsia="zh-CN"/>
            </w:rPr>
            <w:drawing>
              <wp:inline distT="0" distB="0" distL="114300" distR="114300">
                <wp:extent cx="659765" cy="183515"/>
                <wp:effectExtent l="0" t="0" r="6985" b="6350"/>
                <wp:docPr id="6" name="图片 14" descr="1-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1-logo"/>
                        <pic:cNvPicPr>
                          <a:picLocks noChangeAspect="1"/>
                        </pic:cNvPicPr>
                      </pic:nvPicPr>
                      <pic:blipFill>
                        <a:blip r:embed="rId1"/>
                        <a:stretch>
                          <a:fillRect/>
                        </a:stretch>
                      </pic:blipFill>
                      <pic:spPr>
                        <a:xfrm>
                          <a:off x="0" y="0"/>
                          <a:ext cx="659765" cy="183515"/>
                        </a:xfrm>
                        <a:prstGeom prst="rect">
                          <a:avLst/>
                        </a:prstGeom>
                        <a:noFill/>
                        <a:ln>
                          <a:noFill/>
                        </a:ln>
                      </pic:spPr>
                    </pic:pic>
                  </a:graphicData>
                </a:graphic>
              </wp:inline>
            </w:drawing>
          </w:r>
        </w:p>
        <w:p w14:paraId="678FDF52">
          <w:pPr>
            <w:jc w:val="center"/>
            <w:rPr>
              <w:rFonts w:hint="eastAsia"/>
              <w:b/>
              <w:sz w:val="24"/>
              <w:szCs w:val="24"/>
              <w:lang w:val="en-US" w:eastAsia="zh-CN"/>
            </w:rPr>
          </w:pPr>
          <w:r>
            <w:rPr>
              <w:rFonts w:hint="eastAsia"/>
              <w:b/>
              <w:sz w:val="24"/>
              <w:szCs w:val="24"/>
              <w:lang w:val="en-US" w:eastAsia="zh-CN"/>
            </w:rPr>
            <w:t>网络安全控制流程</w:t>
          </w:r>
        </w:p>
        <w:p w14:paraId="0B1CCAEB">
          <w:pPr>
            <w:jc w:val="center"/>
            <w:rPr>
              <w:rFonts w:hint="default" w:eastAsia="微软雅黑"/>
              <w:lang w:val="en-US" w:eastAsia="zh-CN"/>
            </w:rPr>
          </w:pPr>
          <w:r>
            <w:rPr>
              <w:rFonts w:hint="eastAsia"/>
              <w:b/>
              <w:sz w:val="24"/>
              <w:szCs w:val="24"/>
              <w:lang w:val="en-US" w:eastAsia="zh-CN"/>
            </w:rPr>
            <w:t>Network security control process</w:t>
          </w:r>
        </w:p>
      </w:tc>
      <w:tc>
        <w:tcPr>
          <w:tcW w:w="2422" w:type="dxa"/>
          <w:vAlign w:val="top"/>
        </w:tcPr>
        <w:p w14:paraId="48193EB6">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r>
            <w:rPr>
              <w:rFonts w:hint="eastAsia"/>
              <w:b/>
              <w:bCs/>
              <w:sz w:val="24"/>
              <w:szCs w:val="24"/>
              <w:vertAlign w:val="baseline"/>
              <w:lang w:val="en-US" w:eastAsia="zh-CN"/>
            </w:rPr>
            <w:t>文件编号</w:t>
          </w:r>
        </w:p>
        <w:p w14:paraId="420FA47A">
          <w:pPr>
            <w:pStyle w:val="6"/>
            <w:pBdr>
              <w:top w:val="none" w:color="auto" w:sz="0" w:space="0"/>
              <w:left w:val="none" w:color="auto" w:sz="0" w:space="0"/>
              <w:bottom w:val="none" w:color="auto" w:sz="0" w:space="0"/>
              <w:right w:val="none" w:color="auto" w:sz="0" w:space="0"/>
            </w:pBdr>
            <w:jc w:val="left"/>
            <w:rPr>
              <w:b/>
              <w:bCs/>
            </w:rPr>
          </w:pPr>
          <w:r>
            <w:rPr>
              <w:rFonts w:hint="eastAsia"/>
              <w:b/>
              <w:bCs/>
              <w:sz w:val="24"/>
              <w:szCs w:val="24"/>
              <w:vertAlign w:val="baseline"/>
              <w:lang w:val="en-US" w:eastAsia="zh-CN"/>
            </w:rPr>
            <w:t>Document No.：</w:t>
          </w:r>
        </w:p>
      </w:tc>
      <w:tc>
        <w:tcPr>
          <w:tcW w:w="2740" w:type="dxa"/>
          <w:vAlign w:val="top"/>
        </w:tcPr>
        <w:p w14:paraId="696CB355">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5E485E65">
          <w:pPr>
            <w:pStyle w:val="6"/>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RC-IT-02</w:t>
          </w:r>
        </w:p>
      </w:tc>
    </w:tr>
    <w:tr w14:paraId="65E4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3" w:type="dxa"/>
          <w:vMerge w:val="continue"/>
          <w:vAlign w:val="top"/>
        </w:tcPr>
        <w:p w14:paraId="541C98E3">
          <w:pPr>
            <w:pStyle w:val="6"/>
            <w:pBdr>
              <w:top w:val="none" w:color="auto" w:sz="0" w:space="0"/>
              <w:left w:val="none" w:color="auto" w:sz="0" w:space="0"/>
              <w:bottom w:val="none" w:color="auto" w:sz="0" w:space="0"/>
              <w:right w:val="none" w:color="auto" w:sz="0" w:space="0"/>
            </w:pBdr>
          </w:pPr>
        </w:p>
      </w:tc>
      <w:tc>
        <w:tcPr>
          <w:tcW w:w="2422" w:type="dxa"/>
          <w:vAlign w:val="top"/>
        </w:tcPr>
        <w:p w14:paraId="5F37F14B">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eastAsia="zh-CN"/>
            </w:rPr>
          </w:pPr>
          <w:r>
            <w:rPr>
              <w:rFonts w:hint="eastAsia"/>
              <w:b/>
              <w:bCs/>
              <w:sz w:val="24"/>
              <w:szCs w:val="24"/>
              <w:vertAlign w:val="baseline"/>
              <w:lang w:eastAsia="zh-CN"/>
            </w:rPr>
            <w:t>版本</w:t>
          </w:r>
        </w:p>
        <w:p w14:paraId="462ADD39">
          <w:pPr>
            <w:pStyle w:val="6"/>
            <w:pBdr>
              <w:top w:val="none" w:color="auto" w:sz="0" w:space="0"/>
              <w:left w:val="none" w:color="auto" w:sz="0" w:space="0"/>
              <w:bottom w:val="none" w:color="auto" w:sz="0" w:space="0"/>
              <w:right w:val="none" w:color="auto" w:sz="0" w:space="0"/>
            </w:pBdr>
            <w:jc w:val="left"/>
          </w:pPr>
          <w:r>
            <w:rPr>
              <w:rFonts w:hint="eastAsia"/>
              <w:b/>
              <w:bCs/>
              <w:sz w:val="24"/>
              <w:szCs w:val="24"/>
              <w:vertAlign w:val="baseline"/>
              <w:lang w:val="en-US" w:eastAsia="zh-CN"/>
            </w:rPr>
            <w:t>Version:</w:t>
          </w:r>
        </w:p>
      </w:tc>
      <w:tc>
        <w:tcPr>
          <w:tcW w:w="2740" w:type="dxa"/>
          <w:vAlign w:val="top"/>
        </w:tcPr>
        <w:p w14:paraId="45A16D6C">
          <w:pPr>
            <w:pStyle w:val="6"/>
            <w:pBdr>
              <w:top w:val="none" w:color="auto" w:sz="0" w:space="0"/>
              <w:left w:val="none" w:color="auto" w:sz="0" w:space="0"/>
              <w:bottom w:val="none" w:color="auto" w:sz="0" w:space="0"/>
              <w:right w:val="none" w:color="auto" w:sz="0" w:space="0"/>
            </w:pBdr>
            <w:jc w:val="left"/>
            <w:rPr>
              <w:rFonts w:hint="eastAsia"/>
              <w:b/>
              <w:bCs/>
              <w:sz w:val="24"/>
              <w:szCs w:val="24"/>
              <w:vertAlign w:val="baseline"/>
              <w:lang w:val="en-US" w:eastAsia="zh-CN"/>
            </w:rPr>
          </w:pPr>
        </w:p>
        <w:p w14:paraId="1CE359FC">
          <w:pPr>
            <w:pStyle w:val="6"/>
            <w:pBdr>
              <w:top w:val="none" w:color="auto" w:sz="0" w:space="0"/>
              <w:left w:val="none" w:color="auto" w:sz="0" w:space="0"/>
              <w:bottom w:val="none" w:color="auto" w:sz="0" w:space="0"/>
              <w:right w:val="none" w:color="auto" w:sz="0" w:space="0"/>
            </w:pBdr>
            <w:jc w:val="left"/>
            <w:rPr>
              <w:rFonts w:hint="default"/>
              <w:lang w:val="en-US"/>
            </w:rPr>
          </w:pPr>
          <w:r>
            <w:rPr>
              <w:rFonts w:hint="eastAsia"/>
              <w:b/>
              <w:bCs/>
              <w:sz w:val="24"/>
              <w:szCs w:val="24"/>
              <w:vertAlign w:val="baseline"/>
              <w:lang w:val="en-US" w:eastAsia="zh-CN"/>
            </w:rPr>
            <w:t>6.0</w:t>
          </w:r>
        </w:p>
      </w:tc>
    </w:tr>
  </w:tbl>
  <w:p w14:paraId="68991AEE">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36791"/>
    <w:multiLevelType w:val="singleLevel"/>
    <w:tmpl w:val="A2936791"/>
    <w:lvl w:ilvl="0" w:tentative="0">
      <w:start w:val="15"/>
      <w:numFmt w:val="decimal"/>
      <w:lvlText w:val="%1)"/>
      <w:lvlJc w:val="left"/>
      <w:pPr>
        <w:tabs>
          <w:tab w:val="left" w:pos="312"/>
        </w:tabs>
      </w:pPr>
    </w:lvl>
  </w:abstractNum>
  <w:abstractNum w:abstractNumId="1">
    <w:nsid w:val="DAE22906"/>
    <w:multiLevelType w:val="singleLevel"/>
    <w:tmpl w:val="DAE22906"/>
    <w:lvl w:ilvl="0" w:tentative="0">
      <w:start w:val="1"/>
      <w:numFmt w:val="bullet"/>
      <w:lvlText w:val=""/>
      <w:lvlJc w:val="left"/>
      <w:pPr>
        <w:tabs>
          <w:tab w:val="left" w:pos="420"/>
        </w:tabs>
        <w:ind w:left="840" w:hanging="420"/>
      </w:pPr>
      <w:rPr>
        <w:rFonts w:hint="default" w:ascii="Wingdings" w:hAnsi="Wingdings"/>
      </w:rPr>
    </w:lvl>
  </w:abstractNum>
  <w:abstractNum w:abstractNumId="2">
    <w:nsid w:val="FDFE721D"/>
    <w:multiLevelType w:val="singleLevel"/>
    <w:tmpl w:val="FDFE721D"/>
    <w:lvl w:ilvl="0" w:tentative="0">
      <w:start w:val="1"/>
      <w:numFmt w:val="bullet"/>
      <w:lvlText w:val=""/>
      <w:lvlJc w:val="left"/>
      <w:pPr>
        <w:ind w:left="420" w:hanging="420"/>
      </w:pPr>
      <w:rPr>
        <w:rFonts w:hint="default" w:ascii="Wingdings" w:hAnsi="Wingdings"/>
      </w:rPr>
    </w:lvl>
  </w:abstractNum>
  <w:abstractNum w:abstractNumId="3">
    <w:nsid w:val="17281EB0"/>
    <w:multiLevelType w:val="multilevel"/>
    <w:tmpl w:val="17281EB0"/>
    <w:lvl w:ilvl="0" w:tentative="0">
      <w:start w:val="1"/>
      <w:numFmt w:val="decimal"/>
      <w:pStyle w:val="20"/>
      <w:suff w:val="space"/>
      <w:lvlText w:val="%1."/>
      <w:lvlJc w:val="left"/>
      <w:pPr>
        <w:ind w:left="0" w:firstLine="0"/>
      </w:pPr>
      <w:rPr>
        <w:rFonts w:hint="eastAsia" w:ascii="微软雅黑" w:hAnsi="微软雅黑" w:eastAsia="微软雅黑" w:cs="Arial"/>
      </w:rPr>
    </w:lvl>
    <w:lvl w:ilvl="1" w:tentative="0">
      <w:start w:val="1"/>
      <w:numFmt w:val="decimal"/>
      <w:pStyle w:val="22"/>
      <w:suff w:val="space"/>
      <w:lvlText w:val="%1.%2."/>
      <w:lvlJc w:val="left"/>
      <w:pPr>
        <w:ind w:left="0" w:firstLine="0"/>
      </w:pPr>
      <w:rPr>
        <w:rFonts w:hint="eastAsia"/>
      </w:rPr>
    </w:lvl>
    <w:lvl w:ilvl="2" w:tentative="0">
      <w:start w:val="1"/>
      <w:numFmt w:val="decimal"/>
      <w:lvlRestart w:val="1"/>
      <w:pStyle w:val="26"/>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42084F11"/>
    <w:multiLevelType w:val="singleLevel"/>
    <w:tmpl w:val="42084F11"/>
    <w:lvl w:ilvl="0" w:tentative="0">
      <w:start w:val="1"/>
      <w:numFmt w:val="upperLetter"/>
      <w:lvlText w:val="%1."/>
      <w:lvlJc w:val="left"/>
      <w:pPr>
        <w:tabs>
          <w:tab w:val="left" w:pos="312"/>
        </w:tabs>
      </w:pPr>
    </w:lvl>
  </w:abstractNum>
  <w:abstractNum w:abstractNumId="5">
    <w:nsid w:val="4F79E500"/>
    <w:multiLevelType w:val="multilevel"/>
    <w:tmpl w:val="4F79E5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E8"/>
    <w:rsid w:val="00051146"/>
    <w:rsid w:val="0006678C"/>
    <w:rsid w:val="0006737A"/>
    <w:rsid w:val="00076EB9"/>
    <w:rsid w:val="0008274B"/>
    <w:rsid w:val="00092B97"/>
    <w:rsid w:val="000A303D"/>
    <w:rsid w:val="000C0E9D"/>
    <w:rsid w:val="000C3FCF"/>
    <w:rsid w:val="000C736A"/>
    <w:rsid w:val="000F61DF"/>
    <w:rsid w:val="00111B6F"/>
    <w:rsid w:val="00131A0F"/>
    <w:rsid w:val="00144A00"/>
    <w:rsid w:val="0016385E"/>
    <w:rsid w:val="00167FA2"/>
    <w:rsid w:val="001950E6"/>
    <w:rsid w:val="0019546C"/>
    <w:rsid w:val="001B3109"/>
    <w:rsid w:val="001F0E79"/>
    <w:rsid w:val="002442C1"/>
    <w:rsid w:val="00251E18"/>
    <w:rsid w:val="00286D03"/>
    <w:rsid w:val="002B1DB4"/>
    <w:rsid w:val="002B25E8"/>
    <w:rsid w:val="002B5014"/>
    <w:rsid w:val="002C0E89"/>
    <w:rsid w:val="002F3C35"/>
    <w:rsid w:val="00305723"/>
    <w:rsid w:val="003333F7"/>
    <w:rsid w:val="00333A1A"/>
    <w:rsid w:val="003348B2"/>
    <w:rsid w:val="00374BB6"/>
    <w:rsid w:val="003A0251"/>
    <w:rsid w:val="003A743D"/>
    <w:rsid w:val="003B4795"/>
    <w:rsid w:val="003B76CE"/>
    <w:rsid w:val="003B793C"/>
    <w:rsid w:val="003D1365"/>
    <w:rsid w:val="004305C1"/>
    <w:rsid w:val="0046438A"/>
    <w:rsid w:val="0047138A"/>
    <w:rsid w:val="004914BA"/>
    <w:rsid w:val="004968E1"/>
    <w:rsid w:val="004E20CC"/>
    <w:rsid w:val="004E4F37"/>
    <w:rsid w:val="00503A17"/>
    <w:rsid w:val="00504A73"/>
    <w:rsid w:val="00507530"/>
    <w:rsid w:val="00511B4E"/>
    <w:rsid w:val="00512D1B"/>
    <w:rsid w:val="00530D76"/>
    <w:rsid w:val="005463D7"/>
    <w:rsid w:val="00554C06"/>
    <w:rsid w:val="005666EF"/>
    <w:rsid w:val="005A7AC7"/>
    <w:rsid w:val="00601C05"/>
    <w:rsid w:val="006449CD"/>
    <w:rsid w:val="00680970"/>
    <w:rsid w:val="00683909"/>
    <w:rsid w:val="006A0457"/>
    <w:rsid w:val="006A289D"/>
    <w:rsid w:val="006A429A"/>
    <w:rsid w:val="006B517C"/>
    <w:rsid w:val="006B6CDB"/>
    <w:rsid w:val="006C005C"/>
    <w:rsid w:val="006C20C8"/>
    <w:rsid w:val="006D434B"/>
    <w:rsid w:val="006E43E7"/>
    <w:rsid w:val="00702623"/>
    <w:rsid w:val="00722550"/>
    <w:rsid w:val="00741192"/>
    <w:rsid w:val="007705CD"/>
    <w:rsid w:val="007727C2"/>
    <w:rsid w:val="007761F9"/>
    <w:rsid w:val="00780858"/>
    <w:rsid w:val="007971F2"/>
    <w:rsid w:val="007A2D5A"/>
    <w:rsid w:val="007A4234"/>
    <w:rsid w:val="007A798C"/>
    <w:rsid w:val="007B30C2"/>
    <w:rsid w:val="007B40A3"/>
    <w:rsid w:val="007C39FE"/>
    <w:rsid w:val="007D3CBF"/>
    <w:rsid w:val="007E228A"/>
    <w:rsid w:val="007E661C"/>
    <w:rsid w:val="007F7D46"/>
    <w:rsid w:val="00805A3A"/>
    <w:rsid w:val="00812098"/>
    <w:rsid w:val="00835D7A"/>
    <w:rsid w:val="00840DEA"/>
    <w:rsid w:val="008512E2"/>
    <w:rsid w:val="00857932"/>
    <w:rsid w:val="00875241"/>
    <w:rsid w:val="008D0AE9"/>
    <w:rsid w:val="008F630D"/>
    <w:rsid w:val="00932F9B"/>
    <w:rsid w:val="00954A19"/>
    <w:rsid w:val="00960DBB"/>
    <w:rsid w:val="0097320E"/>
    <w:rsid w:val="00974BF5"/>
    <w:rsid w:val="009B223C"/>
    <w:rsid w:val="009C537E"/>
    <w:rsid w:val="009C72B2"/>
    <w:rsid w:val="009F28B6"/>
    <w:rsid w:val="009F6C71"/>
    <w:rsid w:val="00A154DF"/>
    <w:rsid w:val="00A43217"/>
    <w:rsid w:val="00A50B89"/>
    <w:rsid w:val="00A63E7E"/>
    <w:rsid w:val="00A83A54"/>
    <w:rsid w:val="00AA1D8A"/>
    <w:rsid w:val="00AB22D4"/>
    <w:rsid w:val="00AB239E"/>
    <w:rsid w:val="00B329DF"/>
    <w:rsid w:val="00B37348"/>
    <w:rsid w:val="00B44B58"/>
    <w:rsid w:val="00B6537D"/>
    <w:rsid w:val="00B70959"/>
    <w:rsid w:val="00B74FE1"/>
    <w:rsid w:val="00B8428B"/>
    <w:rsid w:val="00BB4C03"/>
    <w:rsid w:val="00BB57E0"/>
    <w:rsid w:val="00BC3CAF"/>
    <w:rsid w:val="00BC62DE"/>
    <w:rsid w:val="00BD4A25"/>
    <w:rsid w:val="00BE1CC9"/>
    <w:rsid w:val="00BE4B23"/>
    <w:rsid w:val="00BE7416"/>
    <w:rsid w:val="00BF61FD"/>
    <w:rsid w:val="00C059FF"/>
    <w:rsid w:val="00C211FA"/>
    <w:rsid w:val="00C72300"/>
    <w:rsid w:val="00C851C7"/>
    <w:rsid w:val="00CB7C4D"/>
    <w:rsid w:val="00CC7208"/>
    <w:rsid w:val="00D03615"/>
    <w:rsid w:val="00D0698A"/>
    <w:rsid w:val="00D43E64"/>
    <w:rsid w:val="00D46825"/>
    <w:rsid w:val="00D46B05"/>
    <w:rsid w:val="00D55E8A"/>
    <w:rsid w:val="00D80840"/>
    <w:rsid w:val="00D869B6"/>
    <w:rsid w:val="00DA712D"/>
    <w:rsid w:val="00DB2F4A"/>
    <w:rsid w:val="00DC39A7"/>
    <w:rsid w:val="00DF0274"/>
    <w:rsid w:val="00DF559C"/>
    <w:rsid w:val="00DF7D51"/>
    <w:rsid w:val="00E0462D"/>
    <w:rsid w:val="00E06888"/>
    <w:rsid w:val="00E15F70"/>
    <w:rsid w:val="00E44521"/>
    <w:rsid w:val="00E55F4A"/>
    <w:rsid w:val="00E62891"/>
    <w:rsid w:val="00E66970"/>
    <w:rsid w:val="00E8446C"/>
    <w:rsid w:val="00E846DC"/>
    <w:rsid w:val="00E913B2"/>
    <w:rsid w:val="00E9619B"/>
    <w:rsid w:val="00EA058E"/>
    <w:rsid w:val="00EB170A"/>
    <w:rsid w:val="00EC3F22"/>
    <w:rsid w:val="00EF335E"/>
    <w:rsid w:val="00EF7268"/>
    <w:rsid w:val="00F02412"/>
    <w:rsid w:val="00F065B3"/>
    <w:rsid w:val="00F06803"/>
    <w:rsid w:val="00F21D9C"/>
    <w:rsid w:val="00F359CB"/>
    <w:rsid w:val="00F61A87"/>
    <w:rsid w:val="00F75890"/>
    <w:rsid w:val="00F7698E"/>
    <w:rsid w:val="00F83627"/>
    <w:rsid w:val="00F91A1E"/>
    <w:rsid w:val="00FA657F"/>
    <w:rsid w:val="00FD6206"/>
    <w:rsid w:val="00FE043F"/>
    <w:rsid w:val="00FE48AC"/>
    <w:rsid w:val="016A6FD7"/>
    <w:rsid w:val="019F1377"/>
    <w:rsid w:val="01BF37C7"/>
    <w:rsid w:val="0273635F"/>
    <w:rsid w:val="0329756C"/>
    <w:rsid w:val="035221C3"/>
    <w:rsid w:val="04E52EB2"/>
    <w:rsid w:val="051313FD"/>
    <w:rsid w:val="061439B5"/>
    <w:rsid w:val="071874D5"/>
    <w:rsid w:val="07560BD5"/>
    <w:rsid w:val="07B032BA"/>
    <w:rsid w:val="08581A70"/>
    <w:rsid w:val="08B52B93"/>
    <w:rsid w:val="09293C1C"/>
    <w:rsid w:val="0A5B7E05"/>
    <w:rsid w:val="0A8F3F52"/>
    <w:rsid w:val="0AB47515"/>
    <w:rsid w:val="0B78651A"/>
    <w:rsid w:val="0BAA1044"/>
    <w:rsid w:val="0C912D93"/>
    <w:rsid w:val="0CA35A93"/>
    <w:rsid w:val="0D29243C"/>
    <w:rsid w:val="0D8B5E9F"/>
    <w:rsid w:val="0DE4307F"/>
    <w:rsid w:val="0E2240AB"/>
    <w:rsid w:val="0E6B438E"/>
    <w:rsid w:val="0F24110D"/>
    <w:rsid w:val="0F5372FC"/>
    <w:rsid w:val="0F5D461F"/>
    <w:rsid w:val="0F9B67EE"/>
    <w:rsid w:val="0FB0321C"/>
    <w:rsid w:val="10134CDE"/>
    <w:rsid w:val="10556A3F"/>
    <w:rsid w:val="10B01BC2"/>
    <w:rsid w:val="10E7265E"/>
    <w:rsid w:val="10F66315"/>
    <w:rsid w:val="11C4105E"/>
    <w:rsid w:val="12421EF6"/>
    <w:rsid w:val="13521EB6"/>
    <w:rsid w:val="137934AE"/>
    <w:rsid w:val="13E167CF"/>
    <w:rsid w:val="14083530"/>
    <w:rsid w:val="1490546B"/>
    <w:rsid w:val="14A30D26"/>
    <w:rsid w:val="153320AA"/>
    <w:rsid w:val="158C5316"/>
    <w:rsid w:val="15E300E0"/>
    <w:rsid w:val="171E71A9"/>
    <w:rsid w:val="1740460A"/>
    <w:rsid w:val="18075128"/>
    <w:rsid w:val="185038AC"/>
    <w:rsid w:val="191C4C03"/>
    <w:rsid w:val="19C81B86"/>
    <w:rsid w:val="1A693E78"/>
    <w:rsid w:val="1A9A493A"/>
    <w:rsid w:val="1AA66E7A"/>
    <w:rsid w:val="1BB2184F"/>
    <w:rsid w:val="1CBD208D"/>
    <w:rsid w:val="1DA9214E"/>
    <w:rsid w:val="1E583BC9"/>
    <w:rsid w:val="1F43738D"/>
    <w:rsid w:val="1F8F4381"/>
    <w:rsid w:val="1F8F7049"/>
    <w:rsid w:val="21984239"/>
    <w:rsid w:val="219A700D"/>
    <w:rsid w:val="222F35C6"/>
    <w:rsid w:val="225C42C2"/>
    <w:rsid w:val="22EB48F1"/>
    <w:rsid w:val="239B7B32"/>
    <w:rsid w:val="23CD4746"/>
    <w:rsid w:val="23EA22BD"/>
    <w:rsid w:val="242332EA"/>
    <w:rsid w:val="25DA0320"/>
    <w:rsid w:val="2610184F"/>
    <w:rsid w:val="262B069F"/>
    <w:rsid w:val="26B557B7"/>
    <w:rsid w:val="26CA3EF0"/>
    <w:rsid w:val="27321A96"/>
    <w:rsid w:val="27D30EC2"/>
    <w:rsid w:val="29437F8A"/>
    <w:rsid w:val="296C5B31"/>
    <w:rsid w:val="29A06291"/>
    <w:rsid w:val="2A81008B"/>
    <w:rsid w:val="2AD96DF8"/>
    <w:rsid w:val="2B65616F"/>
    <w:rsid w:val="2C385DA0"/>
    <w:rsid w:val="2CE7317E"/>
    <w:rsid w:val="2D97669E"/>
    <w:rsid w:val="2FB8E705"/>
    <w:rsid w:val="2FCC2A87"/>
    <w:rsid w:val="30204B81"/>
    <w:rsid w:val="30C419B0"/>
    <w:rsid w:val="31517FA2"/>
    <w:rsid w:val="319A1EE7"/>
    <w:rsid w:val="31AA1D08"/>
    <w:rsid w:val="31B859B9"/>
    <w:rsid w:val="322C1F03"/>
    <w:rsid w:val="327F64D7"/>
    <w:rsid w:val="32AF043E"/>
    <w:rsid w:val="330B1B18"/>
    <w:rsid w:val="33134E71"/>
    <w:rsid w:val="333C43C8"/>
    <w:rsid w:val="335A4A65"/>
    <w:rsid w:val="33DE5782"/>
    <w:rsid w:val="354E4AEC"/>
    <w:rsid w:val="356E2833"/>
    <w:rsid w:val="35E27945"/>
    <w:rsid w:val="35FB2783"/>
    <w:rsid w:val="368315AB"/>
    <w:rsid w:val="37280BE3"/>
    <w:rsid w:val="37DFEA9A"/>
    <w:rsid w:val="38012C35"/>
    <w:rsid w:val="38710AB3"/>
    <w:rsid w:val="38944412"/>
    <w:rsid w:val="38CA7D80"/>
    <w:rsid w:val="39CF9561"/>
    <w:rsid w:val="3A2B6F44"/>
    <w:rsid w:val="3A2E433E"/>
    <w:rsid w:val="3A3C6A5B"/>
    <w:rsid w:val="3BB418AB"/>
    <w:rsid w:val="3C6109FB"/>
    <w:rsid w:val="3DCF74DE"/>
    <w:rsid w:val="3DD5404F"/>
    <w:rsid w:val="3E51434F"/>
    <w:rsid w:val="3EF101E4"/>
    <w:rsid w:val="3F5F2620"/>
    <w:rsid w:val="3FEE7A67"/>
    <w:rsid w:val="40E025BF"/>
    <w:rsid w:val="40E44F98"/>
    <w:rsid w:val="41511589"/>
    <w:rsid w:val="41CE268F"/>
    <w:rsid w:val="427D45B8"/>
    <w:rsid w:val="43762FDE"/>
    <w:rsid w:val="438E5641"/>
    <w:rsid w:val="44570970"/>
    <w:rsid w:val="446D077D"/>
    <w:rsid w:val="45A214BB"/>
    <w:rsid w:val="45D64208"/>
    <w:rsid w:val="45E561F9"/>
    <w:rsid w:val="45E71F71"/>
    <w:rsid w:val="45F621B4"/>
    <w:rsid w:val="46965745"/>
    <w:rsid w:val="47571378"/>
    <w:rsid w:val="47BD4F9E"/>
    <w:rsid w:val="48E72288"/>
    <w:rsid w:val="49331CE6"/>
    <w:rsid w:val="49CB3958"/>
    <w:rsid w:val="4A104DEA"/>
    <w:rsid w:val="4B337A07"/>
    <w:rsid w:val="4B7A7324"/>
    <w:rsid w:val="4BC215E2"/>
    <w:rsid w:val="4C0055BA"/>
    <w:rsid w:val="4D9807B0"/>
    <w:rsid w:val="4D9C1893"/>
    <w:rsid w:val="4D9E7AA8"/>
    <w:rsid w:val="4EB92CBE"/>
    <w:rsid w:val="4EED066E"/>
    <w:rsid w:val="4F1D07B2"/>
    <w:rsid w:val="4F457D08"/>
    <w:rsid w:val="4FCD55C2"/>
    <w:rsid w:val="4FF35CDD"/>
    <w:rsid w:val="50615016"/>
    <w:rsid w:val="51AE7166"/>
    <w:rsid w:val="51DB39D5"/>
    <w:rsid w:val="525766D1"/>
    <w:rsid w:val="53226CDE"/>
    <w:rsid w:val="533A6DED"/>
    <w:rsid w:val="54AB4AB2"/>
    <w:rsid w:val="54EF2323"/>
    <w:rsid w:val="55B46D55"/>
    <w:rsid w:val="56BA5480"/>
    <w:rsid w:val="572EFBB8"/>
    <w:rsid w:val="574216FD"/>
    <w:rsid w:val="57DF00B9"/>
    <w:rsid w:val="57F5A7E7"/>
    <w:rsid w:val="58243F19"/>
    <w:rsid w:val="585520DE"/>
    <w:rsid w:val="59772958"/>
    <w:rsid w:val="59AD307A"/>
    <w:rsid w:val="5A370F40"/>
    <w:rsid w:val="5A736072"/>
    <w:rsid w:val="5AA56967"/>
    <w:rsid w:val="5AE177B3"/>
    <w:rsid w:val="5B6C6EAF"/>
    <w:rsid w:val="5C8A0253"/>
    <w:rsid w:val="5C910B6E"/>
    <w:rsid w:val="5D6D0B56"/>
    <w:rsid w:val="5DEB19EC"/>
    <w:rsid w:val="5E437E22"/>
    <w:rsid w:val="5EDD61AF"/>
    <w:rsid w:val="5F11698F"/>
    <w:rsid w:val="5FE255F3"/>
    <w:rsid w:val="5FF7C4A8"/>
    <w:rsid w:val="60201F9B"/>
    <w:rsid w:val="60847A10"/>
    <w:rsid w:val="60C6278F"/>
    <w:rsid w:val="617C3A5E"/>
    <w:rsid w:val="628472D5"/>
    <w:rsid w:val="62983E41"/>
    <w:rsid w:val="62C63C6B"/>
    <w:rsid w:val="62C64E6D"/>
    <w:rsid w:val="63731CCF"/>
    <w:rsid w:val="637A3FCD"/>
    <w:rsid w:val="639C0C65"/>
    <w:rsid w:val="63BE1AC0"/>
    <w:rsid w:val="6429154F"/>
    <w:rsid w:val="64300B2F"/>
    <w:rsid w:val="64AD2180"/>
    <w:rsid w:val="64B33C3A"/>
    <w:rsid w:val="65A17F37"/>
    <w:rsid w:val="660B715E"/>
    <w:rsid w:val="663530C5"/>
    <w:rsid w:val="67530DBD"/>
    <w:rsid w:val="679BD72E"/>
    <w:rsid w:val="679F4002"/>
    <w:rsid w:val="694320DB"/>
    <w:rsid w:val="69CE1EFC"/>
    <w:rsid w:val="6B011BE9"/>
    <w:rsid w:val="6B853828"/>
    <w:rsid w:val="6B95DDC0"/>
    <w:rsid w:val="6C3F084B"/>
    <w:rsid w:val="6D2B6701"/>
    <w:rsid w:val="6E202809"/>
    <w:rsid w:val="6E3557E7"/>
    <w:rsid w:val="6E3B6AC8"/>
    <w:rsid w:val="6F285225"/>
    <w:rsid w:val="6F3911E0"/>
    <w:rsid w:val="6F3F65FF"/>
    <w:rsid w:val="6FAFDAFE"/>
    <w:rsid w:val="6FB7138F"/>
    <w:rsid w:val="6FBFE158"/>
    <w:rsid w:val="6FD32C89"/>
    <w:rsid w:val="71092E34"/>
    <w:rsid w:val="71500A63"/>
    <w:rsid w:val="71A453C4"/>
    <w:rsid w:val="71F852AC"/>
    <w:rsid w:val="71F87130"/>
    <w:rsid w:val="72BA43E6"/>
    <w:rsid w:val="73520C23"/>
    <w:rsid w:val="737D0F13"/>
    <w:rsid w:val="73C53042"/>
    <w:rsid w:val="73CC5482"/>
    <w:rsid w:val="73ED2599"/>
    <w:rsid w:val="741C7D0C"/>
    <w:rsid w:val="748102EA"/>
    <w:rsid w:val="74C74B98"/>
    <w:rsid w:val="74F35F6F"/>
    <w:rsid w:val="75706FDE"/>
    <w:rsid w:val="75735A9C"/>
    <w:rsid w:val="75BD0A64"/>
    <w:rsid w:val="75D91027"/>
    <w:rsid w:val="76742AFE"/>
    <w:rsid w:val="7677439C"/>
    <w:rsid w:val="767E8D15"/>
    <w:rsid w:val="768A40CF"/>
    <w:rsid w:val="7691736B"/>
    <w:rsid w:val="76B71FB4"/>
    <w:rsid w:val="778D031B"/>
    <w:rsid w:val="77F747E6"/>
    <w:rsid w:val="78C7785D"/>
    <w:rsid w:val="78E33F6B"/>
    <w:rsid w:val="78E35216"/>
    <w:rsid w:val="79CF63E5"/>
    <w:rsid w:val="7A0643B5"/>
    <w:rsid w:val="7AB1935F"/>
    <w:rsid w:val="7B2956D5"/>
    <w:rsid w:val="7B590514"/>
    <w:rsid w:val="7BBF018A"/>
    <w:rsid w:val="7BC6204D"/>
    <w:rsid w:val="7BF99D80"/>
    <w:rsid w:val="7BFE3DF2"/>
    <w:rsid w:val="7C696F46"/>
    <w:rsid w:val="7C951EFA"/>
    <w:rsid w:val="7CBA3278"/>
    <w:rsid w:val="7E2748F9"/>
    <w:rsid w:val="7E470B2E"/>
    <w:rsid w:val="7E957AB5"/>
    <w:rsid w:val="7ECD36F3"/>
    <w:rsid w:val="7EF63971"/>
    <w:rsid w:val="7F0306BC"/>
    <w:rsid w:val="7F2F8C46"/>
    <w:rsid w:val="7F63AF59"/>
    <w:rsid w:val="7F714ABA"/>
    <w:rsid w:val="7F7A41FD"/>
    <w:rsid w:val="7F9E7B62"/>
    <w:rsid w:val="7FD32DCF"/>
    <w:rsid w:val="7FDD0159"/>
    <w:rsid w:val="7FDED445"/>
    <w:rsid w:val="7FDFF432"/>
    <w:rsid w:val="7FEF85C4"/>
    <w:rsid w:val="A7BF37DD"/>
    <w:rsid w:val="B7E97612"/>
    <w:rsid w:val="BB97D9D6"/>
    <w:rsid w:val="BDFDCFD9"/>
    <w:rsid w:val="BF6F2462"/>
    <w:rsid w:val="BFE3E04C"/>
    <w:rsid w:val="BFFD1BDE"/>
    <w:rsid w:val="BFFFCF0E"/>
    <w:rsid w:val="BFFFE50D"/>
    <w:rsid w:val="CE7D68EC"/>
    <w:rsid w:val="D36D9FFC"/>
    <w:rsid w:val="DF9FB9E2"/>
    <w:rsid w:val="E4BDF8F6"/>
    <w:rsid w:val="E6BD7DEF"/>
    <w:rsid w:val="EAFF0D09"/>
    <w:rsid w:val="EFDD7F5A"/>
    <w:rsid w:val="EFDF9A05"/>
    <w:rsid w:val="F5F2B093"/>
    <w:rsid w:val="F75F433F"/>
    <w:rsid w:val="F75F9990"/>
    <w:rsid w:val="F7BCA527"/>
    <w:rsid w:val="F9FEFB2A"/>
    <w:rsid w:val="FBD7A9D7"/>
    <w:rsid w:val="FCFFEE39"/>
    <w:rsid w:val="FDFF5C4C"/>
    <w:rsid w:val="FDFF64B4"/>
    <w:rsid w:val="FEFBC519"/>
    <w:rsid w:val="FF69F8CB"/>
    <w:rsid w:val="FFD34157"/>
    <w:rsid w:val="FFDE9632"/>
    <w:rsid w:val="FFEDA98D"/>
    <w:rsid w:val="FFFB91CB"/>
    <w:rsid w:val="FFFE8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0" w:lineRule="atLeast"/>
      <w:jc w:val="both"/>
    </w:pPr>
    <w:rPr>
      <w:rFonts w:ascii="Arial" w:hAnsi="Arial" w:eastAsia="微软雅黑"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tLeast"/>
      <w:outlineLvl w:val="0"/>
    </w:pPr>
    <w:rPr>
      <w:b/>
      <w:bCs/>
      <w:kern w:val="44"/>
      <w:sz w:val="44"/>
      <w:szCs w:val="44"/>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annotation text"/>
    <w:basedOn w:val="1"/>
    <w:link w:val="33"/>
    <w:unhideWhenUsed/>
    <w:qFormat/>
    <w:uiPriority w:val="99"/>
    <w:pPr>
      <w:spacing w:line="240" w:lineRule="auto"/>
    </w:pPr>
    <w:rPr>
      <w:sz w:val="20"/>
      <w:szCs w:val="20"/>
    </w:rPr>
  </w:style>
  <w:style w:type="paragraph" w:styleId="4">
    <w:name w:val="Body Text Indent"/>
    <w:basedOn w:val="1"/>
    <w:link w:val="19"/>
    <w:qFormat/>
    <w:uiPriority w:val="0"/>
    <w:pPr>
      <w:widowControl w:val="0"/>
      <w:spacing w:before="100" w:beforeAutospacing="1" w:after="100" w:afterAutospacing="1" w:line="240" w:lineRule="auto"/>
      <w:ind w:left="240" w:leftChars="100"/>
    </w:pPr>
    <w:rPr>
      <w:rFonts w:eastAsia="宋体" w:cs="Arial"/>
      <w:sz w:val="20"/>
      <w:szCs w:val="24"/>
    </w:rPr>
  </w:style>
  <w:style w:type="paragraph" w:styleId="5">
    <w:name w:val="footer"/>
    <w:basedOn w:val="1"/>
    <w:link w:val="16"/>
    <w:unhideWhenUsed/>
    <w:qFormat/>
    <w:uiPriority w:val="99"/>
    <w:pPr>
      <w:tabs>
        <w:tab w:val="center" w:pos="4153"/>
        <w:tab w:val="right" w:pos="8306"/>
      </w:tabs>
      <w:snapToGrid w:val="0"/>
      <w:spacing w:line="240" w:lineRule="atLeast"/>
      <w:jc w:val="left"/>
    </w:pPr>
    <w:rPr>
      <w:sz w:val="18"/>
      <w:szCs w:val="18"/>
    </w:rPr>
  </w:style>
  <w:style w:type="paragraph" w:styleId="6">
    <w:name w:val="header"/>
    <w:basedOn w:val="1"/>
    <w:link w:val="15"/>
    <w:unhideWhenUsed/>
    <w:qFormat/>
    <w:uiPriority w:val="99"/>
    <w:pPr>
      <w:tabs>
        <w:tab w:val="center" w:pos="4153"/>
        <w:tab w:val="right" w:pos="8306"/>
      </w:tabs>
      <w:snapToGrid w:val="0"/>
      <w:spacing w:line="240" w:lineRule="atLeast"/>
      <w:jc w:val="center"/>
    </w:pPr>
    <w:rPr>
      <w:sz w:val="18"/>
      <w:szCs w:val="18"/>
    </w:rPr>
  </w:style>
  <w:style w:type="paragraph" w:styleId="7">
    <w:name w:val="toc 1"/>
    <w:basedOn w:val="1"/>
    <w:next w:val="1"/>
    <w:unhideWhenUsed/>
    <w:qFormat/>
    <w:uiPriority w:val="39"/>
    <w:pPr>
      <w:tabs>
        <w:tab w:val="right" w:leader="dot" w:pos="9628"/>
      </w:tabs>
    </w:pPr>
    <w:rPr>
      <w:rFonts w:ascii="微软雅黑" w:hAnsi="微软雅黑" w:cs="微软雅黑"/>
      <w:b/>
      <w:bCs/>
      <w:sz w:val="24"/>
      <w:szCs w:val="24"/>
    </w:rPr>
  </w:style>
  <w:style w:type="paragraph" w:styleId="8">
    <w:name w:val="toc 2"/>
    <w:basedOn w:val="1"/>
    <w:next w:val="1"/>
    <w:unhideWhenUsed/>
    <w:qFormat/>
    <w:uiPriority w:val="39"/>
    <w:pPr>
      <w:ind w:left="200" w:leftChars="200"/>
    </w:pPr>
    <w:rPr>
      <w:sz w:val="20"/>
    </w:rPr>
  </w:style>
  <w:style w:type="paragraph" w:styleId="9">
    <w:name w:val="annotation subject"/>
    <w:basedOn w:val="3"/>
    <w:next w:val="3"/>
    <w:link w:val="34"/>
    <w:unhideWhenUsed/>
    <w:qFormat/>
    <w:uiPriority w:val="99"/>
    <w:pPr>
      <w:spacing w:line="0" w:lineRule="atLeast"/>
      <w:jc w:val="left"/>
    </w:pPr>
    <w:rPr>
      <w:b/>
      <w:bCs/>
      <w:sz w:val="21"/>
      <w:szCs w:val="22"/>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467886" w:themeColor="hyperlink"/>
      <w:u w:val="single"/>
      <w14:textFill>
        <w14:solidFill>
          <w14:schemeClr w14:val="hlink"/>
        </w14:solidFill>
      </w14:textFill>
    </w:rPr>
  </w:style>
  <w:style w:type="character" w:styleId="14">
    <w:name w:val="annotation reference"/>
    <w:basedOn w:val="12"/>
    <w:unhideWhenUsed/>
    <w:qFormat/>
    <w:uiPriority w:val="99"/>
    <w:rPr>
      <w:sz w:val="16"/>
      <w:szCs w:val="16"/>
    </w:rPr>
  </w:style>
  <w:style w:type="character" w:customStyle="1" w:styleId="15">
    <w:name w:val="页眉 字符"/>
    <w:basedOn w:val="12"/>
    <w:link w:val="6"/>
    <w:qFormat/>
    <w:uiPriority w:val="99"/>
    <w:rPr>
      <w:sz w:val="18"/>
      <w:szCs w:val="18"/>
    </w:rPr>
  </w:style>
  <w:style w:type="character" w:customStyle="1" w:styleId="16">
    <w:name w:val="页脚 字符"/>
    <w:basedOn w:val="12"/>
    <w:link w:val="5"/>
    <w:qFormat/>
    <w:uiPriority w:val="99"/>
    <w:rPr>
      <w:sz w:val="18"/>
      <w:szCs w:val="18"/>
    </w:rPr>
  </w:style>
  <w:style w:type="character" w:customStyle="1" w:styleId="17">
    <w:name w:val="未处理的提及1"/>
    <w:basedOn w:val="12"/>
    <w:unhideWhenUsed/>
    <w:qFormat/>
    <w:uiPriority w:val="99"/>
    <w:rPr>
      <w:color w:val="605E5C"/>
      <w:shd w:val="clear" w:color="auto" w:fill="E1DFDD"/>
    </w:rPr>
  </w:style>
  <w:style w:type="paragraph" w:customStyle="1" w:styleId="18">
    <w:name w:val="List Paragraph"/>
    <w:basedOn w:val="1"/>
    <w:unhideWhenUsed/>
    <w:qFormat/>
    <w:uiPriority w:val="99"/>
    <w:pPr>
      <w:ind w:firstLine="420" w:firstLineChars="200"/>
    </w:pPr>
  </w:style>
  <w:style w:type="character" w:customStyle="1" w:styleId="19">
    <w:name w:val="正文文本缩进 字符"/>
    <w:basedOn w:val="12"/>
    <w:link w:val="4"/>
    <w:qFormat/>
    <w:uiPriority w:val="0"/>
    <w:rPr>
      <w:rFonts w:eastAsia="宋体" w:cs="Arial"/>
      <w:kern w:val="2"/>
      <w:szCs w:val="24"/>
    </w:rPr>
  </w:style>
  <w:style w:type="paragraph" w:customStyle="1" w:styleId="20">
    <w:name w:val="CQ-1级标题样式"/>
    <w:basedOn w:val="4"/>
    <w:link w:val="21"/>
    <w:qFormat/>
    <w:uiPriority w:val="0"/>
    <w:pPr>
      <w:numPr>
        <w:ilvl w:val="0"/>
        <w:numId w:val="1"/>
      </w:numPr>
      <w:spacing w:before="312" w:beforeLines="100" w:beforeAutospacing="0" w:after="0" w:afterAutospacing="0" w:line="360" w:lineRule="auto"/>
      <w:ind w:leftChars="0"/>
      <w:jc w:val="left"/>
      <w:outlineLvl w:val="0"/>
    </w:pPr>
    <w:rPr>
      <w:rFonts w:ascii="微软雅黑" w:hAnsi="微软雅黑" w:eastAsia="微软雅黑"/>
      <w:b/>
      <w:sz w:val="24"/>
      <w:szCs w:val="21"/>
    </w:rPr>
  </w:style>
  <w:style w:type="character" w:customStyle="1" w:styleId="21">
    <w:name w:val="CQ-1级标题样式 字符"/>
    <w:basedOn w:val="19"/>
    <w:link w:val="20"/>
    <w:qFormat/>
    <w:uiPriority w:val="0"/>
    <w:rPr>
      <w:rFonts w:ascii="微软雅黑" w:hAnsi="微软雅黑" w:eastAsia="宋体" w:cs="Arial"/>
      <w:b/>
      <w:kern w:val="2"/>
      <w:sz w:val="24"/>
      <w:szCs w:val="21"/>
    </w:rPr>
  </w:style>
  <w:style w:type="paragraph" w:customStyle="1" w:styleId="22">
    <w:name w:val="CQ-2级标题样式"/>
    <w:basedOn w:val="4"/>
    <w:link w:val="23"/>
    <w:qFormat/>
    <w:uiPriority w:val="0"/>
    <w:pPr>
      <w:numPr>
        <w:ilvl w:val="1"/>
        <w:numId w:val="1"/>
      </w:numPr>
      <w:spacing w:beforeLines="100" w:beforeAutospacing="0" w:after="0" w:afterAutospacing="0" w:line="360" w:lineRule="auto"/>
      <w:ind w:leftChars="0"/>
      <w:jc w:val="left"/>
      <w:outlineLvl w:val="1"/>
    </w:pPr>
    <w:rPr>
      <w:rFonts w:ascii="微软雅黑" w:hAnsi="微软雅黑" w:eastAsia="微软雅黑"/>
      <w:b/>
      <w:bCs/>
      <w:sz w:val="24"/>
    </w:rPr>
  </w:style>
  <w:style w:type="character" w:customStyle="1" w:styleId="23">
    <w:name w:val="CQ-2级标题样式 字符"/>
    <w:basedOn w:val="19"/>
    <w:link w:val="22"/>
    <w:qFormat/>
    <w:uiPriority w:val="0"/>
    <w:rPr>
      <w:rFonts w:ascii="微软雅黑" w:hAnsi="微软雅黑" w:eastAsia="宋体" w:cs="Arial"/>
      <w:b/>
      <w:bCs/>
      <w:kern w:val="2"/>
      <w:sz w:val="24"/>
      <w:szCs w:val="24"/>
    </w:rPr>
  </w:style>
  <w:style w:type="character" w:customStyle="1" w:styleId="24">
    <w:name w:val="标题 1 字符"/>
    <w:basedOn w:val="12"/>
    <w:link w:val="2"/>
    <w:qFormat/>
    <w:uiPriority w:val="9"/>
    <w:rPr>
      <w:b/>
      <w:bCs/>
      <w:kern w:val="44"/>
      <w:sz w:val="44"/>
      <w:szCs w:val="44"/>
    </w:rPr>
  </w:style>
  <w:style w:type="paragraph" w:customStyle="1" w:styleId="25">
    <w:name w:val="TOC 标题1"/>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104862" w:themeColor="accent1" w:themeShade="BF"/>
      <w:kern w:val="0"/>
      <w:sz w:val="32"/>
      <w:szCs w:val="32"/>
    </w:rPr>
  </w:style>
  <w:style w:type="paragraph" w:customStyle="1" w:styleId="26">
    <w:name w:val="CQ-3级标题样式"/>
    <w:basedOn w:val="1"/>
    <w:link w:val="27"/>
    <w:qFormat/>
    <w:uiPriority w:val="0"/>
    <w:pPr>
      <w:numPr>
        <w:ilvl w:val="2"/>
        <w:numId w:val="1"/>
      </w:numPr>
      <w:spacing w:line="360" w:lineRule="auto"/>
      <w:jc w:val="left"/>
    </w:pPr>
    <w:rPr>
      <w:rFonts w:ascii="微软雅黑" w:hAnsi="微软雅黑"/>
      <w:sz w:val="20"/>
      <w:szCs w:val="20"/>
    </w:rPr>
  </w:style>
  <w:style w:type="character" w:customStyle="1" w:styleId="27">
    <w:name w:val="CQ-3级标题样式 字符"/>
    <w:basedOn w:val="12"/>
    <w:link w:val="26"/>
    <w:qFormat/>
    <w:uiPriority w:val="0"/>
    <w:rPr>
      <w:rFonts w:ascii="微软雅黑" w:hAnsi="微软雅黑"/>
      <w:kern w:val="2"/>
    </w:rPr>
  </w:style>
  <w:style w:type="character" w:customStyle="1" w:styleId="28">
    <w:name w:val="Placeholder Text"/>
    <w:basedOn w:val="12"/>
    <w:unhideWhenUsed/>
    <w:qFormat/>
    <w:uiPriority w:val="99"/>
    <w:rPr>
      <w:color w:val="666666"/>
    </w:rPr>
  </w:style>
  <w:style w:type="paragraph" w:customStyle="1" w:styleId="29">
    <w:name w:val="CQ-正文样式"/>
    <w:basedOn w:val="1"/>
    <w:link w:val="30"/>
    <w:qFormat/>
    <w:uiPriority w:val="0"/>
    <w:pPr>
      <w:spacing w:line="360" w:lineRule="auto"/>
      <w:jc w:val="left"/>
    </w:pPr>
    <w:rPr>
      <w:sz w:val="20"/>
    </w:rPr>
  </w:style>
  <w:style w:type="character" w:customStyle="1" w:styleId="30">
    <w:name w:val="CQ-正文样式 字符"/>
    <w:basedOn w:val="12"/>
    <w:link w:val="29"/>
    <w:qFormat/>
    <w:uiPriority w:val="0"/>
    <w:rPr>
      <w:kern w:val="2"/>
      <w:szCs w:val="22"/>
    </w:rPr>
  </w:style>
  <w:style w:type="paragraph" w:customStyle="1" w:styleId="31">
    <w:name w:val="CQ-居中1级标题"/>
    <w:basedOn w:val="26"/>
    <w:link w:val="32"/>
    <w:qFormat/>
    <w:uiPriority w:val="0"/>
    <w:pPr>
      <w:numPr>
        <w:ilvl w:val="0"/>
        <w:numId w:val="0"/>
      </w:numPr>
      <w:jc w:val="center"/>
    </w:pPr>
    <w:rPr>
      <w:b/>
      <w:sz w:val="28"/>
    </w:rPr>
  </w:style>
  <w:style w:type="character" w:customStyle="1" w:styleId="32">
    <w:name w:val="CQ-居中1级标题 字符"/>
    <w:basedOn w:val="27"/>
    <w:link w:val="31"/>
    <w:qFormat/>
    <w:uiPriority w:val="0"/>
    <w:rPr>
      <w:rFonts w:ascii="微软雅黑" w:hAnsi="微软雅黑"/>
      <w:b/>
      <w:kern w:val="2"/>
      <w:sz w:val="28"/>
    </w:rPr>
  </w:style>
  <w:style w:type="character" w:customStyle="1" w:styleId="33">
    <w:name w:val="批注文字 字符"/>
    <w:basedOn w:val="12"/>
    <w:link w:val="3"/>
    <w:qFormat/>
    <w:uiPriority w:val="99"/>
    <w:rPr>
      <w:rFonts w:ascii="Arial" w:hAnsi="Arial" w:eastAsia="微软雅黑" w:cstheme="minorBidi"/>
      <w:kern w:val="2"/>
    </w:rPr>
  </w:style>
  <w:style w:type="character" w:customStyle="1" w:styleId="34">
    <w:name w:val="批注主题 字符"/>
    <w:basedOn w:val="33"/>
    <w:link w:val="9"/>
    <w:semiHidden/>
    <w:qFormat/>
    <w:uiPriority w:val="99"/>
    <w:rPr>
      <w:rFonts w:ascii="Arial" w:hAnsi="Arial" w:eastAsia="微软雅黑" w:cstheme="minorBidi"/>
      <w:b/>
      <w:bCs/>
      <w:kern w:val="2"/>
      <w:sz w:val="21"/>
      <w:szCs w:val="22"/>
    </w:rPr>
  </w:style>
  <w:style w:type="paragraph" w:customStyle="1" w:styleId="35">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emf"/><Relationship Id="rId11" Type="http://schemas.openxmlformats.org/officeDocument/2006/relationships/oleObject" Target="embeddings/oleObject2.bin"/><Relationship Id="rId10" Type="http://schemas.openxmlformats.org/officeDocument/2006/relationships/image" Target="media/image2.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3175</Words>
  <Characters>9211</Characters>
  <Lines>225</Lines>
  <Paragraphs>119</Paragraphs>
  <TotalTime>21</TotalTime>
  <ScaleCrop>false</ScaleCrop>
  <LinksUpToDate>false</LinksUpToDate>
  <CharactersWithSpaces>10389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XXX二级文件名字和英文”&amp;#x000D”Security System Manual</cp:category>
  <dcterms:created xsi:type="dcterms:W3CDTF">2024-12-05T22:08:00Z</dcterms:created>
  <dc:creator>Cherry Lee</dc:creator>
  <cp:lastModifiedBy>杨龙威</cp:lastModifiedBy>
  <cp:lastPrinted>2025-04-14T05:56:00Z</cp:lastPrinted>
  <dcterms:modified xsi:type="dcterms:W3CDTF">2026-05-12T05:18:36Z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71F9C4227FEF4761A1DDCF259029429E_13</vt:lpwstr>
  </property>
  <property fmtid="{D5CDD505-2E9C-101B-9397-08002B2CF9AE}" pid="4" name="KSOTemplateDocerSaveRecord">
    <vt:lpwstr>eyJoZGlkIjoiNWY1Y2YzZDViZGUwY2RiMWQxM2Q4MDAwOTU4OWIxYmMiLCJ1c2VySWQiOiIxNTMxMzk2MjUzIn0=</vt:lpwstr>
  </property>
</Properties>
</file>