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83FBE">
      <w:pPr>
        <w:pStyle w:val="25"/>
        <w:numPr>
          <w:ilvl w:val="0"/>
          <w:numId w:val="2"/>
        </w:numPr>
        <w:rPr>
          <w:rFonts w:hint="eastAsia"/>
        </w:rPr>
      </w:pPr>
      <w:bookmarkStart w:id="0" w:name="_Toc2041538922_WPSOffice_Type1"/>
      <w:bookmarkEnd w:id="0"/>
      <w:r>
        <w:rPr>
          <w:rFonts w:hint="eastAsia"/>
        </w:rPr>
        <w:t>总则</w:t>
      </w:r>
      <w:r>
        <w:t>General Policy</w:t>
      </w:r>
    </w:p>
    <w:p w14:paraId="74221BC9">
      <w:pPr>
        <w:pStyle w:val="34"/>
        <w:ind w:firstLine="420"/>
      </w:pPr>
      <w:r>
        <w:rPr>
          <w:rFonts w:hint="eastAsia"/>
        </w:rPr>
        <w:t>为</w:t>
      </w:r>
      <w:r>
        <w:t>保障公司</w:t>
      </w:r>
      <w:r>
        <w:rPr>
          <w:rFonts w:hint="eastAsia"/>
        </w:rPr>
        <w:t>敏感数据的安全，对敏感数据活动要建立完善的可审计记录，并定期审计这些记录</w:t>
      </w:r>
      <w:r>
        <w:t>，</w:t>
      </w:r>
      <w:r>
        <w:rPr>
          <w:rFonts w:hint="eastAsia"/>
        </w:rPr>
        <w:t>以发现潜在的安全风险。</w:t>
      </w:r>
    </w:p>
    <w:p w14:paraId="5B90DDF6">
      <w:pPr>
        <w:pStyle w:val="34"/>
        <w:ind w:firstLine="420"/>
      </w:pPr>
      <w:r>
        <w:rPr>
          <w:rFonts w:hint="eastAsia"/>
        </w:rPr>
        <w:t>To ensure the security of the company's sensitive data, it is necessary to establish complete</w:t>
      </w:r>
      <w:r>
        <w:rPr>
          <w:rFonts w:hint="eastAsia"/>
          <w:lang w:val="en-US" w:eastAsia="zh-CN"/>
        </w:rPr>
        <w:t xml:space="preserve"> </w:t>
      </w:r>
      <w:r>
        <w:rPr>
          <w:rFonts w:hint="eastAsia"/>
        </w:rPr>
        <w:t>auditable records for sensitive data activities and regularly audit these records to identify potential security risks.</w:t>
      </w:r>
    </w:p>
    <w:p w14:paraId="5FA00E97">
      <w:pPr>
        <w:pStyle w:val="25"/>
        <w:numPr>
          <w:ilvl w:val="0"/>
          <w:numId w:val="2"/>
        </w:numPr>
        <w:rPr>
          <w:rFonts w:hint="eastAsia"/>
        </w:rPr>
      </w:pPr>
      <w:r>
        <w:rPr>
          <w:rFonts w:hint="eastAsia"/>
        </w:rPr>
        <w:t>适用范围Scope</w:t>
      </w:r>
    </w:p>
    <w:p w14:paraId="1A5CAA19">
      <w:pPr>
        <w:pStyle w:val="34"/>
        <w:ind w:firstLine="420"/>
      </w:pPr>
      <w:r>
        <w:t>包括但不限于Visa、Master</w:t>
      </w:r>
      <w:r>
        <w:rPr>
          <w:rFonts w:hint="eastAsia"/>
        </w:rPr>
        <w:t>C</w:t>
      </w:r>
      <w:r>
        <w:t>ard、JCB、AMEX、Union</w:t>
      </w:r>
      <w:r>
        <w:rPr>
          <w:rFonts w:hint="eastAsia"/>
        </w:rPr>
        <w:t>P</w:t>
      </w:r>
      <w:r>
        <w:t>ay</w:t>
      </w:r>
      <w:r>
        <w:rPr>
          <w:rFonts w:hint="eastAsia"/>
        </w:rPr>
        <w:t>、EMVCO</w:t>
      </w:r>
      <w:r>
        <w:rPr>
          <w:rFonts w:hint="eastAsia"/>
          <w:lang w:eastAsia="zh-CN"/>
        </w:rPr>
        <w:t>、</w:t>
      </w:r>
      <w:r>
        <w:t>GSM等的敏感数据</w:t>
      </w:r>
      <w:r>
        <w:rPr>
          <w:rFonts w:hint="eastAsia"/>
        </w:rPr>
        <w:t>活动</w:t>
      </w:r>
      <w:r>
        <w:t>和密钥</w:t>
      </w:r>
      <w:r>
        <w:rPr>
          <w:rFonts w:hint="eastAsia"/>
        </w:rPr>
        <w:t>活动所在的网络、系统和应用</w:t>
      </w:r>
      <w:r>
        <w:t>都受此</w:t>
      </w:r>
      <w:r>
        <w:rPr>
          <w:rFonts w:hint="eastAsia"/>
        </w:rPr>
        <w:t>安全审计</w:t>
      </w:r>
      <w:r>
        <w:t>控制流程的约束。</w:t>
      </w:r>
    </w:p>
    <w:p w14:paraId="6FF6427E">
      <w:pPr>
        <w:pStyle w:val="34"/>
        <w:ind w:firstLine="420"/>
      </w:pPr>
      <w:r>
        <w:t>The networks, systems, and applications where sensitive data activities and key activities, including but not limited to Visa, Master</w:t>
      </w:r>
      <w:r>
        <w:rPr>
          <w:rFonts w:hint="eastAsia"/>
        </w:rPr>
        <w:t>C</w:t>
      </w:r>
      <w:r>
        <w:t>ard, JCB, AMEX, UnionPay, EMVCO</w:t>
      </w:r>
      <w:r>
        <w:rPr>
          <w:rFonts w:hint="eastAsia"/>
          <w:lang w:val="en-US" w:eastAsia="zh-CN"/>
        </w:rPr>
        <w:t>,</w:t>
      </w:r>
      <w:r>
        <w:t>GSM, etc., are located, are subject to this security audit control process.</w:t>
      </w:r>
    </w:p>
    <w:p w14:paraId="5561CB91">
      <w:pPr>
        <w:pStyle w:val="25"/>
        <w:numPr>
          <w:ilvl w:val="0"/>
          <w:numId w:val="2"/>
        </w:numPr>
        <w:rPr>
          <w:rFonts w:hint="eastAsia"/>
        </w:rPr>
      </w:pPr>
      <w:r>
        <w:rPr>
          <w:rFonts w:hint="eastAsia"/>
        </w:rPr>
        <w:t>审计流程 Audit Control Process</w:t>
      </w:r>
    </w:p>
    <w:p w14:paraId="23CB53D1">
      <w:pPr>
        <w:pStyle w:val="27"/>
        <w:spacing w:before="312"/>
        <w:rPr>
          <w:rFonts w:hint="eastAsia"/>
        </w:rPr>
      </w:pPr>
      <w:r>
        <w:rPr>
          <w:rFonts w:hint="eastAsia"/>
        </w:rPr>
        <w:t>审计记录标准Audit Record Standards</w:t>
      </w:r>
    </w:p>
    <w:p w14:paraId="4A5B401B">
      <w:pPr>
        <w:pStyle w:val="34"/>
        <w:rPr>
          <w:b/>
          <w:bCs/>
          <w:sz w:val="24"/>
          <w:szCs w:val="24"/>
        </w:rPr>
      </w:pPr>
      <w:r>
        <w:rPr>
          <w:rFonts w:hint="eastAsia"/>
          <w:b/>
          <w:bCs/>
          <w:sz w:val="24"/>
          <w:szCs w:val="24"/>
        </w:rPr>
        <w:t>3.1.1. 系统日志System Log</w:t>
      </w:r>
    </w:p>
    <w:p w14:paraId="29B73B14">
      <w:pPr>
        <w:pStyle w:val="34"/>
        <w:ind w:firstLine="420"/>
      </w:pPr>
      <w:r>
        <w:rPr>
          <w:rFonts w:hint="eastAsia"/>
        </w:rPr>
        <w:t>对于安全网络内的系统包括操作系统、防火墙，这些系统的日志指向IT Infrastructure的日志服务器，该日志服务器上安装了Eventlog Analyzer应用。记录的日志内容至少应包括：</w:t>
      </w:r>
    </w:p>
    <w:p w14:paraId="54F0F6F0">
      <w:pPr>
        <w:pStyle w:val="34"/>
        <w:numPr>
          <w:ilvl w:val="0"/>
          <w:numId w:val="3"/>
        </w:numPr>
      </w:pPr>
      <w:r>
        <w:rPr>
          <w:rFonts w:hint="eastAsia"/>
        </w:rPr>
        <w:t>登录尝试（成功的和失败的）</w:t>
      </w:r>
    </w:p>
    <w:p w14:paraId="3B3E41E9">
      <w:pPr>
        <w:pStyle w:val="34"/>
        <w:numPr>
          <w:ilvl w:val="0"/>
          <w:numId w:val="3"/>
        </w:numPr>
      </w:pPr>
      <w:r>
        <w:rPr>
          <w:rFonts w:hint="eastAsia"/>
        </w:rPr>
        <w:t>密码更改</w:t>
      </w:r>
    </w:p>
    <w:p w14:paraId="5E7350A0">
      <w:pPr>
        <w:pStyle w:val="34"/>
        <w:numPr>
          <w:ilvl w:val="0"/>
          <w:numId w:val="3"/>
        </w:numPr>
      </w:pPr>
      <w:r>
        <w:rPr>
          <w:rFonts w:hint="eastAsia"/>
        </w:rPr>
        <w:t>试图越权</w:t>
      </w:r>
    </w:p>
    <w:p w14:paraId="08E8E0D2">
      <w:pPr>
        <w:pStyle w:val="34"/>
        <w:numPr>
          <w:ilvl w:val="0"/>
          <w:numId w:val="3"/>
        </w:numPr>
      </w:pPr>
      <w:r>
        <w:rPr>
          <w:rFonts w:hint="eastAsia"/>
        </w:rPr>
        <w:t>变更</w:t>
      </w:r>
    </w:p>
    <w:p w14:paraId="690591D5">
      <w:pPr>
        <w:spacing w:line="360" w:lineRule="auto"/>
        <w:ind w:firstLine="420"/>
        <w:jc w:val="left"/>
        <w:rPr>
          <w:sz w:val="20"/>
        </w:rPr>
      </w:pPr>
      <w:r>
        <w:rPr>
          <w:rFonts w:hint="eastAsia"/>
          <w:sz w:val="20"/>
        </w:rPr>
        <w:t>For systems within a secure network, including operating systems and firewalls, the logs of these systems are forwarded to the IT Infrastructure's log server, which is installed with the Eventlog Analyzer application. The recorded log content should at least include</w:t>
      </w:r>
      <w:r>
        <w:rPr>
          <w:sz w:val="20"/>
        </w:rPr>
        <w:t>:</w:t>
      </w:r>
    </w:p>
    <w:p w14:paraId="15B88567">
      <w:pPr>
        <w:pStyle w:val="34"/>
        <w:numPr>
          <w:ilvl w:val="0"/>
          <w:numId w:val="3"/>
        </w:numPr>
      </w:pPr>
      <w:r>
        <w:rPr>
          <w:rFonts w:hint="eastAsia"/>
        </w:rPr>
        <w:t xml:space="preserve">Logon attempts (successful and unsuccessful) </w:t>
      </w:r>
    </w:p>
    <w:p w14:paraId="262B76DB">
      <w:pPr>
        <w:pStyle w:val="34"/>
        <w:numPr>
          <w:ilvl w:val="0"/>
          <w:numId w:val="3"/>
        </w:numPr>
      </w:pPr>
      <w:r>
        <w:t xml:space="preserve">Password changes </w:t>
      </w:r>
    </w:p>
    <w:p w14:paraId="6C7B6A9A">
      <w:pPr>
        <w:pStyle w:val="34"/>
        <w:numPr>
          <w:ilvl w:val="0"/>
          <w:numId w:val="3"/>
        </w:numPr>
      </w:pPr>
      <w:r>
        <w:t xml:space="preserve">Attempts to exceed permissions </w:t>
      </w:r>
    </w:p>
    <w:p w14:paraId="55B574E1">
      <w:pPr>
        <w:pStyle w:val="34"/>
        <w:numPr>
          <w:ilvl w:val="0"/>
          <w:numId w:val="3"/>
        </w:numPr>
      </w:pPr>
      <w:r>
        <w:t>Changes</w:t>
      </w:r>
    </w:p>
    <w:p w14:paraId="2D51BAF9">
      <w:pPr>
        <w:pStyle w:val="34"/>
      </w:pPr>
      <w:r>
        <w:rPr>
          <w:rFonts w:hint="eastAsia"/>
          <w:b/>
          <w:bCs/>
          <w:sz w:val="24"/>
          <w:szCs w:val="24"/>
        </w:rPr>
        <w:t>3.1.2. 密钥和数据系统日志 Key And Data System Log</w:t>
      </w:r>
    </w:p>
    <w:p w14:paraId="337EB721">
      <w:pPr>
        <w:pStyle w:val="34"/>
        <w:ind w:firstLine="420"/>
      </w:pPr>
      <w:r>
        <w:rPr>
          <w:rFonts w:hint="eastAsia"/>
        </w:rPr>
        <w:t>对于安全网络内的密钥系统和个人化数据系统，由系统自身记录并管理日志。但在开发这些系统时，须确保记录的日志内容至少应包括：</w:t>
      </w:r>
    </w:p>
    <w:p w14:paraId="1513F618">
      <w:pPr>
        <w:pStyle w:val="34"/>
        <w:numPr>
          <w:ilvl w:val="0"/>
          <w:numId w:val="3"/>
        </w:numPr>
      </w:pPr>
      <w:r>
        <w:rPr>
          <w:rFonts w:hint="eastAsia"/>
        </w:rPr>
        <w:t>登录尝试（成功的和失败的）</w:t>
      </w:r>
    </w:p>
    <w:p w14:paraId="39D4AB18">
      <w:pPr>
        <w:pStyle w:val="34"/>
        <w:numPr>
          <w:ilvl w:val="0"/>
          <w:numId w:val="3"/>
        </w:numPr>
      </w:pPr>
      <w:r>
        <w:rPr>
          <w:rFonts w:hint="eastAsia"/>
        </w:rPr>
        <w:t>密码更改</w:t>
      </w:r>
    </w:p>
    <w:p w14:paraId="2EB49049">
      <w:pPr>
        <w:pStyle w:val="34"/>
        <w:numPr>
          <w:ilvl w:val="0"/>
          <w:numId w:val="3"/>
        </w:numPr>
        <w:rPr>
          <w:rFonts w:hint="eastAsia" w:ascii="宋体" w:hAnsi="宋体"/>
          <w:szCs w:val="24"/>
        </w:rPr>
      </w:pPr>
      <w:r>
        <w:rPr>
          <w:rFonts w:hint="eastAsia"/>
        </w:rPr>
        <w:t>试图越权</w:t>
      </w:r>
    </w:p>
    <w:p w14:paraId="60100ED1">
      <w:pPr>
        <w:pStyle w:val="34"/>
        <w:numPr>
          <w:ilvl w:val="0"/>
          <w:numId w:val="3"/>
        </w:numPr>
        <w:rPr>
          <w:rFonts w:hint="eastAsia" w:ascii="宋体" w:hAnsi="宋体"/>
          <w:szCs w:val="24"/>
        </w:rPr>
      </w:pPr>
      <w:r>
        <w:rPr>
          <w:rFonts w:hint="eastAsia" w:ascii="宋体" w:hAnsi="宋体"/>
          <w:szCs w:val="24"/>
        </w:rPr>
        <w:t>作业用户</w:t>
      </w:r>
    </w:p>
    <w:p w14:paraId="63156102">
      <w:pPr>
        <w:pStyle w:val="34"/>
        <w:numPr>
          <w:ilvl w:val="0"/>
          <w:numId w:val="3"/>
        </w:numPr>
        <w:rPr>
          <w:rFonts w:hint="eastAsia" w:ascii="宋体" w:hAnsi="宋体"/>
          <w:szCs w:val="24"/>
        </w:rPr>
      </w:pPr>
      <w:r>
        <w:rPr>
          <w:rFonts w:hint="eastAsia" w:ascii="宋体" w:hAnsi="宋体"/>
          <w:szCs w:val="24"/>
        </w:rPr>
        <w:t>作业日期和时间</w:t>
      </w:r>
    </w:p>
    <w:p w14:paraId="463777F2">
      <w:pPr>
        <w:pStyle w:val="34"/>
        <w:numPr>
          <w:ilvl w:val="0"/>
          <w:numId w:val="3"/>
        </w:numPr>
        <w:rPr>
          <w:rFonts w:hint="eastAsia" w:ascii="宋体" w:hAnsi="宋体"/>
          <w:szCs w:val="24"/>
        </w:rPr>
      </w:pPr>
      <w:r>
        <w:rPr>
          <w:rFonts w:hint="eastAsia" w:ascii="宋体" w:hAnsi="宋体"/>
          <w:szCs w:val="24"/>
        </w:rPr>
        <w:t>作业功能</w:t>
      </w:r>
    </w:p>
    <w:p w14:paraId="5901602B">
      <w:pPr>
        <w:pStyle w:val="34"/>
        <w:numPr>
          <w:ilvl w:val="0"/>
          <w:numId w:val="3"/>
        </w:numPr>
      </w:pPr>
      <w:r>
        <w:rPr>
          <w:rFonts w:hint="eastAsia" w:ascii="宋体" w:hAnsi="宋体"/>
          <w:szCs w:val="24"/>
        </w:rPr>
        <w:t>成功/失败的作业</w:t>
      </w:r>
    </w:p>
    <w:p w14:paraId="24D348FC">
      <w:pPr>
        <w:pStyle w:val="34"/>
        <w:ind w:firstLine="420"/>
      </w:pPr>
      <w:r>
        <w:t xml:space="preserve">For key systems and personalized data systems within secure networks, the system itself records and manages logs. But when developing these systems, it is necessary to ensure that </w:t>
      </w:r>
      <w:r>
        <w:rPr>
          <w:rFonts w:hint="eastAsia"/>
        </w:rPr>
        <w:t>t</w:t>
      </w:r>
      <w:r>
        <w:t>he recorded log content should at least include:</w:t>
      </w:r>
    </w:p>
    <w:p w14:paraId="1A20C372">
      <w:pPr>
        <w:pStyle w:val="34"/>
        <w:numPr>
          <w:ilvl w:val="0"/>
          <w:numId w:val="3"/>
        </w:numPr>
      </w:pPr>
      <w:r>
        <w:rPr>
          <w:rFonts w:hint="eastAsia"/>
        </w:rPr>
        <w:t xml:space="preserve">Logon attempts (successful and unsuccessful) </w:t>
      </w:r>
      <w:bookmarkStart w:id="2" w:name="_GoBack"/>
      <w:bookmarkEnd w:id="2"/>
    </w:p>
    <w:p w14:paraId="75F6B4CB">
      <w:pPr>
        <w:pStyle w:val="34"/>
        <w:numPr>
          <w:ilvl w:val="0"/>
          <w:numId w:val="3"/>
        </w:numPr>
        <w:rPr>
          <w:szCs w:val="20"/>
        </w:rPr>
      </w:pPr>
      <w:r>
        <w:rPr>
          <w:szCs w:val="20"/>
        </w:rPr>
        <w:t xml:space="preserve">Password changes </w:t>
      </w:r>
    </w:p>
    <w:p w14:paraId="1482BB6C">
      <w:pPr>
        <w:pStyle w:val="34"/>
        <w:numPr>
          <w:ilvl w:val="0"/>
          <w:numId w:val="3"/>
        </w:numPr>
        <w:rPr>
          <w:szCs w:val="20"/>
        </w:rPr>
      </w:pPr>
      <w:r>
        <w:rPr>
          <w:szCs w:val="20"/>
        </w:rPr>
        <w:t xml:space="preserve">Attempts to exceed permissions </w:t>
      </w:r>
    </w:p>
    <w:p w14:paraId="765CD275">
      <w:pPr>
        <w:pStyle w:val="34"/>
        <w:numPr>
          <w:ilvl w:val="0"/>
          <w:numId w:val="3"/>
        </w:numPr>
        <w:rPr>
          <w:szCs w:val="20"/>
        </w:rPr>
      </w:pPr>
      <w:r>
        <w:rPr>
          <w:rFonts w:eastAsia="宋体" w:cs="Arial"/>
          <w:color w:val="000000"/>
          <w:kern w:val="0"/>
          <w:szCs w:val="20"/>
          <w:lang w:bidi="ar"/>
        </w:rPr>
        <w:t xml:space="preserve">the identity of the user carrying out the action / processing stage </w:t>
      </w:r>
    </w:p>
    <w:p w14:paraId="6202C37E">
      <w:pPr>
        <w:pStyle w:val="34"/>
        <w:numPr>
          <w:ilvl w:val="0"/>
          <w:numId w:val="3"/>
        </w:numPr>
        <w:rPr>
          <w:szCs w:val="20"/>
        </w:rPr>
      </w:pPr>
      <w:r>
        <w:rPr>
          <w:rFonts w:ascii="Symbol" w:hAnsi="Symbol" w:eastAsia="宋体" w:cs="Symbol"/>
          <w:color w:val="000000"/>
          <w:kern w:val="0"/>
          <w:szCs w:val="20"/>
          <w:lang w:bidi="ar"/>
        </w:rPr>
        <w:t xml:space="preserve"> </w:t>
      </w:r>
      <w:r>
        <w:rPr>
          <w:rFonts w:eastAsia="宋体" w:cs="Arial"/>
          <w:color w:val="000000"/>
          <w:kern w:val="0"/>
          <w:szCs w:val="20"/>
          <w:lang w:bidi="ar"/>
        </w:rPr>
        <w:t xml:space="preserve">the date and time of the action </w:t>
      </w:r>
    </w:p>
    <w:p w14:paraId="1F12B5AE">
      <w:pPr>
        <w:pStyle w:val="34"/>
        <w:numPr>
          <w:ilvl w:val="0"/>
          <w:numId w:val="3"/>
        </w:numPr>
        <w:rPr>
          <w:szCs w:val="20"/>
        </w:rPr>
      </w:pPr>
      <w:r>
        <w:rPr>
          <w:rFonts w:ascii="Symbol" w:hAnsi="Symbol" w:eastAsia="宋体" w:cs="Symbol"/>
          <w:color w:val="000000"/>
          <w:kern w:val="0"/>
          <w:szCs w:val="20"/>
          <w:lang w:bidi="ar"/>
        </w:rPr>
        <w:t xml:space="preserve"> </w:t>
      </w:r>
      <w:r>
        <w:rPr>
          <w:rFonts w:eastAsia="宋体" w:cs="Arial"/>
          <w:color w:val="000000"/>
          <w:kern w:val="0"/>
          <w:szCs w:val="20"/>
          <w:lang w:bidi="ar"/>
        </w:rPr>
        <w:t xml:space="preserve">the nature of the action </w:t>
      </w:r>
    </w:p>
    <w:p w14:paraId="2BD0A62F">
      <w:pPr>
        <w:pStyle w:val="34"/>
        <w:numPr>
          <w:ilvl w:val="0"/>
          <w:numId w:val="3"/>
        </w:numPr>
      </w:pPr>
      <w:r>
        <w:rPr>
          <w:rFonts w:ascii="Symbol" w:hAnsi="Symbol" w:eastAsia="宋体" w:cs="Symbol"/>
          <w:color w:val="000000"/>
          <w:kern w:val="0"/>
          <w:szCs w:val="20"/>
          <w:lang w:bidi="ar"/>
        </w:rPr>
        <w:t xml:space="preserve"> </w:t>
      </w:r>
      <w:r>
        <w:rPr>
          <w:rFonts w:eastAsia="宋体" w:cs="Arial"/>
          <w:color w:val="000000"/>
          <w:kern w:val="0"/>
          <w:szCs w:val="20"/>
          <w:lang w:bidi="ar"/>
        </w:rPr>
        <w:t>the success / failure of the action</w:t>
      </w:r>
    </w:p>
    <w:p w14:paraId="7E8427F8">
      <w:pPr>
        <w:pStyle w:val="27"/>
        <w:spacing w:before="312"/>
        <w:rPr>
          <w:rFonts w:hint="eastAsia"/>
        </w:rPr>
      </w:pPr>
      <w:r>
        <w:rPr>
          <w:rFonts w:hint="eastAsia"/>
        </w:rPr>
        <w:t>审计日志流程Audit Log Process</w:t>
      </w:r>
    </w:p>
    <w:p w14:paraId="2EFE5F90">
      <w:pPr>
        <w:pStyle w:val="34"/>
        <w:rPr>
          <w:b/>
          <w:bCs/>
          <w:sz w:val="24"/>
          <w:szCs w:val="24"/>
        </w:rPr>
      </w:pPr>
      <w:r>
        <w:rPr>
          <w:rFonts w:hint="eastAsia"/>
          <w:b/>
          <w:bCs/>
          <w:sz w:val="24"/>
          <w:szCs w:val="24"/>
        </w:rPr>
        <w:t>3.</w:t>
      </w:r>
      <w:r>
        <w:rPr>
          <w:rFonts w:hint="eastAsia"/>
          <w:b/>
          <w:bCs/>
          <w:sz w:val="24"/>
          <w:szCs w:val="24"/>
          <w:lang w:val="en-US" w:eastAsia="zh-CN"/>
        </w:rPr>
        <w:t>2</w:t>
      </w:r>
      <w:r>
        <w:rPr>
          <w:rFonts w:hint="eastAsia"/>
          <w:b/>
          <w:bCs/>
          <w:sz w:val="24"/>
          <w:szCs w:val="24"/>
        </w:rPr>
        <w:t>.1. 系统日志System Log</w:t>
      </w:r>
    </w:p>
    <w:p w14:paraId="6FA4E490">
      <w:pPr>
        <w:pStyle w:val="34"/>
        <w:ind w:firstLine="420"/>
      </w:pPr>
      <w:r>
        <w:rPr>
          <w:rFonts w:hint="eastAsia"/>
        </w:rPr>
        <w:t>系统日志每月审计一次，在Eventlog Analyzer配置计划报表将各系统日志通过邮件发送到IT团队，报表包括：</w:t>
      </w:r>
    </w:p>
    <w:p w14:paraId="23E14C92">
      <w:pPr>
        <w:pStyle w:val="34"/>
        <w:ind w:firstLine="420"/>
      </w:pPr>
      <w:r>
        <w:rPr>
          <w:rFonts w:hint="eastAsia"/>
        </w:rPr>
        <w:t>The system logs are audited once a month, and A scheduled report configured in Eventlog Analyzer sends system logs to the IT team via email monthly. The report includes:</w:t>
      </w:r>
    </w:p>
    <w:p w14:paraId="15433204">
      <w:pPr>
        <w:numPr>
          <w:ilvl w:val="0"/>
          <w:numId w:val="4"/>
        </w:numPr>
        <w:spacing w:line="288" w:lineRule="auto"/>
        <w:jc w:val="left"/>
        <w:rPr>
          <w:sz w:val="20"/>
          <w:lang w:val="zh-CN"/>
        </w:rPr>
      </w:pPr>
      <w:r>
        <w:rPr>
          <w:sz w:val="20"/>
          <w:lang w:val="zh-CN"/>
        </w:rPr>
        <w:t>Linux</w:t>
      </w:r>
      <w:r>
        <w:rPr>
          <w:rFonts w:hint="eastAsia"/>
          <w:sz w:val="20"/>
          <w:lang w:val="zh-CN"/>
        </w:rPr>
        <w:t>月度审计报表</w:t>
      </w:r>
    </w:p>
    <w:p w14:paraId="4DE2870A">
      <w:pPr>
        <w:spacing w:line="288" w:lineRule="auto"/>
        <w:ind w:left="420"/>
        <w:jc w:val="left"/>
        <w:rPr>
          <w:sz w:val="20"/>
          <w:lang w:val="zh-CN"/>
        </w:rPr>
      </w:pPr>
      <w:r>
        <w:rPr>
          <w:sz w:val="20"/>
          <w:lang w:val="zh-CN"/>
        </w:rPr>
        <w:t>Linux Monthly Audit Report</w:t>
      </w:r>
    </w:p>
    <w:p w14:paraId="06635E55">
      <w:pPr>
        <w:numPr>
          <w:ilvl w:val="0"/>
          <w:numId w:val="4"/>
        </w:numPr>
        <w:spacing w:line="288" w:lineRule="auto"/>
        <w:jc w:val="left"/>
        <w:rPr>
          <w:sz w:val="20"/>
        </w:rPr>
      </w:pPr>
      <w:r>
        <w:rPr>
          <w:sz w:val="20"/>
          <w:lang w:val="zh-CN"/>
        </w:rPr>
        <w:t>Window</w:t>
      </w:r>
      <w:r>
        <w:rPr>
          <w:rFonts w:hint="eastAsia"/>
          <w:sz w:val="20"/>
          <w:lang w:val="en-US" w:eastAsia="zh-CN"/>
        </w:rPr>
        <w:t>s</w:t>
      </w:r>
      <w:r>
        <w:rPr>
          <w:rFonts w:hint="eastAsia"/>
          <w:sz w:val="20"/>
          <w:lang w:val="zh-CN"/>
        </w:rPr>
        <w:t>月度审计报表</w:t>
      </w:r>
    </w:p>
    <w:p w14:paraId="2D26923C">
      <w:pPr>
        <w:spacing w:line="288" w:lineRule="auto"/>
        <w:ind w:left="420"/>
        <w:jc w:val="left"/>
        <w:rPr>
          <w:sz w:val="20"/>
        </w:rPr>
      </w:pPr>
      <w:r>
        <w:rPr>
          <w:sz w:val="20"/>
        </w:rPr>
        <w:t>Window</w:t>
      </w:r>
      <w:r>
        <w:rPr>
          <w:rFonts w:hint="eastAsia"/>
          <w:sz w:val="20"/>
          <w:lang w:val="en-US" w:eastAsia="zh-CN"/>
        </w:rPr>
        <w:t>s</w:t>
      </w:r>
      <w:r>
        <w:rPr>
          <w:sz w:val="20"/>
        </w:rPr>
        <w:t xml:space="preserve"> Monthly Audit Report</w:t>
      </w:r>
    </w:p>
    <w:p w14:paraId="3BC4D9D8">
      <w:pPr>
        <w:numPr>
          <w:ilvl w:val="0"/>
          <w:numId w:val="4"/>
        </w:numPr>
        <w:spacing w:line="288" w:lineRule="auto"/>
        <w:jc w:val="left"/>
        <w:rPr>
          <w:sz w:val="20"/>
        </w:rPr>
      </w:pPr>
      <w:r>
        <w:rPr>
          <w:rFonts w:hint="eastAsia"/>
          <w:sz w:val="20"/>
          <w:lang w:val="zh-CN"/>
        </w:rPr>
        <w:t>防火墙月度审计报表</w:t>
      </w:r>
    </w:p>
    <w:p w14:paraId="09E60957">
      <w:pPr>
        <w:spacing w:line="288" w:lineRule="auto"/>
        <w:ind w:left="420"/>
        <w:jc w:val="left"/>
        <w:rPr>
          <w:sz w:val="20"/>
        </w:rPr>
      </w:pPr>
      <w:r>
        <w:rPr>
          <w:sz w:val="20"/>
        </w:rPr>
        <w:t>Firewall Monthly Audit Report</w:t>
      </w:r>
    </w:p>
    <w:p w14:paraId="59010839">
      <w:pPr>
        <w:pStyle w:val="34"/>
        <w:ind w:firstLine="420"/>
      </w:pPr>
      <w:r>
        <w:rPr>
          <w:rFonts w:hint="eastAsia"/>
        </w:rPr>
        <w:t>然后审计员通过这些报告对日志进行审计，</w:t>
      </w:r>
      <w:r>
        <w:rPr>
          <w:rFonts w:hint="eastAsia"/>
          <w:highlight w:val="none"/>
          <w:lang w:val="en-US" w:eastAsia="zh-CN"/>
        </w:rPr>
        <w:t>审计员审计完成后转发邮件给IT经理并在邮件中描述审计结果，对于审计中发现的异常需要填写《安全整改记录表》，在一周内完成整改</w:t>
      </w:r>
      <w:r>
        <w:rPr>
          <w:rFonts w:hint="eastAsia"/>
          <w:lang w:val="en-US" w:eastAsia="zh-CN"/>
        </w:rPr>
        <w:t>，</w:t>
      </w:r>
      <w:r>
        <w:rPr>
          <w:rFonts w:hint="eastAsia"/>
        </w:rPr>
        <w:t>重点关注本文档第3.1.1章节至少包括的日志内容。</w:t>
      </w:r>
    </w:p>
    <w:p w14:paraId="17A566B3">
      <w:pPr>
        <w:pStyle w:val="34"/>
        <w:ind w:firstLine="420"/>
      </w:pPr>
      <w:r>
        <w:rPr>
          <w:rFonts w:hint="eastAsia"/>
          <w:lang w:val="en-US" w:eastAsia="zh-CN"/>
        </w:rPr>
        <w:t>Then the auditor audits the logs based on these reports</w:t>
      </w:r>
      <w:r>
        <w:rPr>
          <w:rFonts w:hint="eastAsia"/>
          <w:highlight w:val="none"/>
          <w:lang w:val="en-US" w:eastAsia="zh-CN"/>
        </w:rPr>
        <w:t xml:space="preserve">. After completing the audit, the auditor forwards an email to the IT manager and describes the audit results in the email. For anomalies found during the audit, </w:t>
      </w:r>
      <w:r>
        <w:rPr>
          <w:rFonts w:hint="eastAsia"/>
          <w:lang w:val="en-US" w:eastAsia="zh-CN"/>
        </w:rPr>
        <w:t xml:space="preserve">the </w:t>
      </w:r>
      <w:r>
        <w:rPr>
          <w:rFonts w:hint="default"/>
          <w:lang w:val="en-US" w:eastAsia="zh-CN"/>
        </w:rPr>
        <w:t>Security Correction Record Form</w:t>
      </w:r>
      <w:r>
        <w:rPr>
          <w:rFonts w:hint="eastAsia"/>
          <w:lang w:val="en-US" w:eastAsia="zh-CN"/>
        </w:rPr>
        <w:t xml:space="preserve"> should be filled out, and rectification should be completed within one week. Key attention should be paid to the log contents specified in at least Section 3.1.1 of this document.</w:t>
      </w:r>
      <w:r>
        <w:t>.</w:t>
      </w:r>
    </w:p>
    <w:p w14:paraId="3F619B66">
      <w:pPr>
        <w:pStyle w:val="34"/>
        <w:ind w:firstLine="420"/>
      </w:pPr>
    </w:p>
    <w:p w14:paraId="1E935EA4">
      <w:pPr>
        <w:pStyle w:val="34"/>
        <w:rPr>
          <w:b/>
          <w:bCs/>
          <w:sz w:val="24"/>
          <w:szCs w:val="24"/>
        </w:rPr>
      </w:pPr>
      <w:r>
        <w:rPr>
          <w:rFonts w:hint="eastAsia"/>
          <w:b/>
          <w:bCs/>
          <w:sz w:val="24"/>
          <w:szCs w:val="24"/>
        </w:rPr>
        <w:t>3.</w:t>
      </w:r>
      <w:r>
        <w:rPr>
          <w:rFonts w:hint="eastAsia"/>
          <w:b/>
          <w:bCs/>
          <w:sz w:val="24"/>
          <w:szCs w:val="24"/>
          <w:lang w:val="en-US" w:eastAsia="zh-CN"/>
        </w:rPr>
        <w:t>2</w:t>
      </w:r>
      <w:r>
        <w:rPr>
          <w:rFonts w:hint="eastAsia"/>
          <w:b/>
          <w:bCs/>
          <w:sz w:val="24"/>
          <w:szCs w:val="24"/>
        </w:rPr>
        <w:t>.2. 密钥和数据系统日志 Key And Data System Log</w:t>
      </w:r>
    </w:p>
    <w:p w14:paraId="16A2711A">
      <w:pPr>
        <w:pStyle w:val="34"/>
        <w:ind w:firstLine="420"/>
      </w:pPr>
      <w:r>
        <w:rPr>
          <w:rFonts w:hint="eastAsia"/>
        </w:rPr>
        <w:t>密钥和数据系统日志每月审计一次，审计员通过登录各系统对日志进行审计，重点关注本文档第3.1.2章节至少包括的日志内容。独立登录审计的系统包括：</w:t>
      </w:r>
    </w:p>
    <w:p w14:paraId="70D9BCC6">
      <w:pPr>
        <w:pStyle w:val="34"/>
        <w:ind w:firstLine="420"/>
      </w:pPr>
      <w:r>
        <w:rPr>
          <w:rFonts w:hint="eastAsia"/>
        </w:rPr>
        <w:t>The key and data system logs are audited once a month, and the auditors audit the logs by logging into each system, focusing on the log content included in at least section 3.1.2 of this document. The system</w:t>
      </w:r>
      <w:r>
        <w:rPr>
          <w:rFonts w:hint="eastAsia"/>
          <w:lang w:val="en-US" w:eastAsia="zh-CN"/>
        </w:rPr>
        <w:t>s</w:t>
      </w:r>
      <w:r>
        <w:rPr>
          <w:rFonts w:hint="eastAsia"/>
        </w:rPr>
        <w:t xml:space="preserve"> for independent login auditing includes:</w:t>
      </w:r>
    </w:p>
    <w:p w14:paraId="638EB622">
      <w:pPr>
        <w:numPr>
          <w:ilvl w:val="0"/>
          <w:numId w:val="4"/>
        </w:numPr>
        <w:spacing w:line="360" w:lineRule="auto"/>
        <w:jc w:val="left"/>
      </w:pPr>
      <w:r>
        <w:rPr>
          <w:rFonts w:hint="eastAsia"/>
        </w:rPr>
        <w:t>Hexhome</w:t>
      </w:r>
    </w:p>
    <w:p w14:paraId="692F37E5">
      <w:pPr>
        <w:numPr>
          <w:ilvl w:val="0"/>
          <w:numId w:val="4"/>
        </w:numPr>
        <w:spacing w:line="360" w:lineRule="auto"/>
        <w:jc w:val="left"/>
      </w:pPr>
      <w:r>
        <w:rPr>
          <w:rFonts w:hint="eastAsia"/>
        </w:rPr>
        <w:t>DMS</w:t>
      </w:r>
    </w:p>
    <w:p w14:paraId="538046FF">
      <w:pPr>
        <w:numPr>
          <w:ilvl w:val="0"/>
          <w:numId w:val="4"/>
        </w:numPr>
        <w:spacing w:line="360" w:lineRule="auto"/>
        <w:jc w:val="left"/>
      </w:pPr>
      <w:r>
        <w:rPr>
          <w:rFonts w:hint="eastAsia"/>
        </w:rPr>
        <w:t>UICC Data Generation System</w:t>
      </w:r>
    </w:p>
    <w:p w14:paraId="7B3099AC">
      <w:pPr>
        <w:numPr>
          <w:ilvl w:val="0"/>
          <w:numId w:val="4"/>
        </w:numPr>
        <w:spacing w:line="360" w:lineRule="auto"/>
        <w:jc w:val="left"/>
      </w:pPr>
      <w:r>
        <w:rPr>
          <w:rFonts w:hint="eastAsia"/>
        </w:rPr>
        <w:t>EUICC PKI Management</w:t>
      </w:r>
      <w:r>
        <w:rPr>
          <w:rFonts w:hint="eastAsia"/>
          <w:lang w:val="en-US" w:eastAsia="zh-CN"/>
        </w:rPr>
        <w:t xml:space="preserve"> </w:t>
      </w:r>
      <w:r>
        <w:rPr>
          <w:rFonts w:hint="eastAsia"/>
        </w:rPr>
        <w:t>System</w:t>
      </w:r>
    </w:p>
    <w:p w14:paraId="68610D38">
      <w:pPr>
        <w:pStyle w:val="34"/>
        <w:rPr>
          <w:rFonts w:hint="eastAsia"/>
          <w:b/>
          <w:bCs/>
          <w:sz w:val="24"/>
          <w:szCs w:val="24"/>
        </w:rPr>
      </w:pPr>
      <w:r>
        <w:rPr>
          <w:rFonts w:hint="eastAsia"/>
          <w:b/>
          <w:bCs/>
          <w:sz w:val="24"/>
          <w:szCs w:val="24"/>
        </w:rPr>
        <w:t>3.</w:t>
      </w:r>
      <w:r>
        <w:rPr>
          <w:rFonts w:hint="eastAsia"/>
          <w:b/>
          <w:bCs/>
          <w:sz w:val="24"/>
          <w:szCs w:val="24"/>
          <w:lang w:val="en-US" w:eastAsia="zh-CN"/>
        </w:rPr>
        <w:t>2</w:t>
      </w:r>
      <w:r>
        <w:rPr>
          <w:rFonts w:hint="eastAsia"/>
          <w:b/>
          <w:bCs/>
          <w:sz w:val="24"/>
          <w:szCs w:val="24"/>
        </w:rPr>
        <w:t>.</w:t>
      </w:r>
      <w:r>
        <w:rPr>
          <w:rFonts w:hint="eastAsia"/>
          <w:b/>
          <w:bCs/>
          <w:sz w:val="24"/>
          <w:szCs w:val="24"/>
          <w:lang w:val="en-US" w:eastAsia="zh-CN"/>
        </w:rPr>
        <w:t>3</w:t>
      </w:r>
      <w:r>
        <w:rPr>
          <w:rFonts w:hint="eastAsia"/>
          <w:b/>
          <w:bCs/>
          <w:sz w:val="24"/>
          <w:szCs w:val="24"/>
        </w:rPr>
        <w:t xml:space="preserve">. </w:t>
      </w:r>
      <w:r>
        <w:rPr>
          <w:rFonts w:hint="eastAsia"/>
          <w:b/>
          <w:bCs/>
          <w:sz w:val="24"/>
          <w:szCs w:val="24"/>
          <w:lang w:val="en-US" w:eastAsia="zh-CN"/>
        </w:rPr>
        <w:t>SM应用</w:t>
      </w:r>
      <w:r>
        <w:rPr>
          <w:rFonts w:hint="eastAsia"/>
          <w:b/>
          <w:bCs/>
          <w:sz w:val="24"/>
          <w:szCs w:val="24"/>
        </w:rPr>
        <w:t xml:space="preserve">日志 </w:t>
      </w:r>
      <w:r>
        <w:rPr>
          <w:rFonts w:hint="eastAsia"/>
          <w:b/>
          <w:bCs/>
          <w:sz w:val="24"/>
          <w:szCs w:val="24"/>
          <w:lang w:val="en-US" w:eastAsia="zh-CN"/>
        </w:rPr>
        <w:t>SM</w:t>
      </w:r>
      <w:r>
        <w:rPr>
          <w:rFonts w:hint="eastAsia"/>
          <w:b/>
          <w:bCs/>
          <w:sz w:val="24"/>
          <w:szCs w:val="24"/>
        </w:rPr>
        <w:t xml:space="preserve"> Log</w:t>
      </w:r>
    </w:p>
    <w:p w14:paraId="39AC4F99">
      <w:pPr>
        <w:pStyle w:val="34"/>
        <w:ind w:firstLine="420" w:firstLineChars="0"/>
        <w:rPr>
          <w:rFonts w:hint="eastAsia"/>
          <w:lang w:val="en-US" w:eastAsia="zh-CN"/>
        </w:rPr>
      </w:pPr>
      <w:r>
        <w:rPr>
          <w:rFonts w:hint="eastAsia"/>
          <w:lang w:val="en-US" w:eastAsia="zh-CN"/>
        </w:rPr>
        <w:t>SM系统日志管理参照《RC-SM-03 系统日志管理流程》，由SM团队独立审计，系统包括：</w:t>
      </w:r>
    </w:p>
    <w:p w14:paraId="28A91D4E">
      <w:pPr>
        <w:pStyle w:val="34"/>
        <w:ind w:firstLine="420" w:firstLineChars="0"/>
        <w:rPr>
          <w:rFonts w:hint="default"/>
          <w:lang w:val="en-US" w:eastAsia="zh-CN"/>
        </w:rPr>
      </w:pPr>
      <w:r>
        <w:rPr>
          <w:rFonts w:hint="default"/>
          <w:lang w:val="en-US" w:eastAsia="zh-CN"/>
        </w:rPr>
        <w:t>SM system log management refers to "RC-SM-03 System Log Management Process" and is independently audited by the SM team. The system includes:</w:t>
      </w:r>
    </w:p>
    <w:p w14:paraId="2BB25649">
      <w:pPr>
        <w:numPr>
          <w:ilvl w:val="0"/>
          <w:numId w:val="4"/>
        </w:numPr>
        <w:spacing w:line="360" w:lineRule="auto"/>
        <w:jc w:val="left"/>
      </w:pPr>
      <w:r>
        <w:rPr>
          <w:rFonts w:hint="eastAsia"/>
        </w:rPr>
        <w:t>RSP Dpplus</w:t>
      </w:r>
    </w:p>
    <w:p w14:paraId="7E7E5DCB">
      <w:pPr>
        <w:numPr>
          <w:ilvl w:val="0"/>
          <w:numId w:val="4"/>
        </w:numPr>
        <w:spacing w:line="360" w:lineRule="auto"/>
        <w:jc w:val="left"/>
      </w:pPr>
      <w:r>
        <w:rPr>
          <w:rFonts w:hint="eastAsia"/>
        </w:rPr>
        <w:t>RSP DP</w:t>
      </w:r>
    </w:p>
    <w:p w14:paraId="3AF7C403">
      <w:pPr>
        <w:numPr>
          <w:ilvl w:val="0"/>
          <w:numId w:val="4"/>
        </w:numPr>
        <w:spacing w:line="360" w:lineRule="auto"/>
        <w:jc w:val="left"/>
      </w:pPr>
      <w:r>
        <w:rPr>
          <w:rFonts w:hint="eastAsia"/>
        </w:rPr>
        <w:t>RSP SR</w:t>
      </w:r>
    </w:p>
    <w:p w14:paraId="09E57722">
      <w:pPr>
        <w:numPr>
          <w:ilvl w:val="0"/>
          <w:numId w:val="4"/>
        </w:numPr>
        <w:spacing w:line="360" w:lineRule="auto"/>
        <w:jc w:val="left"/>
      </w:pPr>
      <w:r>
        <w:rPr>
          <w:rFonts w:hint="eastAsia"/>
        </w:rPr>
        <w:t>RSP EIM</w:t>
      </w:r>
    </w:p>
    <w:p w14:paraId="78EB2744">
      <w:pPr>
        <w:numPr>
          <w:ilvl w:val="0"/>
          <w:numId w:val="4"/>
        </w:numPr>
        <w:spacing w:line="360" w:lineRule="auto"/>
        <w:jc w:val="left"/>
      </w:pPr>
      <w:r>
        <w:rPr>
          <w:rFonts w:hint="eastAsia"/>
        </w:rPr>
        <w:t>SM-KMS</w:t>
      </w:r>
    </w:p>
    <w:p w14:paraId="1284510D">
      <w:pPr>
        <w:pStyle w:val="34"/>
        <w:ind w:firstLine="420"/>
      </w:pPr>
      <w:r>
        <w:rPr>
          <w:rFonts w:hint="eastAsia"/>
        </w:rPr>
        <w:br w:type="page"/>
      </w:r>
    </w:p>
    <w:p w14:paraId="7926130C">
      <w:pPr>
        <w:pStyle w:val="25"/>
        <w:numPr>
          <w:ilvl w:val="0"/>
          <w:numId w:val="2"/>
        </w:numPr>
      </w:pPr>
      <w:r>
        <w:rPr>
          <w:rFonts w:hint="eastAsia"/>
        </w:rPr>
        <w:t>相关文件Related Documents</w:t>
      </w:r>
    </w:p>
    <w:p w14:paraId="2726F3AE">
      <w:pPr>
        <w:pStyle w:val="34"/>
        <w:rPr>
          <w:rFonts w:hint="eastAsia"/>
        </w:rPr>
      </w:pPr>
      <w:r>
        <w:rPr>
          <w:rFonts w:hint="eastAsia"/>
        </w:rPr>
        <w:t>无</w:t>
      </w:r>
    </w:p>
    <w:p w14:paraId="29D5F966">
      <w:pPr>
        <w:pStyle w:val="25"/>
        <w:numPr>
          <w:ilvl w:val="0"/>
          <w:numId w:val="2"/>
        </w:numPr>
        <w:rPr>
          <w:rFonts w:hint="eastAsia"/>
        </w:rPr>
      </w:pPr>
      <w:r>
        <w:rPr>
          <w:rFonts w:hint="eastAsia"/>
        </w:rPr>
        <w:t>相关记录Related Forms</w:t>
      </w:r>
    </w:p>
    <w:p w14:paraId="3506E5B4">
      <w:pPr>
        <w:bidi w:val="0"/>
        <w:rPr>
          <w:rFonts w:hint="default"/>
          <w:lang w:val="en-US" w:eastAsia="zh-CN"/>
        </w:rPr>
      </w:pPr>
      <w:r>
        <w:rPr>
          <w:rFonts w:hint="eastAsia"/>
          <w:lang w:val="en-US" w:eastAsia="zh-CN"/>
        </w:rPr>
        <w:t>《安全整改记录表》</w:t>
      </w:r>
      <w:r>
        <w:rPr>
          <w:rFonts w:hint="default"/>
          <w:lang w:val="en-US" w:eastAsia="zh-CN"/>
        </w:rPr>
        <w:t>Security Correction Record Form</w:t>
      </w:r>
    </w:p>
    <w:p w14:paraId="721E11F5">
      <w:pPr>
        <w:bidi w:val="0"/>
        <w:rPr>
          <w:rFonts w:hint="default"/>
          <w:lang w:val="en-US" w:eastAsia="zh-CN"/>
        </w:rPr>
      </w:pPr>
    </w:p>
    <w:p w14:paraId="10E13A53">
      <w:pPr>
        <w:bidi w:val="0"/>
        <w:rPr>
          <w:rFonts w:hint="eastAsia" w:ascii="Arial" w:hAnsi="Arial" w:eastAsia="微软雅黑" w:cstheme="minorBidi"/>
          <w:b w:val="0"/>
          <w:kern w:val="2"/>
          <w:sz w:val="20"/>
          <w:szCs w:val="22"/>
          <w:lang w:val="en-US" w:eastAsia="zh-CN" w:bidi="ar-SA"/>
        </w:rPr>
      </w:pPr>
      <w:r>
        <w:rPr>
          <w:rFonts w:hint="eastAsia"/>
          <w:lang w:val="en-US" w:eastAsia="zh-CN"/>
        </w:rPr>
        <w:t>《</w:t>
      </w:r>
      <w:r>
        <w:rPr>
          <w:rFonts w:hint="eastAsia" w:ascii="Arial" w:hAnsi="Arial" w:eastAsia="微软雅黑" w:cstheme="minorBidi"/>
          <w:b w:val="0"/>
          <w:kern w:val="2"/>
          <w:sz w:val="20"/>
          <w:szCs w:val="22"/>
          <w:lang w:val="en-US" w:eastAsia="zh-CN" w:bidi="ar-SA"/>
        </w:rPr>
        <w:t>RC-SM-03 系统日志管理流程》RC-SM-03</w:t>
      </w:r>
      <w:r>
        <w:rPr>
          <w:rFonts w:hint="eastAsia" w:cstheme="minorBidi"/>
          <w:b w:val="0"/>
          <w:kern w:val="2"/>
          <w:sz w:val="20"/>
          <w:szCs w:val="22"/>
          <w:lang w:val="en-US" w:eastAsia="zh-CN" w:bidi="ar-SA"/>
        </w:rPr>
        <w:t xml:space="preserve"> </w:t>
      </w:r>
      <w:r>
        <w:rPr>
          <w:rFonts w:hint="eastAsia" w:ascii="Arial" w:hAnsi="Arial" w:eastAsia="微软雅黑" w:cstheme="minorBidi"/>
          <w:b w:val="0"/>
          <w:kern w:val="2"/>
          <w:sz w:val="20"/>
          <w:szCs w:val="22"/>
          <w:lang w:val="en-US" w:eastAsia="zh-CN" w:bidi="ar-SA"/>
        </w:rPr>
        <w:t>System Log Management</w:t>
      </w:r>
      <w:r>
        <w:rPr>
          <w:rFonts w:hint="eastAsia" w:cstheme="minorBidi"/>
          <w:b w:val="0"/>
          <w:kern w:val="2"/>
          <w:sz w:val="20"/>
          <w:szCs w:val="22"/>
          <w:lang w:val="en-US" w:eastAsia="zh-CN" w:bidi="ar-SA"/>
        </w:rPr>
        <w:t xml:space="preserve"> </w:t>
      </w:r>
      <w:r>
        <w:rPr>
          <w:rFonts w:hint="eastAsia" w:ascii="Arial" w:hAnsi="Arial" w:eastAsia="微软雅黑" w:cstheme="minorBidi"/>
          <w:b w:val="0"/>
          <w:kern w:val="2"/>
          <w:sz w:val="20"/>
          <w:szCs w:val="22"/>
          <w:lang w:val="en-US" w:eastAsia="zh-CN" w:bidi="ar-SA"/>
        </w:rPr>
        <w:t>Process</w:t>
      </w:r>
    </w:p>
    <w:p w14:paraId="1F38058D">
      <w:pPr>
        <w:pStyle w:val="34"/>
        <w:rPr>
          <w:rFonts w:hint="eastAsia"/>
        </w:rPr>
      </w:pPr>
    </w:p>
    <w:p w14:paraId="5833D106">
      <w:pPr>
        <w:pStyle w:val="36"/>
        <w:outlineLvl w:val="0"/>
        <w:rPr>
          <w:rFonts w:hint="eastAsia"/>
        </w:rPr>
      </w:pPr>
      <w:bookmarkStart w:id="1" w:name="_Toc184729186"/>
      <w:r>
        <w:t>Document History 文件历史记录</w:t>
      </w:r>
      <w:bookmarkEnd w:id="1"/>
    </w:p>
    <w:p w14:paraId="57C78C23">
      <w:pPr>
        <w:rPr>
          <w:b/>
        </w:rPr>
      </w:pPr>
      <w:r>
        <w:rPr>
          <w:b/>
        </w:rPr>
        <w:t xml:space="preserve"> </w:t>
      </w:r>
    </w:p>
    <w:tbl>
      <w:tblPr>
        <w:tblStyle w:val="14"/>
        <w:tblW w:w="112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71"/>
        <w:gridCol w:w="1389"/>
        <w:gridCol w:w="3714"/>
        <w:gridCol w:w="1630"/>
        <w:gridCol w:w="1630"/>
        <w:gridCol w:w="1630"/>
      </w:tblGrid>
      <w:tr w14:paraId="1FB968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8" w:hRule="atLeast"/>
          <w:jc w:val="center"/>
        </w:trPr>
        <w:tc>
          <w:tcPr>
            <w:tcW w:w="1271" w:type="dxa"/>
            <w:shd w:val="clear" w:color="auto" w:fill="E0E0E0"/>
            <w:vAlign w:val="center"/>
          </w:tcPr>
          <w:p w14:paraId="0F11B4F4">
            <w:pPr>
              <w:jc w:val="center"/>
              <w:rPr>
                <w:rFonts w:hint="eastAsia" w:ascii="微软雅黑" w:hAnsi="微软雅黑"/>
                <w:b/>
              </w:rPr>
            </w:pPr>
            <w:r>
              <w:rPr>
                <w:rFonts w:ascii="微软雅黑" w:hAnsi="微软雅黑"/>
                <w:b/>
              </w:rPr>
              <w:t>版本</w:t>
            </w:r>
          </w:p>
          <w:p w14:paraId="11CDB5A9">
            <w:pPr>
              <w:jc w:val="center"/>
              <w:rPr>
                <w:rFonts w:hint="eastAsia" w:ascii="微软雅黑" w:hAnsi="微软雅黑"/>
                <w:b/>
              </w:rPr>
            </w:pPr>
            <w:r>
              <w:rPr>
                <w:rFonts w:ascii="微软雅黑" w:hAnsi="微软雅黑"/>
                <w:b/>
              </w:rPr>
              <w:t>Version</w:t>
            </w:r>
          </w:p>
        </w:tc>
        <w:tc>
          <w:tcPr>
            <w:tcW w:w="1389" w:type="dxa"/>
            <w:shd w:val="clear" w:color="auto" w:fill="E0E0E0"/>
            <w:vAlign w:val="center"/>
          </w:tcPr>
          <w:p w14:paraId="68B5FDF0">
            <w:pPr>
              <w:jc w:val="center"/>
              <w:rPr>
                <w:rFonts w:hint="eastAsia" w:ascii="微软雅黑" w:hAnsi="微软雅黑"/>
                <w:b/>
              </w:rPr>
            </w:pPr>
            <w:r>
              <w:rPr>
                <w:rFonts w:ascii="微软雅黑" w:hAnsi="微软雅黑"/>
                <w:b/>
              </w:rPr>
              <w:t>日期</w:t>
            </w:r>
          </w:p>
          <w:p w14:paraId="765F24D2">
            <w:pPr>
              <w:jc w:val="center"/>
              <w:rPr>
                <w:rFonts w:hint="eastAsia" w:ascii="微软雅黑" w:hAnsi="微软雅黑"/>
                <w:b/>
              </w:rPr>
            </w:pPr>
            <w:r>
              <w:rPr>
                <w:rFonts w:ascii="微软雅黑" w:hAnsi="微软雅黑"/>
                <w:b/>
              </w:rPr>
              <w:t>Date</w:t>
            </w:r>
          </w:p>
        </w:tc>
        <w:tc>
          <w:tcPr>
            <w:tcW w:w="3714" w:type="dxa"/>
            <w:shd w:val="clear" w:color="auto" w:fill="E0E0E0"/>
            <w:vAlign w:val="top"/>
          </w:tcPr>
          <w:p w14:paraId="5780B559">
            <w:pPr>
              <w:jc w:val="center"/>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变更简述</w:t>
            </w:r>
          </w:p>
          <w:p w14:paraId="4448F771">
            <w:pPr>
              <w:keepNext w:val="0"/>
              <w:keepLines w:val="0"/>
              <w:pageBreakBefore w:val="0"/>
              <w:widowControl w:val="0"/>
              <w:kinsoku/>
              <w:wordWrap/>
              <w:overflowPunct/>
              <w:topLinePunct w:val="0"/>
              <w:autoSpaceDE/>
              <w:autoSpaceDN/>
              <w:bidi w:val="0"/>
              <w:adjustRightInd/>
              <w:snapToGrid/>
              <w:spacing w:line="360" w:lineRule="exact"/>
              <w:jc w:val="center"/>
              <w:textAlignment w:val="auto"/>
            </w:pPr>
            <w:r>
              <w:rPr>
                <w:rFonts w:hint="eastAsia" w:ascii="微软雅黑" w:hAnsi="微软雅黑" w:eastAsia="微软雅黑" w:cs="微软雅黑"/>
                <w:b/>
                <w:bCs/>
                <w:sz w:val="21"/>
                <w:szCs w:val="21"/>
                <w:vertAlign w:val="baseline"/>
                <w:lang w:val="en-US" w:eastAsia="zh-CN"/>
              </w:rPr>
              <w:t>Brief Description of change</w:t>
            </w:r>
          </w:p>
        </w:tc>
        <w:tc>
          <w:tcPr>
            <w:tcW w:w="1630" w:type="dxa"/>
            <w:shd w:val="clear" w:color="auto" w:fill="E0E0E0"/>
            <w:vAlign w:val="center"/>
          </w:tcPr>
          <w:p w14:paraId="56C06AD7">
            <w:pPr>
              <w:jc w:val="center"/>
              <w:rPr>
                <w:rFonts w:hint="default" w:ascii="微软雅黑" w:hAnsi="微软雅黑" w:eastAsia="微软雅黑"/>
                <w:b/>
                <w:lang w:val="en-US" w:eastAsia="zh-CN"/>
              </w:rPr>
            </w:pPr>
            <w:r>
              <w:rPr>
                <w:rFonts w:hint="eastAsia" w:ascii="微软雅黑" w:hAnsi="微软雅黑"/>
                <w:b/>
                <w:lang w:val="en-US" w:eastAsia="zh-CN"/>
              </w:rPr>
              <w:t>编辑</w:t>
            </w:r>
          </w:p>
          <w:p w14:paraId="0A571016">
            <w:pPr>
              <w:jc w:val="center"/>
              <w:rPr>
                <w:rFonts w:hint="eastAsia" w:ascii="微软雅黑" w:hAnsi="微软雅黑"/>
                <w:b/>
              </w:rPr>
            </w:pPr>
            <w:r>
              <w:rPr>
                <w:rFonts w:hint="eastAsia" w:ascii="微软雅黑" w:hAnsi="微软雅黑"/>
                <w:b/>
                <w:lang w:val="en-US" w:eastAsia="zh-CN"/>
              </w:rPr>
              <w:t>Editor</w:t>
            </w:r>
          </w:p>
        </w:tc>
        <w:tc>
          <w:tcPr>
            <w:tcW w:w="1630" w:type="dxa"/>
            <w:shd w:val="clear" w:color="auto" w:fill="E0E0E0"/>
            <w:vAlign w:val="center"/>
          </w:tcPr>
          <w:p w14:paraId="7CFB605C">
            <w:pPr>
              <w:jc w:val="center"/>
              <w:rPr>
                <w:rFonts w:hint="eastAsia" w:ascii="微软雅黑" w:hAnsi="微软雅黑"/>
                <w:b/>
                <w:lang w:val="en-US" w:eastAsia="zh-CN"/>
              </w:rPr>
            </w:pPr>
            <w:r>
              <w:rPr>
                <w:rFonts w:hint="eastAsia" w:ascii="微软雅黑" w:hAnsi="微软雅黑"/>
                <w:b/>
                <w:lang w:val="en-US" w:eastAsia="zh-CN"/>
              </w:rPr>
              <w:t>审批</w:t>
            </w:r>
          </w:p>
          <w:p w14:paraId="76724D65">
            <w:pPr>
              <w:jc w:val="center"/>
              <w:rPr>
                <w:rFonts w:hint="eastAsia" w:ascii="微软雅黑" w:hAnsi="微软雅黑"/>
                <w:b/>
              </w:rPr>
            </w:pPr>
            <w:r>
              <w:rPr>
                <w:rFonts w:hint="eastAsia" w:ascii="微软雅黑" w:hAnsi="微软雅黑"/>
                <w:b/>
                <w:lang w:val="en-US" w:eastAsia="zh-CN"/>
              </w:rPr>
              <w:t>Auditor</w:t>
            </w:r>
          </w:p>
        </w:tc>
        <w:tc>
          <w:tcPr>
            <w:tcW w:w="1630" w:type="dxa"/>
            <w:shd w:val="clear" w:color="auto" w:fill="E0E0E0"/>
            <w:vAlign w:val="center"/>
          </w:tcPr>
          <w:p w14:paraId="64DFBD8C">
            <w:pPr>
              <w:jc w:val="center"/>
              <w:rPr>
                <w:rFonts w:hint="eastAsia" w:ascii="微软雅黑" w:hAnsi="微软雅黑"/>
                <w:b/>
              </w:rPr>
            </w:pPr>
            <w:r>
              <w:rPr>
                <w:rFonts w:hint="eastAsia" w:ascii="微软雅黑" w:hAnsi="微软雅黑"/>
                <w:b/>
              </w:rPr>
              <w:t>批准</w:t>
            </w:r>
          </w:p>
          <w:p w14:paraId="71C3C6A4">
            <w:pPr>
              <w:jc w:val="center"/>
              <w:rPr>
                <w:rFonts w:hint="eastAsia" w:ascii="微软雅黑" w:hAnsi="微软雅黑"/>
                <w:b/>
              </w:rPr>
            </w:pPr>
            <w:r>
              <w:rPr>
                <w:rFonts w:hint="eastAsia" w:ascii="微软雅黑" w:hAnsi="微软雅黑"/>
                <w:b/>
              </w:rPr>
              <w:t>Approve</w:t>
            </w:r>
          </w:p>
        </w:tc>
      </w:tr>
      <w:tr w14:paraId="5EE0515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vAlign w:val="center"/>
          </w:tcPr>
          <w:p w14:paraId="7391DF6E">
            <w:pPr>
              <w:spacing w:line="280" w:lineRule="exact"/>
              <w:jc w:val="center"/>
              <w:rPr>
                <w:rFonts w:hint="eastAsia" w:ascii="微软雅黑" w:hAnsi="微软雅黑"/>
              </w:rPr>
            </w:pPr>
            <w:r>
              <w:rPr>
                <w:rFonts w:hint="eastAsia" w:ascii="微软雅黑" w:hAnsi="微软雅黑"/>
              </w:rPr>
              <w:t>1.0</w:t>
            </w:r>
          </w:p>
        </w:tc>
        <w:tc>
          <w:tcPr>
            <w:tcW w:w="1389" w:type="dxa"/>
            <w:vAlign w:val="center"/>
          </w:tcPr>
          <w:p w14:paraId="76D42545">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w:t>
            </w:r>
            <w:r>
              <w:rPr>
                <w:rFonts w:hint="eastAsia" w:ascii="微软雅黑" w:hAnsi="微软雅黑"/>
              </w:rPr>
              <w:t>/</w:t>
            </w:r>
            <w:r>
              <w:rPr>
                <w:rFonts w:hint="eastAsia" w:ascii="微软雅黑" w:hAnsi="微软雅黑"/>
                <w:lang w:val="en-US" w:eastAsia="zh-CN"/>
              </w:rPr>
              <w:t>15</w:t>
            </w:r>
          </w:p>
        </w:tc>
        <w:tc>
          <w:tcPr>
            <w:tcW w:w="3714" w:type="dxa"/>
            <w:vAlign w:val="center"/>
          </w:tcPr>
          <w:p w14:paraId="6F961FEC">
            <w:pPr>
              <w:spacing w:line="280" w:lineRule="exact"/>
              <w:jc w:val="center"/>
              <w:rPr>
                <w:rFonts w:hint="eastAsia" w:ascii="微软雅黑" w:hAnsi="微软雅黑"/>
              </w:rPr>
            </w:pPr>
            <w:r>
              <w:rPr>
                <w:rFonts w:hint="eastAsia" w:ascii="微软雅黑" w:hAnsi="微软雅黑"/>
              </w:rPr>
              <w:t>新版发布</w:t>
            </w:r>
          </w:p>
          <w:p w14:paraId="27EE7330">
            <w:pPr>
              <w:spacing w:line="280" w:lineRule="exact"/>
              <w:jc w:val="center"/>
              <w:rPr>
                <w:rFonts w:hint="eastAsia" w:ascii="微软雅黑" w:hAnsi="微软雅黑"/>
              </w:rPr>
            </w:pPr>
            <w:r>
              <w:rPr>
                <w:rFonts w:ascii="微软雅黑" w:hAnsi="微软雅黑"/>
              </w:rPr>
              <w:t>New version release</w:t>
            </w:r>
          </w:p>
        </w:tc>
        <w:tc>
          <w:tcPr>
            <w:tcW w:w="1630" w:type="dxa"/>
            <w:vAlign w:val="center"/>
          </w:tcPr>
          <w:p w14:paraId="11F573F0">
            <w:pPr>
              <w:spacing w:line="280" w:lineRule="exact"/>
              <w:jc w:val="center"/>
              <w:rPr>
                <w:rFonts w:hint="eastAsia" w:ascii="微软雅黑" w:hAnsi="微软雅黑"/>
              </w:rPr>
            </w:pPr>
            <w:r>
              <w:rPr>
                <w:rFonts w:hint="eastAsia" w:ascii="微软雅黑" w:hAnsi="微软雅黑"/>
                <w:lang w:val="en-US" w:eastAsia="zh-CN"/>
              </w:rPr>
              <w:t>郑炳佳</w:t>
            </w:r>
          </w:p>
        </w:tc>
        <w:tc>
          <w:tcPr>
            <w:tcW w:w="1630" w:type="dxa"/>
            <w:vAlign w:val="center"/>
          </w:tcPr>
          <w:p w14:paraId="539A35A3">
            <w:pPr>
              <w:spacing w:line="280" w:lineRule="exact"/>
              <w:jc w:val="center"/>
              <w:rPr>
                <w:rFonts w:hint="eastAsia" w:ascii="微软雅黑" w:hAnsi="微软雅黑"/>
              </w:rPr>
            </w:pPr>
            <w:r>
              <w:rPr>
                <w:rFonts w:hint="eastAsia" w:ascii="微软雅黑" w:hAnsi="微软雅黑"/>
                <w:lang w:val="en-US" w:eastAsia="zh-CN"/>
              </w:rPr>
              <w:t>杨龙威</w:t>
            </w:r>
          </w:p>
        </w:tc>
        <w:tc>
          <w:tcPr>
            <w:tcW w:w="1630" w:type="dxa"/>
            <w:vAlign w:val="center"/>
          </w:tcPr>
          <w:p w14:paraId="3BD54D61">
            <w:pPr>
              <w:spacing w:line="280" w:lineRule="exact"/>
              <w:jc w:val="center"/>
              <w:rPr>
                <w:rFonts w:hint="eastAsia" w:ascii="微软雅黑" w:hAnsi="微软雅黑"/>
              </w:rPr>
            </w:pPr>
            <w:r>
              <w:rPr>
                <w:rFonts w:hint="eastAsia" w:ascii="微软雅黑" w:hAnsi="微软雅黑"/>
                <w:lang w:val="en-US" w:eastAsia="zh-CN"/>
              </w:rPr>
              <w:t>郭思才</w:t>
            </w:r>
          </w:p>
        </w:tc>
      </w:tr>
      <w:tr w14:paraId="12ED5F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shd w:val="clear" w:color="auto" w:fill="auto"/>
            <w:vAlign w:val="center"/>
          </w:tcPr>
          <w:p w14:paraId="2534DE41">
            <w:pPr>
              <w:spacing w:line="280" w:lineRule="exact"/>
              <w:jc w:val="center"/>
              <w:rPr>
                <w:rFonts w:hint="default" w:ascii="微软雅黑" w:hAnsi="微软雅黑" w:eastAsia="微软雅黑" w:cstheme="minorBidi"/>
                <w:kern w:val="2"/>
                <w:sz w:val="21"/>
                <w:szCs w:val="22"/>
                <w:lang w:val="en-US" w:eastAsia="zh-CN" w:bidi="ar-SA"/>
              </w:rPr>
            </w:pPr>
            <w:r>
              <w:rPr>
                <w:rFonts w:hint="eastAsia" w:ascii="微软雅黑" w:hAnsi="微软雅黑"/>
                <w:lang w:val="en-US" w:eastAsia="zh-CN"/>
              </w:rPr>
              <w:t>2.0</w:t>
            </w:r>
          </w:p>
        </w:tc>
        <w:tc>
          <w:tcPr>
            <w:tcW w:w="1389" w:type="dxa"/>
            <w:shd w:val="clear" w:color="auto" w:fill="auto"/>
            <w:vAlign w:val="center"/>
          </w:tcPr>
          <w:p w14:paraId="0C8C9321">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4</w:t>
            </w:r>
            <w:r>
              <w:rPr>
                <w:rFonts w:hint="eastAsia" w:ascii="微软雅黑" w:hAnsi="微软雅黑"/>
              </w:rPr>
              <w:t>/</w:t>
            </w:r>
            <w:r>
              <w:rPr>
                <w:rFonts w:hint="eastAsia" w:ascii="微软雅黑" w:hAnsi="微软雅黑"/>
                <w:lang w:val="en-US" w:eastAsia="zh-CN"/>
              </w:rPr>
              <w:t>30</w:t>
            </w:r>
          </w:p>
        </w:tc>
        <w:tc>
          <w:tcPr>
            <w:tcW w:w="3714" w:type="dxa"/>
            <w:shd w:val="clear" w:color="auto" w:fill="auto"/>
            <w:vAlign w:val="center"/>
          </w:tcPr>
          <w:p w14:paraId="5D6E82D9">
            <w:pPr>
              <w:spacing w:line="280" w:lineRule="exact"/>
              <w:jc w:val="center"/>
              <w:rPr>
                <w:rFonts w:hint="eastAsia" w:ascii="微软雅黑" w:hAnsi="微软雅黑"/>
                <w:lang w:val="en-US" w:eastAsia="zh-CN"/>
              </w:rPr>
            </w:pPr>
            <w:r>
              <w:rPr>
                <w:rFonts w:hint="eastAsia" w:ascii="微软雅黑" w:hAnsi="微软雅黑"/>
                <w:lang w:val="en-US" w:eastAsia="zh-CN"/>
              </w:rPr>
              <w:t>修改信息等级</w:t>
            </w:r>
          </w:p>
          <w:p w14:paraId="53D06958">
            <w:pPr>
              <w:spacing w:line="280" w:lineRule="exact"/>
              <w:jc w:val="center"/>
              <w:rPr>
                <w:rFonts w:hint="default" w:ascii="微软雅黑" w:hAnsi="微软雅黑" w:eastAsia="微软雅黑" w:cstheme="minorBidi"/>
                <w:kern w:val="2"/>
                <w:sz w:val="21"/>
                <w:szCs w:val="22"/>
                <w:lang w:val="en-US" w:eastAsia="zh-CN" w:bidi="ar-SA"/>
              </w:rPr>
            </w:pPr>
            <w:r>
              <w:rPr>
                <w:rFonts w:hint="default" w:ascii="微软雅黑" w:hAnsi="微软雅黑"/>
                <w:lang w:val="en-US" w:eastAsia="zh-CN"/>
              </w:rPr>
              <w:t xml:space="preserve">Modify information </w:t>
            </w:r>
            <w:r>
              <w:rPr>
                <w:rFonts w:hint="eastAsia" w:ascii="微软雅黑" w:hAnsi="微软雅黑"/>
                <w:lang w:val="en-US" w:eastAsia="zh-CN"/>
              </w:rPr>
              <w:t>Class</w:t>
            </w:r>
          </w:p>
        </w:tc>
        <w:tc>
          <w:tcPr>
            <w:tcW w:w="1630" w:type="dxa"/>
            <w:shd w:val="clear" w:color="auto" w:fill="auto"/>
            <w:vAlign w:val="center"/>
          </w:tcPr>
          <w:p w14:paraId="28049DC4">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052CBB9B">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36133576">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1387DC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vAlign w:val="center"/>
          </w:tcPr>
          <w:p w14:paraId="5049B654">
            <w:pPr>
              <w:spacing w:line="280" w:lineRule="exact"/>
              <w:jc w:val="center"/>
              <w:rPr>
                <w:rFonts w:hint="default" w:ascii="微软雅黑" w:hAnsi="微软雅黑"/>
                <w:lang w:val="en-US" w:eastAsia="zh-CN"/>
              </w:rPr>
            </w:pPr>
            <w:r>
              <w:rPr>
                <w:rFonts w:hint="eastAsia" w:ascii="微软雅黑" w:hAnsi="微软雅黑"/>
                <w:lang w:val="en-US" w:eastAsia="zh-CN"/>
              </w:rPr>
              <w:t>3.0</w:t>
            </w:r>
          </w:p>
        </w:tc>
        <w:tc>
          <w:tcPr>
            <w:tcW w:w="1389" w:type="dxa"/>
            <w:vAlign w:val="center"/>
          </w:tcPr>
          <w:p w14:paraId="5EBFC6FB">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15</w:t>
            </w:r>
          </w:p>
        </w:tc>
        <w:tc>
          <w:tcPr>
            <w:tcW w:w="3714" w:type="dxa"/>
            <w:vAlign w:val="center"/>
          </w:tcPr>
          <w:p w14:paraId="3D9FB787">
            <w:pPr>
              <w:spacing w:line="280" w:lineRule="exact"/>
              <w:jc w:val="center"/>
              <w:rPr>
                <w:rFonts w:hint="eastAsia" w:ascii="微软雅黑" w:hAnsi="微软雅黑"/>
                <w:lang w:val="en-US" w:eastAsia="zh-CN"/>
              </w:rPr>
            </w:pPr>
            <w:r>
              <w:rPr>
                <w:rFonts w:hint="eastAsia" w:ascii="微软雅黑" w:hAnsi="微软雅黑"/>
                <w:lang w:val="en-US" w:eastAsia="zh-CN"/>
              </w:rPr>
              <w:t>修正部分英文描述</w:t>
            </w:r>
          </w:p>
          <w:p w14:paraId="6AEBE2F6">
            <w:pPr>
              <w:spacing w:line="280" w:lineRule="exact"/>
              <w:jc w:val="center"/>
              <w:rPr>
                <w:rFonts w:hint="default" w:ascii="微软雅黑" w:hAnsi="微软雅黑"/>
                <w:lang w:val="en-US" w:eastAsia="zh-CN"/>
              </w:rPr>
            </w:pPr>
            <w:r>
              <w:rPr>
                <w:rFonts w:hint="default" w:ascii="微软雅黑" w:hAnsi="微软雅黑"/>
                <w:lang w:val="en-US" w:eastAsia="zh-CN"/>
              </w:rPr>
              <w:t>Revise some English descriptions</w:t>
            </w:r>
          </w:p>
        </w:tc>
        <w:tc>
          <w:tcPr>
            <w:tcW w:w="1630" w:type="dxa"/>
            <w:shd w:val="clear" w:color="auto" w:fill="auto"/>
            <w:vAlign w:val="center"/>
          </w:tcPr>
          <w:p w14:paraId="6E7865BF">
            <w:pPr>
              <w:spacing w:line="280" w:lineRule="exact"/>
              <w:jc w:val="center"/>
              <w:rPr>
                <w:rFonts w:hint="eastAsia" w:ascii="微软雅黑" w:hAnsi="微软雅黑"/>
                <w:lang w:val="en-US" w:eastAsia="zh-CN"/>
              </w:rPr>
            </w:pPr>
            <w:r>
              <w:rPr>
                <w:rFonts w:hint="eastAsia" w:ascii="微软雅黑" w:hAnsi="微软雅黑"/>
                <w:lang w:val="en-US" w:eastAsia="zh-CN"/>
              </w:rPr>
              <w:t>郑炳佳</w:t>
            </w:r>
          </w:p>
        </w:tc>
        <w:tc>
          <w:tcPr>
            <w:tcW w:w="1630" w:type="dxa"/>
            <w:shd w:val="clear" w:color="auto" w:fill="auto"/>
            <w:vAlign w:val="center"/>
          </w:tcPr>
          <w:p w14:paraId="7B120117">
            <w:pPr>
              <w:spacing w:line="280" w:lineRule="exact"/>
              <w:jc w:val="center"/>
              <w:rPr>
                <w:rFonts w:hint="eastAsia" w:ascii="微软雅黑" w:hAnsi="微软雅黑"/>
                <w:lang w:val="en-US" w:eastAsia="zh-CN"/>
              </w:rPr>
            </w:pPr>
            <w:r>
              <w:rPr>
                <w:rFonts w:hint="eastAsia" w:ascii="微软雅黑" w:hAnsi="微软雅黑"/>
                <w:lang w:val="en-US" w:eastAsia="zh-CN"/>
              </w:rPr>
              <w:t>杨龙威</w:t>
            </w:r>
          </w:p>
        </w:tc>
        <w:tc>
          <w:tcPr>
            <w:tcW w:w="1630" w:type="dxa"/>
            <w:shd w:val="clear" w:color="auto" w:fill="auto"/>
            <w:vAlign w:val="center"/>
          </w:tcPr>
          <w:p w14:paraId="307D4A3E">
            <w:pPr>
              <w:spacing w:line="280" w:lineRule="exact"/>
              <w:jc w:val="center"/>
              <w:rPr>
                <w:rFonts w:hint="eastAsia" w:ascii="微软雅黑" w:hAnsi="微软雅黑"/>
                <w:lang w:val="en-US" w:eastAsia="zh-CN"/>
              </w:rPr>
            </w:pPr>
            <w:r>
              <w:rPr>
                <w:rFonts w:hint="eastAsia" w:ascii="微软雅黑" w:hAnsi="微软雅黑"/>
                <w:lang w:val="en-US" w:eastAsia="zh-CN"/>
              </w:rPr>
              <w:t>郭思才</w:t>
            </w:r>
          </w:p>
        </w:tc>
      </w:tr>
      <w:tr w14:paraId="2A8C3B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vAlign w:val="center"/>
          </w:tcPr>
          <w:p w14:paraId="12D396A9">
            <w:pPr>
              <w:spacing w:line="280" w:lineRule="exact"/>
              <w:jc w:val="center"/>
              <w:rPr>
                <w:rFonts w:hint="default" w:ascii="微软雅黑" w:hAnsi="微软雅黑"/>
                <w:lang w:val="en-US" w:eastAsia="zh-CN"/>
              </w:rPr>
            </w:pPr>
            <w:r>
              <w:rPr>
                <w:rFonts w:hint="eastAsia" w:ascii="微软雅黑" w:hAnsi="微软雅黑"/>
                <w:lang w:val="en-US" w:eastAsia="zh-CN"/>
              </w:rPr>
              <w:t>4.0</w:t>
            </w:r>
          </w:p>
        </w:tc>
        <w:tc>
          <w:tcPr>
            <w:tcW w:w="1389" w:type="dxa"/>
            <w:vAlign w:val="center"/>
          </w:tcPr>
          <w:p w14:paraId="17AAB3E0">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2025/6/21</w:t>
            </w:r>
          </w:p>
        </w:tc>
        <w:tc>
          <w:tcPr>
            <w:tcW w:w="3714" w:type="dxa"/>
            <w:vAlign w:val="center"/>
          </w:tcPr>
          <w:p w14:paraId="68E7DA86">
            <w:pPr>
              <w:spacing w:line="280" w:lineRule="exact"/>
              <w:jc w:val="center"/>
              <w:rPr>
                <w:rFonts w:hint="eastAsia" w:ascii="微软雅黑" w:hAnsi="微软雅黑"/>
                <w:lang w:val="en-US" w:eastAsia="zh-CN"/>
              </w:rPr>
            </w:pPr>
            <w:r>
              <w:rPr>
                <w:rFonts w:hint="eastAsia" w:ascii="微软雅黑" w:hAnsi="微软雅黑"/>
                <w:lang w:val="en-US" w:eastAsia="zh-CN"/>
              </w:rPr>
              <w:t>添加描述日志审计方法</w:t>
            </w:r>
          </w:p>
          <w:p w14:paraId="2B2C8DFA">
            <w:pPr>
              <w:spacing w:line="280" w:lineRule="exact"/>
              <w:jc w:val="center"/>
              <w:rPr>
                <w:rFonts w:hint="default" w:ascii="微软雅黑" w:hAnsi="微软雅黑"/>
                <w:lang w:val="en-US" w:eastAsia="zh-CN"/>
              </w:rPr>
            </w:pPr>
            <w:r>
              <w:rPr>
                <w:rFonts w:hint="default" w:ascii="微软雅黑" w:hAnsi="微软雅黑"/>
                <w:lang w:val="en-US" w:eastAsia="zh-CN"/>
              </w:rPr>
              <w:t>Add descriptive logging audit method</w:t>
            </w:r>
          </w:p>
        </w:tc>
        <w:tc>
          <w:tcPr>
            <w:tcW w:w="1630" w:type="dxa"/>
            <w:shd w:val="clear" w:color="auto" w:fill="auto"/>
            <w:vAlign w:val="center"/>
          </w:tcPr>
          <w:p w14:paraId="216CD27E">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1AC0B45B">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20790393">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549A34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tcBorders>
              <w:bottom w:val="single" w:color="auto" w:sz="6" w:space="0"/>
            </w:tcBorders>
            <w:vAlign w:val="center"/>
          </w:tcPr>
          <w:p w14:paraId="22669F33">
            <w:pPr>
              <w:spacing w:line="280" w:lineRule="exact"/>
              <w:jc w:val="center"/>
              <w:rPr>
                <w:rFonts w:hint="default" w:ascii="微软雅黑" w:hAnsi="微软雅黑"/>
                <w:lang w:val="en-US" w:eastAsia="zh-CN"/>
              </w:rPr>
            </w:pPr>
            <w:r>
              <w:rPr>
                <w:rFonts w:hint="eastAsia" w:ascii="微软雅黑" w:hAnsi="微软雅黑"/>
                <w:lang w:val="en-US" w:eastAsia="zh-CN"/>
              </w:rPr>
              <w:t>5.0</w:t>
            </w:r>
          </w:p>
        </w:tc>
        <w:tc>
          <w:tcPr>
            <w:tcW w:w="1389" w:type="dxa"/>
            <w:tcBorders>
              <w:bottom w:val="single" w:color="auto" w:sz="6" w:space="0"/>
            </w:tcBorders>
            <w:vAlign w:val="center"/>
          </w:tcPr>
          <w:p w14:paraId="0D66A2C2">
            <w:pPr>
              <w:spacing w:line="280" w:lineRule="exact"/>
              <w:jc w:val="center"/>
              <w:rPr>
                <w:rFonts w:hint="default" w:ascii="微软雅黑" w:hAnsi="微软雅黑"/>
                <w:lang w:val="en-US" w:eastAsia="zh-CN"/>
              </w:rPr>
            </w:pPr>
            <w:r>
              <w:rPr>
                <w:rFonts w:hint="eastAsia" w:ascii="微软雅黑" w:hAnsi="微软雅黑"/>
                <w:lang w:val="en-US" w:eastAsia="zh-CN"/>
              </w:rPr>
              <w:t>2025/7/10</w:t>
            </w:r>
          </w:p>
        </w:tc>
        <w:tc>
          <w:tcPr>
            <w:tcW w:w="3714" w:type="dxa"/>
            <w:tcBorders>
              <w:bottom w:val="single" w:color="auto" w:sz="6" w:space="0"/>
            </w:tcBorders>
            <w:vAlign w:val="center"/>
          </w:tcPr>
          <w:p w14:paraId="61114A17">
            <w:pPr>
              <w:spacing w:line="280" w:lineRule="exact"/>
              <w:jc w:val="center"/>
              <w:rPr>
                <w:rFonts w:hint="default" w:ascii="微软雅黑" w:hAnsi="微软雅黑"/>
                <w:lang w:val="en-US" w:eastAsia="zh-CN"/>
              </w:rPr>
            </w:pPr>
            <w:r>
              <w:rPr>
                <w:rFonts w:hint="default" w:ascii="微软雅黑" w:hAnsi="微软雅黑"/>
                <w:lang w:val="en-US" w:eastAsia="zh-CN"/>
              </w:rPr>
              <w:t>独立审计增加SM系统</w:t>
            </w:r>
          </w:p>
          <w:p w14:paraId="64B0602B">
            <w:pPr>
              <w:spacing w:line="280" w:lineRule="exact"/>
              <w:jc w:val="center"/>
              <w:rPr>
                <w:rFonts w:hint="default" w:ascii="微软雅黑" w:hAnsi="微软雅黑"/>
                <w:lang w:val="en-US" w:eastAsia="zh-CN"/>
              </w:rPr>
            </w:pPr>
            <w:r>
              <w:rPr>
                <w:rFonts w:hint="default" w:ascii="微软雅黑" w:hAnsi="微软雅黑"/>
                <w:lang w:val="en-US" w:eastAsia="zh-CN"/>
              </w:rPr>
              <w:t>Add SM system to independent audit</w:t>
            </w:r>
          </w:p>
        </w:tc>
        <w:tc>
          <w:tcPr>
            <w:tcW w:w="1630" w:type="dxa"/>
            <w:tcBorders>
              <w:bottom w:val="single" w:color="auto" w:sz="6" w:space="0"/>
            </w:tcBorders>
            <w:shd w:val="clear" w:color="auto" w:fill="auto"/>
            <w:vAlign w:val="center"/>
          </w:tcPr>
          <w:p w14:paraId="3780341B">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tcBorders>
              <w:bottom w:val="single" w:color="auto" w:sz="6" w:space="0"/>
            </w:tcBorders>
            <w:shd w:val="clear" w:color="auto" w:fill="auto"/>
            <w:vAlign w:val="center"/>
          </w:tcPr>
          <w:p w14:paraId="6B8BE02F">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tcBorders>
              <w:bottom w:val="single" w:color="auto" w:sz="6" w:space="0"/>
            </w:tcBorders>
            <w:shd w:val="clear" w:color="auto" w:fill="auto"/>
            <w:vAlign w:val="center"/>
          </w:tcPr>
          <w:p w14:paraId="2DCE96D0">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bl>
    <w:p w14:paraId="0FFA5501"/>
    <w:p w14:paraId="33D63708"/>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09"/>
        <w:gridCol w:w="3209"/>
        <w:gridCol w:w="3210"/>
      </w:tblGrid>
      <w:tr w14:paraId="53F09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7" w:hRule="atLeast"/>
        </w:trPr>
        <w:tc>
          <w:tcPr>
            <w:tcW w:w="3209" w:type="dxa"/>
            <w:shd w:val="clear" w:color="auto" w:fill="auto"/>
            <w:vAlign w:val="top"/>
          </w:tcPr>
          <w:p w14:paraId="7DB553B9">
            <w:pPr>
              <w:spacing w:line="480" w:lineRule="exact"/>
              <w:jc w:val="left"/>
              <w:rPr>
                <w:b/>
                <w:bCs/>
                <w:sz w:val="24"/>
                <w:szCs w:val="28"/>
              </w:rPr>
            </w:pPr>
            <w:r>
              <w:rPr>
                <w:rFonts w:hint="eastAsia" w:ascii="微软雅黑" w:hAnsi="微软雅黑"/>
                <w:b/>
                <w:lang w:val="en-US" w:eastAsia="zh-CN"/>
              </w:rPr>
              <w:t>编辑</w:t>
            </w:r>
            <w:r>
              <w:rPr>
                <w:rFonts w:hint="eastAsia"/>
                <w:b/>
                <w:bCs/>
                <w:sz w:val="24"/>
                <w:szCs w:val="28"/>
              </w:rPr>
              <w:t>：</w:t>
            </w:r>
          </w:p>
          <w:p w14:paraId="64169709">
            <w:pPr>
              <w:spacing w:line="480" w:lineRule="exact"/>
              <w:jc w:val="left"/>
            </w:pPr>
            <w:r>
              <w:rPr>
                <w:rFonts w:hint="eastAsia"/>
                <w:sz w:val="24"/>
                <w:szCs w:val="28"/>
                <w:lang w:val="en-US" w:eastAsia="zh-CN"/>
              </w:rPr>
              <w:t>Editor</w:t>
            </w:r>
            <w:r>
              <w:rPr>
                <w:rFonts w:hint="eastAsia"/>
                <w:sz w:val="24"/>
                <w:szCs w:val="28"/>
              </w:rPr>
              <w:t>:</w:t>
            </w:r>
          </w:p>
        </w:tc>
        <w:tc>
          <w:tcPr>
            <w:tcW w:w="3209" w:type="dxa"/>
            <w:shd w:val="clear" w:color="auto" w:fill="auto"/>
            <w:vAlign w:val="top"/>
          </w:tcPr>
          <w:p w14:paraId="2C6C683A">
            <w:pPr>
              <w:spacing w:line="480" w:lineRule="exact"/>
              <w:jc w:val="left"/>
              <w:rPr>
                <w:b/>
                <w:bCs/>
                <w:sz w:val="24"/>
                <w:szCs w:val="28"/>
              </w:rPr>
            </w:pPr>
            <w:r>
              <w:rPr>
                <w:rFonts w:hint="eastAsia"/>
                <w:b/>
                <w:bCs/>
                <w:sz w:val="24"/>
                <w:szCs w:val="28"/>
              </w:rPr>
              <w:t>审批：</w:t>
            </w:r>
          </w:p>
          <w:p w14:paraId="18A7C0F8">
            <w:pPr>
              <w:spacing w:line="480" w:lineRule="exact"/>
              <w:jc w:val="left"/>
            </w:pPr>
            <w:r>
              <w:rPr>
                <w:rFonts w:hint="eastAsia" w:ascii="微软雅黑" w:hAnsi="微软雅黑"/>
                <w:b/>
                <w:lang w:val="en-US" w:eastAsia="zh-CN"/>
              </w:rPr>
              <w:t>Auditor</w:t>
            </w:r>
            <w:r>
              <w:rPr>
                <w:rFonts w:hint="eastAsia"/>
                <w:sz w:val="24"/>
                <w:szCs w:val="28"/>
              </w:rPr>
              <w:t>:</w:t>
            </w:r>
          </w:p>
        </w:tc>
        <w:tc>
          <w:tcPr>
            <w:tcW w:w="3210" w:type="dxa"/>
            <w:shd w:val="clear" w:color="auto" w:fill="auto"/>
            <w:vAlign w:val="top"/>
          </w:tcPr>
          <w:p w14:paraId="33CCA1BA">
            <w:pPr>
              <w:spacing w:line="480" w:lineRule="exact"/>
              <w:jc w:val="left"/>
              <w:rPr>
                <w:b/>
                <w:bCs/>
                <w:sz w:val="24"/>
                <w:szCs w:val="28"/>
              </w:rPr>
            </w:pPr>
            <w:r>
              <w:rPr>
                <w:rFonts w:hint="eastAsia"/>
                <w:b/>
                <w:bCs/>
                <w:sz w:val="24"/>
                <w:szCs w:val="28"/>
                <w:lang w:val="en-US" w:eastAsia="zh-CN"/>
              </w:rPr>
              <w:t>批准</w:t>
            </w:r>
            <w:r>
              <w:rPr>
                <w:rFonts w:hint="eastAsia"/>
                <w:b/>
                <w:bCs/>
                <w:sz w:val="24"/>
                <w:szCs w:val="28"/>
              </w:rPr>
              <w:t>：</w:t>
            </w:r>
          </w:p>
          <w:p w14:paraId="568D345F">
            <w:pPr>
              <w:spacing w:line="480" w:lineRule="exact"/>
              <w:jc w:val="left"/>
            </w:pPr>
            <w:r>
              <w:rPr>
                <w:rFonts w:hint="eastAsia"/>
                <w:sz w:val="24"/>
                <w:szCs w:val="28"/>
                <w:lang w:val="en-US" w:eastAsia="zh-CN"/>
              </w:rPr>
              <w:t>Approve</w:t>
            </w:r>
            <w:r>
              <w:rPr>
                <w:rFonts w:hint="eastAsia"/>
                <w:sz w:val="24"/>
                <w:szCs w:val="28"/>
              </w:rPr>
              <w:t>:</w:t>
            </w:r>
          </w:p>
        </w:tc>
      </w:tr>
    </w:tbl>
    <w:p w14:paraId="0FEE7E4E">
      <w:pPr>
        <w:pStyle w:val="34"/>
      </w:pPr>
    </w:p>
    <w:sectPr>
      <w:footerReference r:id="rId7" w:type="first"/>
      <w:headerReference r:id="rId5" w:type="default"/>
      <w:footerReference r:id="rId6" w:type="default"/>
      <w:pgSz w:w="11906" w:h="16838"/>
      <w:pgMar w:top="720" w:right="1134" w:bottom="1440" w:left="1134" w:header="567"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9F88F">
    <w:pPr>
      <w:pStyle w:val="7"/>
      <w:jc w:val="right"/>
    </w:pPr>
    <w:r>
      <mc:AlternateContent>
        <mc:Choice Requires="wps">
          <w:drawing>
            <wp:anchor distT="0" distB="0" distL="114300" distR="114300" simplePos="0" relativeHeight="251661312" behindDoc="0" locked="0" layoutInCell="1" allowOverlap="1">
              <wp:simplePos x="0" y="0"/>
              <wp:positionH relativeFrom="column">
                <wp:posOffset>2000250</wp:posOffset>
              </wp:positionH>
              <wp:positionV relativeFrom="paragraph">
                <wp:posOffset>-78740</wp:posOffset>
              </wp:positionV>
              <wp:extent cx="1971040" cy="443865"/>
              <wp:effectExtent l="0" t="0" r="10160" b="13335"/>
              <wp:wrapNone/>
              <wp:docPr id="787843771" name="文本框 3"/>
              <wp:cNvGraphicFramePr/>
              <a:graphic xmlns:a="http://schemas.openxmlformats.org/drawingml/2006/main">
                <a:graphicData uri="http://schemas.microsoft.com/office/word/2010/wordprocessingShape">
                  <wps:wsp>
                    <wps:cNvSpPr txBox="1"/>
                    <wps:spPr>
                      <a:xfrm>
                        <a:off x="0" y="0"/>
                        <a:ext cx="1971040" cy="443986"/>
                      </a:xfrm>
                      <a:prstGeom prst="rect">
                        <a:avLst/>
                      </a:prstGeom>
                      <a:solidFill>
                        <a:schemeClr val="lt1"/>
                      </a:solidFill>
                      <a:ln w="6350">
                        <a:noFill/>
                      </a:ln>
                    </wps:spPr>
                    <wps:txbx>
                      <w:txbxContent>
                        <w:p w14:paraId="269D7DFF">
                          <w:pPr>
                            <w:jc w:val="center"/>
                            <w:rPr>
                              <w:sz w:val="18"/>
                              <w:szCs w:val="18"/>
                            </w:rPr>
                          </w:pPr>
                          <w:r>
                            <w:rPr>
                              <w:rFonts w:hint="eastAsia"/>
                              <w:sz w:val="18"/>
                              <w:szCs w:val="18"/>
                              <w:lang w:val="en-US" w:eastAsia="zh-CN"/>
                            </w:rPr>
                            <w:t>信息</w:t>
                          </w:r>
                          <w:r>
                            <w:rPr>
                              <w:rFonts w:hint="eastAsia"/>
                              <w:sz w:val="18"/>
                              <w:szCs w:val="18"/>
                            </w:rPr>
                            <w:t>等级：内部公开</w:t>
                          </w:r>
                        </w:p>
                        <w:p w14:paraId="1F001D6D">
                          <w:pPr>
                            <w:jc w:val="center"/>
                            <w:rPr>
                              <w:sz w:val="18"/>
                              <w:szCs w:val="18"/>
                              <w:u w:val="none"/>
                            </w:rPr>
                          </w:pPr>
                          <w:r>
                            <w:rPr>
                              <w:rFonts w:hint="eastAsia"/>
                              <w:sz w:val="18"/>
                              <w:szCs w:val="18"/>
                              <w:u w:val="none"/>
                            </w:rPr>
                            <w:t xml:space="preserve">Info Class: </w:t>
                          </w:r>
                          <w:r>
                            <w:rPr>
                              <w:sz w:val="18"/>
                              <w:szCs w:val="18"/>
                              <w:u w:val="none"/>
                            </w:rPr>
                            <w:t>Internal Disclosure</w:t>
                          </w:r>
                        </w:p>
                        <w:p w14:paraId="797DF08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57.5pt;margin-top:-6.2pt;height:34.95pt;width:155.2pt;z-index:251661312;mso-width-relative:page;mso-height-relative:page;" fillcolor="#FFFFFF [3201]" filled="t" stroked="f" coordsize="21600,21600" o:gfxdata="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ZdFmrWAAAACgEA&#10;AA8AAAAAAAAAAQAgAAAAIgAAAGRycy9kb3ducmV2LnhtbFBLAQIUABQAAAAIAIdO4kCjjjuVVQIA&#10;AJcEAAAOAAAAAAAAAAEAIAAAACUBAABkcnMvZTJvRG9jLnhtbFBLBQYAAAAABgAGAFkBAADsBQAA&#10;AAA=&#10;">
              <v:fill on="t" focussize="0,0"/>
              <v:stroke on="f" weight="0.5pt"/>
              <v:imagedata o:title=""/>
              <o:lock v:ext="edit" aspectratio="f"/>
              <v:textbox>
                <w:txbxContent>
                  <w:p w14:paraId="269D7DFF">
                    <w:pPr>
                      <w:jc w:val="center"/>
                      <w:rPr>
                        <w:sz w:val="18"/>
                        <w:szCs w:val="18"/>
                      </w:rPr>
                    </w:pPr>
                    <w:r>
                      <w:rPr>
                        <w:rFonts w:hint="eastAsia"/>
                        <w:sz w:val="18"/>
                        <w:szCs w:val="18"/>
                        <w:lang w:val="en-US" w:eastAsia="zh-CN"/>
                      </w:rPr>
                      <w:t>信息</w:t>
                    </w:r>
                    <w:r>
                      <w:rPr>
                        <w:rFonts w:hint="eastAsia"/>
                        <w:sz w:val="18"/>
                        <w:szCs w:val="18"/>
                      </w:rPr>
                      <w:t>等级：内部公开</w:t>
                    </w:r>
                  </w:p>
                  <w:p w14:paraId="1F001D6D">
                    <w:pPr>
                      <w:jc w:val="center"/>
                      <w:rPr>
                        <w:sz w:val="18"/>
                        <w:szCs w:val="18"/>
                        <w:u w:val="none"/>
                      </w:rPr>
                    </w:pPr>
                    <w:r>
                      <w:rPr>
                        <w:rFonts w:hint="eastAsia"/>
                        <w:sz w:val="18"/>
                        <w:szCs w:val="18"/>
                        <w:u w:val="none"/>
                      </w:rPr>
                      <w:t xml:space="preserve">Info Class: </w:t>
                    </w:r>
                    <w:r>
                      <w:rPr>
                        <w:sz w:val="18"/>
                        <w:szCs w:val="18"/>
                        <w:u w:val="none"/>
                      </w:rPr>
                      <w:t>Internal Disclosure</w:t>
                    </w:r>
                  </w:p>
                  <w:p w14:paraId="797DF08B"/>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5421630</wp:posOffset>
              </wp:positionH>
              <wp:positionV relativeFrom="paragraph">
                <wp:posOffset>-78740</wp:posOffset>
              </wp:positionV>
              <wp:extent cx="673100" cy="1828800"/>
              <wp:effectExtent l="0" t="0" r="0" b="0"/>
              <wp:wrapSquare wrapText="bothSides"/>
              <wp:docPr id="356813128" name="文本框 1"/>
              <wp:cNvGraphicFramePr/>
              <a:graphic xmlns:a="http://schemas.openxmlformats.org/drawingml/2006/main">
                <a:graphicData uri="http://schemas.microsoft.com/office/word/2010/wordprocessingShape">
                  <wps:wsp>
                    <wps:cNvSpPr txBox="1"/>
                    <wps:spPr>
                      <a:xfrm>
                        <a:off x="0" y="0"/>
                        <a:ext cx="673100" cy="1828800"/>
                      </a:xfrm>
                      <a:prstGeom prst="rect">
                        <a:avLst/>
                      </a:prstGeom>
                      <a:noFill/>
                      <a:ln w="6350">
                        <a:noFill/>
                      </a:ln>
                    </wps:spPr>
                    <wps:txbx>
                      <w:txbxContent>
                        <w:p w14:paraId="51DA51A9">
                          <w:pPr>
                            <w:pStyle w:val="7"/>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1" o:spid="_x0000_s1026" o:spt="202" type="#_x0000_t202" style="position:absolute;left:0pt;margin-left:426.9pt;margin-top:-6.2pt;height:144pt;width:53pt;mso-wrap-distance-bottom:0pt;mso-wrap-distance-left:9pt;mso-wrap-distance-right:9pt;mso-wrap-distance-top:0pt;z-index:251660288;mso-width-relative:page;mso-height-relative:page;" filled="f" stroked="f" coordsize="21600,21600" o:gfxdata="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67sI2AAAAAsBAAAPAAAAAAAAAAEAIAAAACIA&#10;AABkcnMvZG93bnJldi54bWxQSwECFAAUAAAACACHTuJAxMakSUICAABuBAAADgAAAAAAAAABACAA&#10;AAAnAQAAZHJzL2Uyb0RvYy54bWxQSwUGAAAAAAYABgBZAQAA2wUAAAAA&#10;">
              <v:fill on="f" focussize="0,0"/>
              <v:stroke on="f" weight="0.5pt"/>
              <v:imagedata o:title=""/>
              <o:lock v:ext="edit" aspectratio="f"/>
              <v:textbox style="mso-fit-shape-to-text:t;">
                <w:txbxContent>
                  <w:p w14:paraId="51DA51A9">
                    <w:pPr>
                      <w:pStyle w:val="7"/>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64C7">
    <w:pPr>
      <w:pStyle w:val="7"/>
    </w:pPr>
    <w:r>
      <mc:AlternateContent>
        <mc:Choice Requires="wps">
          <w:drawing>
            <wp:anchor distT="0" distB="0" distL="114300" distR="114300" simplePos="0" relativeHeight="251662336" behindDoc="0" locked="0" layoutInCell="1" allowOverlap="1">
              <wp:simplePos x="0" y="0"/>
              <wp:positionH relativeFrom="column">
                <wp:posOffset>2445385</wp:posOffset>
              </wp:positionH>
              <wp:positionV relativeFrom="paragraph">
                <wp:posOffset>-88900</wp:posOffset>
              </wp:positionV>
              <wp:extent cx="1257935" cy="443865"/>
              <wp:effectExtent l="0" t="0" r="0" b="0"/>
              <wp:wrapNone/>
              <wp:docPr id="2051536471" name="文本框 3"/>
              <wp:cNvGraphicFramePr/>
              <a:graphic xmlns:a="http://schemas.openxmlformats.org/drawingml/2006/main">
                <a:graphicData uri="http://schemas.microsoft.com/office/word/2010/wordprocessingShape">
                  <wps:wsp>
                    <wps:cNvSpPr txBox="1"/>
                    <wps:spPr>
                      <a:xfrm>
                        <a:off x="0" y="0"/>
                        <a:ext cx="1257960" cy="443986"/>
                      </a:xfrm>
                      <a:prstGeom prst="rect">
                        <a:avLst/>
                      </a:prstGeom>
                      <a:solidFill>
                        <a:schemeClr val="lt1"/>
                      </a:solidFill>
                      <a:ln w="6350">
                        <a:noFill/>
                      </a:ln>
                    </wps:spPr>
                    <wps:txbx>
                      <w:txbxContent>
                        <w:p w14:paraId="7F1D4A84">
                          <w:pPr>
                            <w:jc w:val="center"/>
                            <w:rPr>
                              <w:sz w:val="18"/>
                              <w:szCs w:val="18"/>
                            </w:rPr>
                          </w:pPr>
                          <w:r>
                            <w:rPr>
                              <w:rFonts w:hint="eastAsia"/>
                              <w:sz w:val="18"/>
                              <w:szCs w:val="18"/>
                            </w:rPr>
                            <w:t>安全等级：内部公开</w:t>
                          </w:r>
                        </w:p>
                        <w:p w14:paraId="21C0A18A">
                          <w:pPr>
                            <w:jc w:val="center"/>
                            <w:rPr>
                              <w:sz w:val="18"/>
                              <w:szCs w:val="18"/>
                            </w:rPr>
                          </w:pPr>
                          <w:r>
                            <w:rPr>
                              <w:sz w:val="18"/>
                              <w:szCs w:val="18"/>
                            </w:rPr>
                            <w:t>Internal Disclosure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92.55pt;margin-top:-7pt;height:34.95pt;width:99.05pt;z-index:251662336;mso-width-relative:page;mso-height-relative:page;" fillcolor="#FFFFFF [3201]" filled="t" stroked="f" coordsize="21600,21600" o:gfxdata="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CaNFu1gAAAAoB&#10;AAAPAAAAAAAAAAEAIAAAACIAAABkcnMvZG93bnJldi54bWxQSwECFAAUAAAACACHTuJAWhPsvVYC&#10;AACYBAAADgAAAAAAAAABACAAAAAlAQAAZHJzL2Uyb0RvYy54bWxQSwUGAAAAAAYABgBZAQAA7QUA&#10;AAAA&#10;">
              <v:fill on="t" focussize="0,0"/>
              <v:stroke on="f" weight="0.5pt"/>
              <v:imagedata o:title=""/>
              <o:lock v:ext="edit" aspectratio="f"/>
              <v:textbox>
                <w:txbxContent>
                  <w:p w14:paraId="7F1D4A84">
                    <w:pPr>
                      <w:jc w:val="center"/>
                      <w:rPr>
                        <w:sz w:val="18"/>
                        <w:szCs w:val="18"/>
                      </w:rPr>
                    </w:pPr>
                    <w:r>
                      <w:rPr>
                        <w:rFonts w:hint="eastAsia"/>
                        <w:sz w:val="18"/>
                        <w:szCs w:val="18"/>
                      </w:rPr>
                      <w:t>安全等级：内部公开</w:t>
                    </w:r>
                  </w:p>
                  <w:p w14:paraId="21C0A18A">
                    <w:pPr>
                      <w:jc w:val="center"/>
                      <w:rPr>
                        <w:sz w:val="18"/>
                        <w:szCs w:val="18"/>
                      </w:rPr>
                    </w:pPr>
                    <w:r>
                      <w:rPr>
                        <w:sz w:val="18"/>
                        <w:szCs w:val="18"/>
                      </w:rPr>
                      <w:t>Internal Disclosure</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F01CD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5F01CDB">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2"/>
      <w:gridCol w:w="2921"/>
      <w:gridCol w:w="3047"/>
    </w:tblGrid>
    <w:tr w14:paraId="3505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3742" w:type="dxa"/>
          <w:vMerge w:val="restart"/>
          <w:vAlign w:val="top"/>
        </w:tcPr>
        <w:p w14:paraId="18C972ED">
          <w:pPr>
            <w:pStyle w:val="8"/>
            <w:pBdr>
              <w:top w:val="none" w:color="auto" w:sz="0" w:space="0"/>
              <w:left w:val="none" w:color="auto" w:sz="0" w:space="0"/>
              <w:bottom w:val="none" w:color="auto" w:sz="0" w:space="0"/>
              <w:right w:val="none" w:color="auto" w:sz="0" w:space="0"/>
            </w:pBdr>
            <w:jc w:val="left"/>
            <w:rPr>
              <w:rFonts w:hint="eastAsia" w:eastAsia="宋体"/>
              <w:sz w:val="24"/>
              <w:szCs w:val="24"/>
              <w:lang w:eastAsia="zh-CN"/>
            </w:rPr>
          </w:pPr>
          <w:r>
            <w:rPr>
              <w:rFonts w:hint="eastAsia" w:eastAsia="宋体"/>
              <w:sz w:val="24"/>
              <w:szCs w:val="24"/>
              <w:lang w:eastAsia="zh-CN"/>
            </w:rPr>
            <w:drawing>
              <wp:inline distT="0" distB="0" distL="114300" distR="114300">
                <wp:extent cx="659765" cy="183515"/>
                <wp:effectExtent l="0" t="0" r="6985" b="6350"/>
                <wp:docPr id="3" name="图片 14" descr="1-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1-logo"/>
                        <pic:cNvPicPr>
                          <a:picLocks noChangeAspect="1"/>
                        </pic:cNvPicPr>
                      </pic:nvPicPr>
                      <pic:blipFill>
                        <a:blip r:embed="rId1"/>
                        <a:stretch>
                          <a:fillRect/>
                        </a:stretch>
                      </pic:blipFill>
                      <pic:spPr>
                        <a:xfrm>
                          <a:off x="0" y="0"/>
                          <a:ext cx="659765" cy="183515"/>
                        </a:xfrm>
                        <a:prstGeom prst="rect">
                          <a:avLst/>
                        </a:prstGeom>
                        <a:noFill/>
                        <a:ln>
                          <a:noFill/>
                        </a:ln>
                      </pic:spPr>
                    </pic:pic>
                  </a:graphicData>
                </a:graphic>
              </wp:inline>
            </w:drawing>
          </w:r>
        </w:p>
        <w:p w14:paraId="5A4CAD7D">
          <w:pPr>
            <w:jc w:val="center"/>
            <w:rPr>
              <w:rFonts w:hint="eastAsia"/>
              <w:b/>
              <w:sz w:val="24"/>
              <w:szCs w:val="24"/>
              <w:lang w:val="en-US" w:eastAsia="zh-CN"/>
            </w:rPr>
          </w:pPr>
          <w:r>
            <w:rPr>
              <w:rFonts w:hint="eastAsia"/>
              <w:b/>
              <w:sz w:val="24"/>
              <w:szCs w:val="24"/>
              <w:lang w:val="en-US" w:eastAsia="zh-CN"/>
            </w:rPr>
            <w:t>安全审计控制流程</w:t>
          </w:r>
        </w:p>
        <w:p w14:paraId="4ACB947D">
          <w:pPr>
            <w:jc w:val="center"/>
            <w:rPr>
              <w:rFonts w:hint="default" w:eastAsia="微软雅黑"/>
              <w:lang w:val="en-US" w:eastAsia="zh-CN"/>
            </w:rPr>
          </w:pPr>
          <w:r>
            <w:rPr>
              <w:rFonts w:hint="eastAsia"/>
              <w:b/>
              <w:sz w:val="24"/>
              <w:szCs w:val="24"/>
              <w:lang w:val="en-US" w:eastAsia="zh-CN"/>
            </w:rPr>
            <w:t>Security audit control process</w:t>
          </w:r>
        </w:p>
      </w:tc>
      <w:tc>
        <w:tcPr>
          <w:tcW w:w="2921" w:type="dxa"/>
          <w:vAlign w:val="top"/>
        </w:tcPr>
        <w:p w14:paraId="67DC98D2">
          <w:pPr>
            <w:pStyle w:val="8"/>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r>
            <w:rPr>
              <w:rFonts w:hint="eastAsia"/>
              <w:b/>
              <w:bCs/>
              <w:sz w:val="24"/>
              <w:szCs w:val="24"/>
              <w:vertAlign w:val="baseline"/>
              <w:lang w:val="en-US" w:eastAsia="zh-CN"/>
            </w:rPr>
            <w:t>文件编号</w:t>
          </w:r>
        </w:p>
        <w:p w14:paraId="2752E7E2">
          <w:pPr>
            <w:pStyle w:val="8"/>
            <w:pBdr>
              <w:top w:val="none" w:color="auto" w:sz="0" w:space="0"/>
              <w:left w:val="none" w:color="auto" w:sz="0" w:space="0"/>
              <w:bottom w:val="none" w:color="auto" w:sz="0" w:space="0"/>
              <w:right w:val="none" w:color="auto" w:sz="0" w:space="0"/>
            </w:pBdr>
            <w:jc w:val="left"/>
            <w:rPr>
              <w:b/>
              <w:bCs/>
            </w:rPr>
          </w:pPr>
          <w:r>
            <w:rPr>
              <w:rFonts w:hint="eastAsia"/>
              <w:b/>
              <w:bCs/>
              <w:sz w:val="24"/>
              <w:szCs w:val="24"/>
              <w:vertAlign w:val="baseline"/>
              <w:lang w:val="en-US" w:eastAsia="zh-CN"/>
            </w:rPr>
            <w:t>Document No.：</w:t>
          </w:r>
        </w:p>
      </w:tc>
      <w:tc>
        <w:tcPr>
          <w:tcW w:w="3047" w:type="dxa"/>
          <w:vAlign w:val="top"/>
        </w:tcPr>
        <w:p w14:paraId="4C0A3E2C">
          <w:pPr>
            <w:pStyle w:val="8"/>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554116C7">
          <w:pPr>
            <w:pStyle w:val="8"/>
            <w:pBdr>
              <w:top w:val="none" w:color="auto" w:sz="0" w:space="0"/>
              <w:left w:val="none" w:color="auto" w:sz="0" w:space="0"/>
              <w:bottom w:val="none" w:color="auto" w:sz="0" w:space="0"/>
              <w:right w:val="none" w:color="auto" w:sz="0" w:space="0"/>
            </w:pBdr>
            <w:jc w:val="left"/>
          </w:pPr>
          <w:r>
            <w:rPr>
              <w:rFonts w:hint="eastAsia"/>
              <w:b/>
              <w:bCs/>
              <w:sz w:val="24"/>
              <w:szCs w:val="24"/>
              <w:vertAlign w:val="baseline"/>
              <w:lang w:val="en-US" w:eastAsia="zh-CN"/>
            </w:rPr>
            <w:t>RC-IT-05</w:t>
          </w:r>
        </w:p>
      </w:tc>
    </w:tr>
    <w:tr w14:paraId="3446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2" w:type="dxa"/>
          <w:vMerge w:val="continue"/>
          <w:vAlign w:val="top"/>
        </w:tcPr>
        <w:p w14:paraId="334FB375">
          <w:pPr>
            <w:pStyle w:val="8"/>
            <w:pBdr>
              <w:top w:val="none" w:color="auto" w:sz="0" w:space="0"/>
              <w:left w:val="none" w:color="auto" w:sz="0" w:space="0"/>
              <w:bottom w:val="none" w:color="auto" w:sz="0" w:space="0"/>
              <w:right w:val="none" w:color="auto" w:sz="0" w:space="0"/>
            </w:pBdr>
          </w:pPr>
        </w:p>
      </w:tc>
      <w:tc>
        <w:tcPr>
          <w:tcW w:w="2921" w:type="dxa"/>
          <w:vAlign w:val="top"/>
        </w:tcPr>
        <w:p w14:paraId="48ED9E16">
          <w:pPr>
            <w:pStyle w:val="8"/>
            <w:pBdr>
              <w:top w:val="none" w:color="auto" w:sz="0" w:space="0"/>
              <w:left w:val="none" w:color="auto" w:sz="0" w:space="0"/>
              <w:bottom w:val="none" w:color="auto" w:sz="0" w:space="0"/>
              <w:right w:val="none" w:color="auto" w:sz="0" w:space="0"/>
            </w:pBdr>
            <w:jc w:val="left"/>
            <w:rPr>
              <w:rFonts w:hint="eastAsia"/>
              <w:b/>
              <w:bCs/>
              <w:sz w:val="24"/>
              <w:szCs w:val="24"/>
              <w:vertAlign w:val="baseline"/>
              <w:lang w:eastAsia="zh-CN"/>
            </w:rPr>
          </w:pPr>
          <w:r>
            <w:rPr>
              <w:rFonts w:hint="eastAsia"/>
              <w:b/>
              <w:bCs/>
              <w:sz w:val="24"/>
              <w:szCs w:val="24"/>
              <w:vertAlign w:val="baseline"/>
              <w:lang w:eastAsia="zh-CN"/>
            </w:rPr>
            <w:t>版本</w:t>
          </w:r>
        </w:p>
        <w:p w14:paraId="13A45484">
          <w:pPr>
            <w:pStyle w:val="8"/>
            <w:pBdr>
              <w:top w:val="none" w:color="auto" w:sz="0" w:space="0"/>
              <w:left w:val="none" w:color="auto" w:sz="0" w:space="0"/>
              <w:bottom w:val="none" w:color="auto" w:sz="0" w:space="0"/>
              <w:right w:val="none" w:color="auto" w:sz="0" w:space="0"/>
            </w:pBdr>
            <w:jc w:val="left"/>
          </w:pPr>
          <w:r>
            <w:rPr>
              <w:rFonts w:hint="eastAsia"/>
              <w:b/>
              <w:bCs/>
              <w:sz w:val="24"/>
              <w:szCs w:val="24"/>
              <w:vertAlign w:val="baseline"/>
              <w:lang w:val="en-US" w:eastAsia="zh-CN"/>
            </w:rPr>
            <w:t>Version:</w:t>
          </w:r>
        </w:p>
      </w:tc>
      <w:tc>
        <w:tcPr>
          <w:tcW w:w="3047" w:type="dxa"/>
          <w:vAlign w:val="top"/>
        </w:tcPr>
        <w:p w14:paraId="358C12C8">
          <w:pPr>
            <w:pStyle w:val="8"/>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33E23D5D">
          <w:pPr>
            <w:pStyle w:val="8"/>
            <w:pBdr>
              <w:top w:val="none" w:color="auto" w:sz="0" w:space="0"/>
              <w:left w:val="none" w:color="auto" w:sz="0" w:space="0"/>
              <w:bottom w:val="none" w:color="auto" w:sz="0" w:space="0"/>
              <w:right w:val="none" w:color="auto" w:sz="0" w:space="0"/>
            </w:pBdr>
            <w:jc w:val="left"/>
            <w:rPr>
              <w:rFonts w:hint="default" w:eastAsia="微软雅黑"/>
              <w:lang w:val="en-US" w:eastAsia="zh-CN"/>
            </w:rPr>
          </w:pPr>
          <w:r>
            <w:rPr>
              <w:rFonts w:hint="eastAsia"/>
              <w:b/>
              <w:bCs/>
              <w:sz w:val="24"/>
              <w:szCs w:val="24"/>
              <w:vertAlign w:val="baseline"/>
              <w:lang w:val="en-US" w:eastAsia="zh-CN"/>
            </w:rPr>
            <w:t>5.0</w:t>
          </w:r>
        </w:p>
      </w:tc>
    </w:tr>
  </w:tbl>
  <w:p w14:paraId="35150420">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DAE0A"/>
    <w:multiLevelType w:val="singleLevel"/>
    <w:tmpl w:val="8EDDAE0A"/>
    <w:lvl w:ilvl="0" w:tentative="0">
      <w:start w:val="1"/>
      <w:numFmt w:val="bullet"/>
      <w:lvlText w:val=""/>
      <w:lvlJc w:val="left"/>
      <w:pPr>
        <w:tabs>
          <w:tab w:val="left" w:pos="420"/>
        </w:tabs>
        <w:ind w:left="840" w:hanging="420"/>
      </w:pPr>
      <w:rPr>
        <w:rFonts w:hint="default" w:ascii="Wingdings" w:hAnsi="Wingdings"/>
      </w:rPr>
    </w:lvl>
  </w:abstractNum>
  <w:abstractNum w:abstractNumId="1">
    <w:nsid w:val="17281EB0"/>
    <w:multiLevelType w:val="multilevel"/>
    <w:tmpl w:val="17281EB0"/>
    <w:lvl w:ilvl="0" w:tentative="0">
      <w:start w:val="1"/>
      <w:numFmt w:val="decimal"/>
      <w:pStyle w:val="25"/>
      <w:suff w:val="space"/>
      <w:lvlText w:val="%1."/>
      <w:lvlJc w:val="left"/>
      <w:pPr>
        <w:ind w:left="0" w:firstLine="0"/>
      </w:pPr>
      <w:rPr>
        <w:rFonts w:hint="eastAsia" w:ascii="微软雅黑" w:hAnsi="微软雅黑" w:eastAsia="微软雅黑" w:cs="Arial"/>
      </w:rPr>
    </w:lvl>
    <w:lvl w:ilvl="1" w:tentative="0">
      <w:start w:val="1"/>
      <w:numFmt w:val="decimal"/>
      <w:pStyle w:val="27"/>
      <w:suff w:val="space"/>
      <w:lvlText w:val="%1.%2."/>
      <w:lvlJc w:val="left"/>
      <w:pPr>
        <w:ind w:left="0" w:firstLine="0"/>
      </w:pPr>
      <w:rPr>
        <w:rFonts w:hint="eastAsia"/>
      </w:rPr>
    </w:lvl>
    <w:lvl w:ilvl="2" w:tentative="0">
      <w:start w:val="1"/>
      <w:numFmt w:val="decimal"/>
      <w:lvlRestart w:val="1"/>
      <w:pStyle w:val="31"/>
      <w:isLg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1BA7AA54"/>
    <w:multiLevelType w:val="singleLevel"/>
    <w:tmpl w:val="1BA7AA54"/>
    <w:lvl w:ilvl="0" w:tentative="0">
      <w:start w:val="1"/>
      <w:numFmt w:val="bullet"/>
      <w:lvlText w:val=""/>
      <w:lvlJc w:val="left"/>
      <w:pPr>
        <w:tabs>
          <w:tab w:val="left" w:pos="420"/>
        </w:tabs>
        <w:ind w:left="840" w:hanging="420"/>
      </w:pPr>
      <w:rPr>
        <w:rFonts w:hint="default" w:ascii="Wingdings" w:hAnsi="Wingdings"/>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diYWJjNTk3NDU0MWNiOTRhNGM0YzY2NTI4OGJiMTAifQ=="/>
    <w:docVar w:name="KSO_WPS_MARK_KEY" w:val="f793e5d4-2ba2-499d-bd5c-7e0a44ce6230"/>
  </w:docVars>
  <w:rsids>
    <w:rsidRoot w:val="00172A27"/>
    <w:rsid w:val="00051146"/>
    <w:rsid w:val="0006678C"/>
    <w:rsid w:val="0006737A"/>
    <w:rsid w:val="00076EB9"/>
    <w:rsid w:val="0008274B"/>
    <w:rsid w:val="00092B97"/>
    <w:rsid w:val="000A303D"/>
    <w:rsid w:val="000C0E9D"/>
    <w:rsid w:val="000C3FCF"/>
    <w:rsid w:val="000C736A"/>
    <w:rsid w:val="000F61DF"/>
    <w:rsid w:val="00111B6F"/>
    <w:rsid w:val="00131A0F"/>
    <w:rsid w:val="00144A00"/>
    <w:rsid w:val="00162363"/>
    <w:rsid w:val="0016385E"/>
    <w:rsid w:val="00172A27"/>
    <w:rsid w:val="0019546C"/>
    <w:rsid w:val="001B3109"/>
    <w:rsid w:val="002442C1"/>
    <w:rsid w:val="00252364"/>
    <w:rsid w:val="0026364B"/>
    <w:rsid w:val="00286D03"/>
    <w:rsid w:val="002B1DB4"/>
    <w:rsid w:val="002B25E8"/>
    <w:rsid w:val="002C0E89"/>
    <w:rsid w:val="002F3C35"/>
    <w:rsid w:val="00305723"/>
    <w:rsid w:val="003333F7"/>
    <w:rsid w:val="00333A1A"/>
    <w:rsid w:val="003348B2"/>
    <w:rsid w:val="00374BB6"/>
    <w:rsid w:val="003A0251"/>
    <w:rsid w:val="003A743D"/>
    <w:rsid w:val="003B5378"/>
    <w:rsid w:val="003B76CE"/>
    <w:rsid w:val="003B793C"/>
    <w:rsid w:val="003D1365"/>
    <w:rsid w:val="003D7448"/>
    <w:rsid w:val="004305C1"/>
    <w:rsid w:val="0046438A"/>
    <w:rsid w:val="0047138A"/>
    <w:rsid w:val="004914BA"/>
    <w:rsid w:val="004968E1"/>
    <w:rsid w:val="004E20CC"/>
    <w:rsid w:val="004E4F37"/>
    <w:rsid w:val="00503A17"/>
    <w:rsid w:val="00504A73"/>
    <w:rsid w:val="00507530"/>
    <w:rsid w:val="00530D76"/>
    <w:rsid w:val="00542087"/>
    <w:rsid w:val="005463D7"/>
    <w:rsid w:val="00554C06"/>
    <w:rsid w:val="005666EF"/>
    <w:rsid w:val="005A7AC7"/>
    <w:rsid w:val="00601C05"/>
    <w:rsid w:val="00680970"/>
    <w:rsid w:val="00683909"/>
    <w:rsid w:val="006A289D"/>
    <w:rsid w:val="006A429A"/>
    <w:rsid w:val="006B517C"/>
    <w:rsid w:val="006B6CDB"/>
    <w:rsid w:val="006C005C"/>
    <w:rsid w:val="006C20C8"/>
    <w:rsid w:val="006E43E7"/>
    <w:rsid w:val="00702623"/>
    <w:rsid w:val="00722550"/>
    <w:rsid w:val="00741192"/>
    <w:rsid w:val="007705CD"/>
    <w:rsid w:val="007727C2"/>
    <w:rsid w:val="007761F9"/>
    <w:rsid w:val="00780858"/>
    <w:rsid w:val="007971F2"/>
    <w:rsid w:val="007A2D5A"/>
    <w:rsid w:val="007A4234"/>
    <w:rsid w:val="007A798C"/>
    <w:rsid w:val="007B30C2"/>
    <w:rsid w:val="007B40A3"/>
    <w:rsid w:val="007C39FE"/>
    <w:rsid w:val="007D3CBF"/>
    <w:rsid w:val="007E228A"/>
    <w:rsid w:val="007E661C"/>
    <w:rsid w:val="007F7D46"/>
    <w:rsid w:val="00805A3A"/>
    <w:rsid w:val="00835D7A"/>
    <w:rsid w:val="00840DEA"/>
    <w:rsid w:val="00841275"/>
    <w:rsid w:val="008512E2"/>
    <w:rsid w:val="00875241"/>
    <w:rsid w:val="00883DC3"/>
    <w:rsid w:val="008900C4"/>
    <w:rsid w:val="008B5090"/>
    <w:rsid w:val="008D0AE9"/>
    <w:rsid w:val="008E33EB"/>
    <w:rsid w:val="008F630D"/>
    <w:rsid w:val="00932F9B"/>
    <w:rsid w:val="00954A19"/>
    <w:rsid w:val="00960DBB"/>
    <w:rsid w:val="0097320E"/>
    <w:rsid w:val="00974BF5"/>
    <w:rsid w:val="009C51B7"/>
    <w:rsid w:val="009C537E"/>
    <w:rsid w:val="009C72B2"/>
    <w:rsid w:val="009F28B6"/>
    <w:rsid w:val="009F6A77"/>
    <w:rsid w:val="009F6C71"/>
    <w:rsid w:val="00A154DF"/>
    <w:rsid w:val="00A43217"/>
    <w:rsid w:val="00A50B89"/>
    <w:rsid w:val="00A63E7E"/>
    <w:rsid w:val="00A83A54"/>
    <w:rsid w:val="00AA1D8A"/>
    <w:rsid w:val="00AB22D4"/>
    <w:rsid w:val="00AB239E"/>
    <w:rsid w:val="00B21019"/>
    <w:rsid w:val="00B329DF"/>
    <w:rsid w:val="00B37348"/>
    <w:rsid w:val="00B44B58"/>
    <w:rsid w:val="00B6537D"/>
    <w:rsid w:val="00B74FE1"/>
    <w:rsid w:val="00B77D3C"/>
    <w:rsid w:val="00B8428B"/>
    <w:rsid w:val="00BB4C03"/>
    <w:rsid w:val="00BB57E0"/>
    <w:rsid w:val="00BC3CAF"/>
    <w:rsid w:val="00BC41E1"/>
    <w:rsid w:val="00BC62DE"/>
    <w:rsid w:val="00BC6E1C"/>
    <w:rsid w:val="00BD4A25"/>
    <w:rsid w:val="00BE1CC9"/>
    <w:rsid w:val="00BE4B23"/>
    <w:rsid w:val="00BE7416"/>
    <w:rsid w:val="00BE7B97"/>
    <w:rsid w:val="00BF61FD"/>
    <w:rsid w:val="00C059FF"/>
    <w:rsid w:val="00C211FA"/>
    <w:rsid w:val="00C603FA"/>
    <w:rsid w:val="00C72300"/>
    <w:rsid w:val="00C851C7"/>
    <w:rsid w:val="00CB001A"/>
    <w:rsid w:val="00CB7C4D"/>
    <w:rsid w:val="00CC3813"/>
    <w:rsid w:val="00CC7208"/>
    <w:rsid w:val="00D0084F"/>
    <w:rsid w:val="00D03615"/>
    <w:rsid w:val="00D0698A"/>
    <w:rsid w:val="00D43E64"/>
    <w:rsid w:val="00D46825"/>
    <w:rsid w:val="00D46B05"/>
    <w:rsid w:val="00D77233"/>
    <w:rsid w:val="00D80840"/>
    <w:rsid w:val="00D869B6"/>
    <w:rsid w:val="00DA712D"/>
    <w:rsid w:val="00DB2F4A"/>
    <w:rsid w:val="00DC39A7"/>
    <w:rsid w:val="00DF0274"/>
    <w:rsid w:val="00DF559C"/>
    <w:rsid w:val="00DF7D51"/>
    <w:rsid w:val="00E0462D"/>
    <w:rsid w:val="00E06888"/>
    <w:rsid w:val="00E13D17"/>
    <w:rsid w:val="00E55F4A"/>
    <w:rsid w:val="00E62891"/>
    <w:rsid w:val="00E8446C"/>
    <w:rsid w:val="00E846DC"/>
    <w:rsid w:val="00E9619B"/>
    <w:rsid w:val="00EA058E"/>
    <w:rsid w:val="00EB170A"/>
    <w:rsid w:val="00EF335E"/>
    <w:rsid w:val="00EF7268"/>
    <w:rsid w:val="00F02412"/>
    <w:rsid w:val="00F065B3"/>
    <w:rsid w:val="00F06803"/>
    <w:rsid w:val="00F1119B"/>
    <w:rsid w:val="00F21D9C"/>
    <w:rsid w:val="00F359CB"/>
    <w:rsid w:val="00F61A87"/>
    <w:rsid w:val="00F75890"/>
    <w:rsid w:val="00F7698E"/>
    <w:rsid w:val="00F83627"/>
    <w:rsid w:val="00F91A1E"/>
    <w:rsid w:val="00FA657F"/>
    <w:rsid w:val="00FD6206"/>
    <w:rsid w:val="00FE043F"/>
    <w:rsid w:val="00FE2950"/>
    <w:rsid w:val="00FE48AC"/>
    <w:rsid w:val="012855E1"/>
    <w:rsid w:val="0129233D"/>
    <w:rsid w:val="016A6FD7"/>
    <w:rsid w:val="017F3D3B"/>
    <w:rsid w:val="019F1377"/>
    <w:rsid w:val="0273635F"/>
    <w:rsid w:val="036029C0"/>
    <w:rsid w:val="03AB0659"/>
    <w:rsid w:val="03BB2592"/>
    <w:rsid w:val="03E2723E"/>
    <w:rsid w:val="04134AA5"/>
    <w:rsid w:val="05F91B13"/>
    <w:rsid w:val="06152D58"/>
    <w:rsid w:val="06954EBD"/>
    <w:rsid w:val="07214E72"/>
    <w:rsid w:val="07941B37"/>
    <w:rsid w:val="07B032BA"/>
    <w:rsid w:val="086F6DFB"/>
    <w:rsid w:val="08B52B93"/>
    <w:rsid w:val="08BF4A0E"/>
    <w:rsid w:val="09293C1C"/>
    <w:rsid w:val="0A2B3C80"/>
    <w:rsid w:val="0A2D5046"/>
    <w:rsid w:val="0A5B7E05"/>
    <w:rsid w:val="0A8F3F52"/>
    <w:rsid w:val="0B4E3CFB"/>
    <w:rsid w:val="0B804609"/>
    <w:rsid w:val="0BF25E8C"/>
    <w:rsid w:val="0C912D93"/>
    <w:rsid w:val="0CA060AB"/>
    <w:rsid w:val="0CA35A93"/>
    <w:rsid w:val="0D29243C"/>
    <w:rsid w:val="0DEC33DE"/>
    <w:rsid w:val="0E875C95"/>
    <w:rsid w:val="0F24110D"/>
    <w:rsid w:val="0F5372FC"/>
    <w:rsid w:val="0F7D6A6F"/>
    <w:rsid w:val="0FFD54BA"/>
    <w:rsid w:val="10134CDE"/>
    <w:rsid w:val="102568A6"/>
    <w:rsid w:val="10B01BC2"/>
    <w:rsid w:val="110E5BD1"/>
    <w:rsid w:val="12D56F61"/>
    <w:rsid w:val="13743CE5"/>
    <w:rsid w:val="13BF31B2"/>
    <w:rsid w:val="13EF426B"/>
    <w:rsid w:val="14083530"/>
    <w:rsid w:val="146B6F12"/>
    <w:rsid w:val="1490546B"/>
    <w:rsid w:val="153320AA"/>
    <w:rsid w:val="15722CF6"/>
    <w:rsid w:val="157307CC"/>
    <w:rsid w:val="158C5316"/>
    <w:rsid w:val="15CB7246"/>
    <w:rsid w:val="15E300E0"/>
    <w:rsid w:val="15EF0A27"/>
    <w:rsid w:val="16C77949"/>
    <w:rsid w:val="171E71A9"/>
    <w:rsid w:val="17916FEF"/>
    <w:rsid w:val="18382A24"/>
    <w:rsid w:val="18625A74"/>
    <w:rsid w:val="18827918"/>
    <w:rsid w:val="19694485"/>
    <w:rsid w:val="19914FE5"/>
    <w:rsid w:val="19C81B86"/>
    <w:rsid w:val="1AC82683"/>
    <w:rsid w:val="1ACD1314"/>
    <w:rsid w:val="1B982FF3"/>
    <w:rsid w:val="1BB81120"/>
    <w:rsid w:val="1C0C5403"/>
    <w:rsid w:val="1CD108C8"/>
    <w:rsid w:val="1D322C47"/>
    <w:rsid w:val="1E2E1326"/>
    <w:rsid w:val="1F221592"/>
    <w:rsid w:val="1F22797F"/>
    <w:rsid w:val="1F4F5C52"/>
    <w:rsid w:val="1F5366C5"/>
    <w:rsid w:val="1F745799"/>
    <w:rsid w:val="1F9414C8"/>
    <w:rsid w:val="20320ECE"/>
    <w:rsid w:val="204377F3"/>
    <w:rsid w:val="204E22F2"/>
    <w:rsid w:val="205E1FA5"/>
    <w:rsid w:val="2155378E"/>
    <w:rsid w:val="21FE5E18"/>
    <w:rsid w:val="220D7F1E"/>
    <w:rsid w:val="222F35C6"/>
    <w:rsid w:val="225F372C"/>
    <w:rsid w:val="22771FA7"/>
    <w:rsid w:val="231828DF"/>
    <w:rsid w:val="23C01644"/>
    <w:rsid w:val="23C200EA"/>
    <w:rsid w:val="23CD4746"/>
    <w:rsid w:val="244C00B5"/>
    <w:rsid w:val="2454465C"/>
    <w:rsid w:val="253E162A"/>
    <w:rsid w:val="253F0295"/>
    <w:rsid w:val="259DAAC0"/>
    <w:rsid w:val="25E847EB"/>
    <w:rsid w:val="262B069F"/>
    <w:rsid w:val="26CA3EF0"/>
    <w:rsid w:val="26E66850"/>
    <w:rsid w:val="27A663AA"/>
    <w:rsid w:val="27D30EC2"/>
    <w:rsid w:val="28643BAC"/>
    <w:rsid w:val="29437F8A"/>
    <w:rsid w:val="29A06291"/>
    <w:rsid w:val="29BA7338"/>
    <w:rsid w:val="2A7735F2"/>
    <w:rsid w:val="2A8E4390"/>
    <w:rsid w:val="2B65616F"/>
    <w:rsid w:val="2B89708F"/>
    <w:rsid w:val="2C8D7E9A"/>
    <w:rsid w:val="2CA92100"/>
    <w:rsid w:val="2CAE6886"/>
    <w:rsid w:val="2CB3185C"/>
    <w:rsid w:val="2CE7317E"/>
    <w:rsid w:val="2D08224A"/>
    <w:rsid w:val="2D8E211C"/>
    <w:rsid w:val="2E2146E2"/>
    <w:rsid w:val="2E4B0406"/>
    <w:rsid w:val="2EE713B8"/>
    <w:rsid w:val="2FB27BEF"/>
    <w:rsid w:val="2FB27CF5"/>
    <w:rsid w:val="2FD75527"/>
    <w:rsid w:val="30204B81"/>
    <w:rsid w:val="30C419B0"/>
    <w:rsid w:val="30C741BE"/>
    <w:rsid w:val="314920DA"/>
    <w:rsid w:val="315A2315"/>
    <w:rsid w:val="330B1B18"/>
    <w:rsid w:val="334C298B"/>
    <w:rsid w:val="335A4A65"/>
    <w:rsid w:val="339E7232"/>
    <w:rsid w:val="33AE2823"/>
    <w:rsid w:val="33B18651"/>
    <w:rsid w:val="34056568"/>
    <w:rsid w:val="344F0C48"/>
    <w:rsid w:val="34F155C5"/>
    <w:rsid w:val="3508372D"/>
    <w:rsid w:val="35397B93"/>
    <w:rsid w:val="35EF0ADA"/>
    <w:rsid w:val="36EE55DD"/>
    <w:rsid w:val="37166CB3"/>
    <w:rsid w:val="37B1C50E"/>
    <w:rsid w:val="37DF7624"/>
    <w:rsid w:val="37F15513"/>
    <w:rsid w:val="38710AB3"/>
    <w:rsid w:val="38944412"/>
    <w:rsid w:val="38CD6618"/>
    <w:rsid w:val="395806B7"/>
    <w:rsid w:val="39FF7EFD"/>
    <w:rsid w:val="3A3C6A5B"/>
    <w:rsid w:val="3A5314DC"/>
    <w:rsid w:val="3AB66E52"/>
    <w:rsid w:val="3B1613C3"/>
    <w:rsid w:val="3B27349C"/>
    <w:rsid w:val="3B2C6AD0"/>
    <w:rsid w:val="3B565B12"/>
    <w:rsid w:val="3B725FEC"/>
    <w:rsid w:val="3BAD204F"/>
    <w:rsid w:val="3C952504"/>
    <w:rsid w:val="3C9F2D8E"/>
    <w:rsid w:val="3D073F05"/>
    <w:rsid w:val="3EBC460F"/>
    <w:rsid w:val="3F0B7236"/>
    <w:rsid w:val="3F9E79D3"/>
    <w:rsid w:val="3FFF0995"/>
    <w:rsid w:val="40007366"/>
    <w:rsid w:val="403E50F9"/>
    <w:rsid w:val="40DE48E6"/>
    <w:rsid w:val="412515A3"/>
    <w:rsid w:val="418C14D0"/>
    <w:rsid w:val="41E124E4"/>
    <w:rsid w:val="424F2587"/>
    <w:rsid w:val="42D211A7"/>
    <w:rsid w:val="42F5057E"/>
    <w:rsid w:val="433C69C3"/>
    <w:rsid w:val="43EA577A"/>
    <w:rsid w:val="44570970"/>
    <w:rsid w:val="44AE2644"/>
    <w:rsid w:val="44B845E3"/>
    <w:rsid w:val="44EF1F91"/>
    <w:rsid w:val="45001D2E"/>
    <w:rsid w:val="459D5D78"/>
    <w:rsid w:val="45E71F71"/>
    <w:rsid w:val="461F2359"/>
    <w:rsid w:val="46965745"/>
    <w:rsid w:val="47212B7F"/>
    <w:rsid w:val="47571378"/>
    <w:rsid w:val="47737835"/>
    <w:rsid w:val="47F72214"/>
    <w:rsid w:val="49331CE6"/>
    <w:rsid w:val="49B239E8"/>
    <w:rsid w:val="49C724D8"/>
    <w:rsid w:val="4A8F7C01"/>
    <w:rsid w:val="4ACD3AC9"/>
    <w:rsid w:val="4B904E89"/>
    <w:rsid w:val="4CB64A77"/>
    <w:rsid w:val="4CC16BC4"/>
    <w:rsid w:val="4CD158F5"/>
    <w:rsid w:val="4D22159A"/>
    <w:rsid w:val="4D9A765D"/>
    <w:rsid w:val="4DF231CF"/>
    <w:rsid w:val="4DFA2EBA"/>
    <w:rsid w:val="4E4D464B"/>
    <w:rsid w:val="4EED066E"/>
    <w:rsid w:val="4F275982"/>
    <w:rsid w:val="4F507BD8"/>
    <w:rsid w:val="4FF20305"/>
    <w:rsid w:val="4FF35CDD"/>
    <w:rsid w:val="505861DB"/>
    <w:rsid w:val="50AA7E30"/>
    <w:rsid w:val="51AE7166"/>
    <w:rsid w:val="533A6DED"/>
    <w:rsid w:val="54547C25"/>
    <w:rsid w:val="54AB4AB2"/>
    <w:rsid w:val="54EA2BE1"/>
    <w:rsid w:val="550F3998"/>
    <w:rsid w:val="55491A29"/>
    <w:rsid w:val="555E1B24"/>
    <w:rsid w:val="556D1D67"/>
    <w:rsid w:val="55C83B22"/>
    <w:rsid w:val="55CF70B3"/>
    <w:rsid w:val="565C21A5"/>
    <w:rsid w:val="5661760C"/>
    <w:rsid w:val="56C162E9"/>
    <w:rsid w:val="572C2811"/>
    <w:rsid w:val="57707B89"/>
    <w:rsid w:val="577F5CD0"/>
    <w:rsid w:val="57981DED"/>
    <w:rsid w:val="57A75A04"/>
    <w:rsid w:val="57EF8835"/>
    <w:rsid w:val="580A39A0"/>
    <w:rsid w:val="58242BB1"/>
    <w:rsid w:val="582C1526"/>
    <w:rsid w:val="584A4068"/>
    <w:rsid w:val="585520DE"/>
    <w:rsid w:val="5878114F"/>
    <w:rsid w:val="587B2060"/>
    <w:rsid w:val="587D6765"/>
    <w:rsid w:val="58A60278"/>
    <w:rsid w:val="592A2449"/>
    <w:rsid w:val="5980290A"/>
    <w:rsid w:val="59AD307A"/>
    <w:rsid w:val="5A1D0200"/>
    <w:rsid w:val="5A2B0594"/>
    <w:rsid w:val="5A370F40"/>
    <w:rsid w:val="5A3E7AE0"/>
    <w:rsid w:val="5A571B68"/>
    <w:rsid w:val="5A89071A"/>
    <w:rsid w:val="5ABE7EE6"/>
    <w:rsid w:val="5B14526B"/>
    <w:rsid w:val="5CC931DD"/>
    <w:rsid w:val="5D752454"/>
    <w:rsid w:val="5F11698F"/>
    <w:rsid w:val="5F1D188E"/>
    <w:rsid w:val="5FF20CDD"/>
    <w:rsid w:val="600C5B29"/>
    <w:rsid w:val="60847A10"/>
    <w:rsid w:val="608A69DC"/>
    <w:rsid w:val="60966D77"/>
    <w:rsid w:val="6109328C"/>
    <w:rsid w:val="61DC793B"/>
    <w:rsid w:val="628A4B9E"/>
    <w:rsid w:val="629D1EDE"/>
    <w:rsid w:val="629E3135"/>
    <w:rsid w:val="62E70699"/>
    <w:rsid w:val="631B1F44"/>
    <w:rsid w:val="63442401"/>
    <w:rsid w:val="637A3FCD"/>
    <w:rsid w:val="63AE50B4"/>
    <w:rsid w:val="63B34DFD"/>
    <w:rsid w:val="6429154F"/>
    <w:rsid w:val="649D15DC"/>
    <w:rsid w:val="655642D4"/>
    <w:rsid w:val="656C10EF"/>
    <w:rsid w:val="659832B3"/>
    <w:rsid w:val="66635A90"/>
    <w:rsid w:val="66CB06ED"/>
    <w:rsid w:val="671B0FC0"/>
    <w:rsid w:val="67307C22"/>
    <w:rsid w:val="67CF3EE8"/>
    <w:rsid w:val="68612044"/>
    <w:rsid w:val="694320DB"/>
    <w:rsid w:val="6B853828"/>
    <w:rsid w:val="6C3A254B"/>
    <w:rsid w:val="6C571CC1"/>
    <w:rsid w:val="6DBB76BC"/>
    <w:rsid w:val="6E424769"/>
    <w:rsid w:val="6E63733A"/>
    <w:rsid w:val="6EC573AB"/>
    <w:rsid w:val="6FF75FB9"/>
    <w:rsid w:val="70C20D61"/>
    <w:rsid w:val="70FC4EAC"/>
    <w:rsid w:val="713162B0"/>
    <w:rsid w:val="717B3147"/>
    <w:rsid w:val="72853560"/>
    <w:rsid w:val="72D11D9C"/>
    <w:rsid w:val="73824DA5"/>
    <w:rsid w:val="73CC5482"/>
    <w:rsid w:val="73D70FC8"/>
    <w:rsid w:val="73FF3DFA"/>
    <w:rsid w:val="748102EA"/>
    <w:rsid w:val="74DF0716"/>
    <w:rsid w:val="76742AFE"/>
    <w:rsid w:val="776393E3"/>
    <w:rsid w:val="778D031B"/>
    <w:rsid w:val="77BE6597"/>
    <w:rsid w:val="77E14006"/>
    <w:rsid w:val="7893658B"/>
    <w:rsid w:val="79032A98"/>
    <w:rsid w:val="79355EB0"/>
    <w:rsid w:val="79D4677D"/>
    <w:rsid w:val="7A0643B5"/>
    <w:rsid w:val="7A611A20"/>
    <w:rsid w:val="7AD348A0"/>
    <w:rsid w:val="7BC71D81"/>
    <w:rsid w:val="7BF045AC"/>
    <w:rsid w:val="7BFE3DF2"/>
    <w:rsid w:val="7C402716"/>
    <w:rsid w:val="7CA751BC"/>
    <w:rsid w:val="7CBA3278"/>
    <w:rsid w:val="7D0F19EC"/>
    <w:rsid w:val="7D8A5338"/>
    <w:rsid w:val="7DB57F2F"/>
    <w:rsid w:val="7E5A635E"/>
    <w:rsid w:val="7F8F1EB3"/>
    <w:rsid w:val="7FC05006"/>
    <w:rsid w:val="9E956568"/>
    <w:rsid w:val="B7FEE7E6"/>
    <w:rsid w:val="BBF6F773"/>
    <w:rsid w:val="BEFC677A"/>
    <w:rsid w:val="DFF43D42"/>
    <w:rsid w:val="E7EF1F7B"/>
    <w:rsid w:val="EAF51AED"/>
    <w:rsid w:val="F777EE29"/>
    <w:rsid w:val="F77928D9"/>
    <w:rsid w:val="F9EF8595"/>
    <w:rsid w:val="FD7B4B3E"/>
    <w:rsid w:val="FF1EBE73"/>
    <w:rsid w:val="FFC798B5"/>
    <w:rsid w:val="FFF7E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0" w:lineRule="atLeast"/>
      <w:jc w:val="both"/>
    </w:pPr>
    <w:rPr>
      <w:rFonts w:ascii="Arial" w:hAnsi="Arial" w:eastAsia="微软雅黑" w:cstheme="minorBidi"/>
      <w:kern w:val="2"/>
      <w:sz w:val="21"/>
      <w:szCs w:val="22"/>
      <w:lang w:val="en-US" w:eastAsia="zh-CN" w:bidi="ar-SA"/>
    </w:rPr>
  </w:style>
  <w:style w:type="paragraph" w:styleId="2">
    <w:name w:val="heading 1"/>
    <w:basedOn w:val="1"/>
    <w:next w:val="1"/>
    <w:link w:val="29"/>
    <w:qFormat/>
    <w:uiPriority w:val="9"/>
    <w:pPr>
      <w:keepNext/>
      <w:keepLines/>
      <w:spacing w:before="340" w:after="330" w:line="578" w:lineRule="atLeast"/>
      <w:outlineLvl w:val="0"/>
    </w:pPr>
    <w:rPr>
      <w:b/>
      <w:bCs/>
      <w:kern w:val="44"/>
      <w:sz w:val="44"/>
      <w:szCs w:val="44"/>
    </w:rPr>
  </w:style>
  <w:style w:type="paragraph" w:styleId="3">
    <w:name w:val="heading 4"/>
    <w:basedOn w:val="1"/>
    <w:next w:val="1"/>
    <w:unhideWhenUsed/>
    <w:qFormat/>
    <w:uiPriority w:val="9"/>
    <w:pPr>
      <w:keepNext/>
      <w:keepLines/>
      <w:spacing w:before="280" w:after="290" w:line="376" w:lineRule="auto"/>
      <w:outlineLvl w:val="3"/>
    </w:pPr>
    <w:rPr>
      <w:rFonts w:ascii="等线 Light" w:hAnsi="等线 Light" w:eastAsia="等线 Light"/>
      <w:b/>
      <w:bCs/>
      <w:sz w:val="28"/>
      <w:szCs w:val="28"/>
    </w:rPr>
  </w:style>
  <w:style w:type="paragraph" w:styleId="4">
    <w:name w:val="heading 5"/>
    <w:basedOn w:val="1"/>
    <w:next w:val="1"/>
    <w:semiHidden/>
    <w:unhideWhenUsed/>
    <w:qFormat/>
    <w:uiPriority w:val="0"/>
    <w:pPr>
      <w:keepNext/>
      <w:keepLines/>
      <w:spacing w:before="280" w:after="290" w:line="376" w:lineRule="auto"/>
      <w:outlineLvl w:val="4"/>
    </w:pPr>
    <w:rPr>
      <w:b/>
      <w:bCs/>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8"/>
    <w:semiHidden/>
    <w:unhideWhenUsed/>
    <w:qFormat/>
    <w:uiPriority w:val="99"/>
    <w:pPr>
      <w:jc w:val="left"/>
    </w:pPr>
  </w:style>
  <w:style w:type="paragraph" w:styleId="6">
    <w:name w:val="Body Text Indent"/>
    <w:basedOn w:val="1"/>
    <w:link w:val="24"/>
    <w:qFormat/>
    <w:uiPriority w:val="0"/>
    <w:pPr>
      <w:widowControl w:val="0"/>
      <w:spacing w:before="100" w:beforeAutospacing="1" w:after="100" w:afterAutospacing="1" w:line="240" w:lineRule="auto"/>
      <w:ind w:left="240" w:leftChars="100"/>
    </w:pPr>
    <w:rPr>
      <w:rFonts w:eastAsia="宋体" w:cs="Arial"/>
      <w:sz w:val="20"/>
      <w:szCs w:val="24"/>
    </w:rPr>
  </w:style>
  <w:style w:type="paragraph" w:styleId="7">
    <w:name w:val="footer"/>
    <w:basedOn w:val="1"/>
    <w:link w:val="21"/>
    <w:unhideWhenUsed/>
    <w:qFormat/>
    <w:uiPriority w:val="99"/>
    <w:pPr>
      <w:tabs>
        <w:tab w:val="center" w:pos="4153"/>
        <w:tab w:val="right" w:pos="8306"/>
      </w:tabs>
      <w:snapToGrid w:val="0"/>
      <w:spacing w:line="240" w:lineRule="atLeast"/>
      <w:jc w:val="left"/>
    </w:pPr>
    <w:rPr>
      <w:sz w:val="18"/>
      <w:szCs w:val="18"/>
    </w:rPr>
  </w:style>
  <w:style w:type="paragraph" w:styleId="8">
    <w:name w:val="header"/>
    <w:basedOn w:val="1"/>
    <w:link w:val="20"/>
    <w:unhideWhenUsed/>
    <w:qFormat/>
    <w:uiPriority w:val="99"/>
    <w:pPr>
      <w:tabs>
        <w:tab w:val="center" w:pos="4153"/>
        <w:tab w:val="right" w:pos="8306"/>
      </w:tabs>
      <w:snapToGrid w:val="0"/>
      <w:spacing w:line="240" w:lineRule="atLeast"/>
      <w:jc w:val="center"/>
    </w:pPr>
    <w:rPr>
      <w:sz w:val="18"/>
      <w:szCs w:val="18"/>
    </w:rPr>
  </w:style>
  <w:style w:type="paragraph" w:styleId="9">
    <w:name w:val="toc 1"/>
    <w:basedOn w:val="1"/>
    <w:next w:val="1"/>
    <w:unhideWhenUsed/>
    <w:qFormat/>
    <w:uiPriority w:val="39"/>
    <w:pPr>
      <w:tabs>
        <w:tab w:val="right" w:leader="dot" w:pos="9628"/>
      </w:tabs>
    </w:pPr>
    <w:rPr>
      <w:rFonts w:ascii="微软雅黑" w:hAnsi="微软雅黑" w:cs="微软雅黑"/>
      <w:b/>
      <w:bCs/>
      <w:sz w:val="24"/>
      <w:szCs w:val="24"/>
    </w:rPr>
  </w:style>
  <w:style w:type="paragraph" w:styleId="10">
    <w:name w:val="toc 2"/>
    <w:basedOn w:val="1"/>
    <w:next w:val="1"/>
    <w:unhideWhenUsed/>
    <w:qFormat/>
    <w:uiPriority w:val="39"/>
    <w:pPr>
      <w:ind w:left="200" w:leftChars="200"/>
    </w:pPr>
    <w:rPr>
      <w:sz w:val="20"/>
    </w:rPr>
  </w:style>
  <w:style w:type="paragraph" w:styleId="1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semiHidden/>
    <w:unhideWhenUsed/>
    <w:qFormat/>
    <w:uiPriority w:val="99"/>
    <w:pPr>
      <w:spacing w:beforeAutospacing="1" w:afterAutospacing="1"/>
      <w:jc w:val="left"/>
    </w:pPr>
    <w:rPr>
      <w:rFonts w:cs="Times New Roman"/>
      <w:kern w:val="0"/>
      <w:sz w:val="24"/>
    </w:rPr>
  </w:style>
  <w:style w:type="paragraph" w:styleId="13">
    <w:name w:val="annotation subject"/>
    <w:basedOn w:val="5"/>
    <w:next w:val="5"/>
    <w:link w:val="39"/>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467886" w:themeColor="hyperlink"/>
      <w:u w:val="single"/>
      <w14:textFill>
        <w14:solidFill>
          <w14:schemeClr w14:val="hlink"/>
        </w14:solidFill>
      </w14:textFill>
    </w:rPr>
  </w:style>
  <w:style w:type="character" w:styleId="18">
    <w:name w:val="HTML Code"/>
    <w:basedOn w:val="16"/>
    <w:semiHidden/>
    <w:unhideWhenUsed/>
    <w:qFormat/>
    <w:uiPriority w:val="99"/>
    <w:rPr>
      <w:rFonts w:ascii="Courier New" w:hAnsi="Courier New"/>
      <w:sz w:val="20"/>
    </w:rPr>
  </w:style>
  <w:style w:type="character" w:styleId="19">
    <w:name w:val="annotation reference"/>
    <w:basedOn w:val="16"/>
    <w:semiHidden/>
    <w:unhideWhenUsed/>
    <w:qFormat/>
    <w:uiPriority w:val="99"/>
    <w:rPr>
      <w:sz w:val="21"/>
      <w:szCs w:val="21"/>
    </w:rPr>
  </w:style>
  <w:style w:type="character" w:customStyle="1" w:styleId="20">
    <w:name w:val="页眉 字符"/>
    <w:basedOn w:val="16"/>
    <w:link w:val="8"/>
    <w:qFormat/>
    <w:uiPriority w:val="99"/>
    <w:rPr>
      <w:sz w:val="18"/>
      <w:szCs w:val="18"/>
    </w:rPr>
  </w:style>
  <w:style w:type="character" w:customStyle="1" w:styleId="21">
    <w:name w:val="页脚 字符"/>
    <w:basedOn w:val="16"/>
    <w:link w:val="7"/>
    <w:qFormat/>
    <w:uiPriority w:val="99"/>
    <w:rPr>
      <w:sz w:val="18"/>
      <w:szCs w:val="18"/>
    </w:rPr>
  </w:style>
  <w:style w:type="character" w:customStyle="1" w:styleId="22">
    <w:name w:val="未处理的提及1"/>
    <w:basedOn w:val="16"/>
    <w:semiHidden/>
    <w:unhideWhenUsed/>
    <w:qFormat/>
    <w:uiPriority w:val="99"/>
    <w:rPr>
      <w:color w:val="605E5C"/>
      <w:shd w:val="clear" w:color="auto" w:fill="E1DFDD"/>
    </w:rPr>
  </w:style>
  <w:style w:type="paragraph" w:styleId="23">
    <w:name w:val="List Paragraph"/>
    <w:basedOn w:val="1"/>
    <w:unhideWhenUsed/>
    <w:qFormat/>
    <w:uiPriority w:val="99"/>
    <w:pPr>
      <w:ind w:firstLine="420" w:firstLineChars="200"/>
    </w:pPr>
  </w:style>
  <w:style w:type="character" w:customStyle="1" w:styleId="24">
    <w:name w:val="正文文本缩进 字符"/>
    <w:basedOn w:val="16"/>
    <w:link w:val="6"/>
    <w:qFormat/>
    <w:uiPriority w:val="0"/>
    <w:rPr>
      <w:rFonts w:eastAsia="宋体" w:cs="Arial"/>
      <w:kern w:val="2"/>
      <w:szCs w:val="24"/>
    </w:rPr>
  </w:style>
  <w:style w:type="paragraph" w:customStyle="1" w:styleId="25">
    <w:name w:val="CQ-1级标题样式"/>
    <w:basedOn w:val="6"/>
    <w:link w:val="26"/>
    <w:qFormat/>
    <w:uiPriority w:val="0"/>
    <w:pPr>
      <w:numPr>
        <w:ilvl w:val="0"/>
        <w:numId w:val="1"/>
      </w:numPr>
      <w:spacing w:before="312" w:beforeLines="100" w:beforeAutospacing="0" w:after="0" w:afterAutospacing="0" w:line="360" w:lineRule="auto"/>
      <w:ind w:leftChars="0"/>
      <w:jc w:val="left"/>
      <w:outlineLvl w:val="0"/>
    </w:pPr>
    <w:rPr>
      <w:rFonts w:ascii="微软雅黑" w:hAnsi="微软雅黑" w:eastAsia="微软雅黑"/>
      <w:b/>
      <w:sz w:val="24"/>
      <w:szCs w:val="21"/>
    </w:rPr>
  </w:style>
  <w:style w:type="character" w:customStyle="1" w:styleId="26">
    <w:name w:val="CQ-1级标题样式 字符"/>
    <w:basedOn w:val="24"/>
    <w:link w:val="25"/>
    <w:qFormat/>
    <w:uiPriority w:val="0"/>
    <w:rPr>
      <w:rFonts w:ascii="微软雅黑" w:hAnsi="微软雅黑" w:eastAsia="宋体" w:cs="Arial"/>
      <w:b/>
      <w:kern w:val="2"/>
      <w:sz w:val="24"/>
      <w:szCs w:val="21"/>
    </w:rPr>
  </w:style>
  <w:style w:type="paragraph" w:customStyle="1" w:styleId="27">
    <w:name w:val="CQ-2级标题样式"/>
    <w:basedOn w:val="6"/>
    <w:link w:val="28"/>
    <w:qFormat/>
    <w:uiPriority w:val="0"/>
    <w:pPr>
      <w:numPr>
        <w:ilvl w:val="1"/>
        <w:numId w:val="1"/>
      </w:numPr>
      <w:spacing w:beforeLines="100" w:beforeAutospacing="0" w:after="0" w:afterAutospacing="0" w:line="360" w:lineRule="auto"/>
      <w:ind w:leftChars="0"/>
      <w:jc w:val="left"/>
      <w:outlineLvl w:val="1"/>
    </w:pPr>
    <w:rPr>
      <w:rFonts w:ascii="微软雅黑" w:hAnsi="微软雅黑" w:eastAsia="微软雅黑"/>
      <w:b/>
      <w:bCs/>
      <w:sz w:val="24"/>
    </w:rPr>
  </w:style>
  <w:style w:type="character" w:customStyle="1" w:styleId="28">
    <w:name w:val="CQ-2级标题样式 字符"/>
    <w:basedOn w:val="24"/>
    <w:link w:val="27"/>
    <w:qFormat/>
    <w:uiPriority w:val="0"/>
    <w:rPr>
      <w:rFonts w:ascii="微软雅黑" w:hAnsi="微软雅黑" w:eastAsia="宋体" w:cs="Arial"/>
      <w:b/>
      <w:bCs/>
      <w:kern w:val="2"/>
      <w:sz w:val="24"/>
      <w:szCs w:val="24"/>
    </w:rPr>
  </w:style>
  <w:style w:type="character" w:customStyle="1" w:styleId="29">
    <w:name w:val="标题 1 字符"/>
    <w:basedOn w:val="16"/>
    <w:link w:val="2"/>
    <w:qFormat/>
    <w:uiPriority w:val="9"/>
    <w:rPr>
      <w:b/>
      <w:bCs/>
      <w:kern w:val="44"/>
      <w:sz w:val="44"/>
      <w:szCs w:val="44"/>
    </w:rPr>
  </w:style>
  <w:style w:type="paragraph" w:customStyle="1" w:styleId="30">
    <w:name w:val="TOC 标题1"/>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 w:type="paragraph" w:customStyle="1" w:styleId="31">
    <w:name w:val="CQ-3级标题样式"/>
    <w:basedOn w:val="1"/>
    <w:link w:val="32"/>
    <w:qFormat/>
    <w:uiPriority w:val="0"/>
    <w:pPr>
      <w:numPr>
        <w:ilvl w:val="2"/>
        <w:numId w:val="1"/>
      </w:numPr>
      <w:spacing w:line="360" w:lineRule="auto"/>
      <w:jc w:val="left"/>
    </w:pPr>
    <w:rPr>
      <w:rFonts w:ascii="微软雅黑" w:hAnsi="微软雅黑"/>
      <w:sz w:val="20"/>
      <w:szCs w:val="20"/>
    </w:rPr>
  </w:style>
  <w:style w:type="character" w:customStyle="1" w:styleId="32">
    <w:name w:val="CQ-3级标题样式 字符"/>
    <w:basedOn w:val="16"/>
    <w:link w:val="31"/>
    <w:qFormat/>
    <w:uiPriority w:val="0"/>
    <w:rPr>
      <w:rFonts w:ascii="微软雅黑" w:hAnsi="微软雅黑"/>
      <w:kern w:val="2"/>
    </w:rPr>
  </w:style>
  <w:style w:type="character" w:styleId="33">
    <w:name w:val="Placeholder Text"/>
    <w:basedOn w:val="16"/>
    <w:unhideWhenUsed/>
    <w:qFormat/>
    <w:uiPriority w:val="99"/>
    <w:rPr>
      <w:color w:val="666666"/>
    </w:rPr>
  </w:style>
  <w:style w:type="paragraph" w:customStyle="1" w:styleId="34">
    <w:name w:val="CQ-正文样式"/>
    <w:basedOn w:val="1"/>
    <w:link w:val="35"/>
    <w:qFormat/>
    <w:uiPriority w:val="0"/>
    <w:pPr>
      <w:spacing w:line="360" w:lineRule="auto"/>
      <w:jc w:val="left"/>
    </w:pPr>
    <w:rPr>
      <w:sz w:val="20"/>
    </w:rPr>
  </w:style>
  <w:style w:type="character" w:customStyle="1" w:styleId="35">
    <w:name w:val="CQ-正文样式 字符"/>
    <w:basedOn w:val="16"/>
    <w:link w:val="34"/>
    <w:qFormat/>
    <w:uiPriority w:val="0"/>
    <w:rPr>
      <w:kern w:val="2"/>
      <w:szCs w:val="22"/>
    </w:rPr>
  </w:style>
  <w:style w:type="paragraph" w:customStyle="1" w:styleId="36">
    <w:name w:val="CQ-居中1级标题"/>
    <w:basedOn w:val="31"/>
    <w:link w:val="37"/>
    <w:qFormat/>
    <w:uiPriority w:val="0"/>
    <w:pPr>
      <w:numPr>
        <w:ilvl w:val="0"/>
        <w:numId w:val="0"/>
      </w:numPr>
      <w:jc w:val="center"/>
    </w:pPr>
    <w:rPr>
      <w:b/>
      <w:sz w:val="28"/>
    </w:rPr>
  </w:style>
  <w:style w:type="character" w:customStyle="1" w:styleId="37">
    <w:name w:val="CQ-居中1级标题 字符"/>
    <w:basedOn w:val="32"/>
    <w:link w:val="36"/>
    <w:qFormat/>
    <w:uiPriority w:val="0"/>
    <w:rPr>
      <w:rFonts w:ascii="微软雅黑" w:hAnsi="微软雅黑"/>
      <w:b/>
      <w:kern w:val="2"/>
      <w:sz w:val="28"/>
    </w:rPr>
  </w:style>
  <w:style w:type="character" w:customStyle="1" w:styleId="38">
    <w:name w:val="批注文字 字符"/>
    <w:basedOn w:val="16"/>
    <w:link w:val="5"/>
    <w:semiHidden/>
    <w:qFormat/>
    <w:uiPriority w:val="99"/>
    <w:rPr>
      <w:rFonts w:ascii="Arial" w:hAnsi="Arial" w:eastAsia="微软雅黑" w:cstheme="minorBidi"/>
      <w:kern w:val="2"/>
      <w:sz w:val="21"/>
      <w:szCs w:val="22"/>
    </w:rPr>
  </w:style>
  <w:style w:type="character" w:customStyle="1" w:styleId="39">
    <w:name w:val="批注主题 字符"/>
    <w:basedOn w:val="38"/>
    <w:link w:val="13"/>
    <w:semiHidden/>
    <w:qFormat/>
    <w:uiPriority w:val="99"/>
    <w:rPr>
      <w:rFonts w:ascii="Arial" w:hAnsi="Arial" w:eastAsia="微软雅黑"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1255</Words>
  <Characters>3537</Characters>
  <Lines>186</Lines>
  <Paragraphs>109</Paragraphs>
  <TotalTime>3</TotalTime>
  <ScaleCrop>false</ScaleCrop>
  <LinksUpToDate>false</LinksUpToDate>
  <CharactersWithSpaces>3972</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XXX二级文件名字和英文”&amp;#x000D”Security System Manual</cp:category>
  <dcterms:created xsi:type="dcterms:W3CDTF">2024-12-03T22:08:00Z</dcterms:created>
  <dc:creator>Cherry Lee</dc:creator>
  <cp:lastModifiedBy>七夏</cp:lastModifiedBy>
  <dcterms:modified xsi:type="dcterms:W3CDTF">2026-05-27T07:01:35Z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21299A81BD604DDBB4B9C67FAFB8F37D_13</vt:lpwstr>
  </property>
  <property fmtid="{D5CDD505-2E9C-101B-9397-08002B2CF9AE}" pid="4" name="KSOTemplateDocerSaveRecord">
    <vt:lpwstr>eyJoZGlkIjoiYjgyMjI0NTRhZDhjZDg5YzliMWQ3MjYyNmMwNTdlOGUiLCJ1c2VySWQiOiI1Mjg5MjA5OTQifQ==</vt:lpwstr>
  </property>
</Properties>
</file>