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FA9D5">
      <w:pPr>
        <w:pStyle w:val="3"/>
        <w:bidi w:val="0"/>
        <w:jc w:val="center"/>
        <w:rPr>
          <w:rFonts w:hint="default"/>
          <w:lang w:val="en-US" w:eastAsia="zh-CN"/>
        </w:rPr>
      </w:pPr>
      <w:r>
        <w:rPr>
          <w:rFonts w:hint="eastAsia"/>
          <w:lang w:val="en-US" w:eastAsia="zh-CN"/>
        </w:rPr>
        <w:t>生产网拓扑图</w:t>
      </w:r>
    </w:p>
    <w:p w14:paraId="7CC65254">
      <w:pPr>
        <w:jc w:val="center"/>
        <w:rPr>
          <w:rFonts w:hint="default"/>
          <w:b/>
          <w:bCs/>
          <w:sz w:val="28"/>
          <w:szCs w:val="32"/>
          <w:lang w:val="en-US" w:eastAsia="zh-CN"/>
        </w:rPr>
      </w:pPr>
      <w:r>
        <w:rPr>
          <w:rFonts w:hint="default"/>
          <w:b/>
          <w:bCs/>
          <w:sz w:val="28"/>
          <w:szCs w:val="32"/>
          <w:lang w:val="en-US" w:eastAsia="zh-CN"/>
        </w:rPr>
        <w:t>Production network topology diagram</w:t>
      </w:r>
    </w:p>
    <w:p w14:paraId="1A186BA8">
      <w:pPr>
        <w:pStyle w:val="4"/>
        <w:bidi w:val="0"/>
        <w:rPr>
          <w:rFonts w:hint="default"/>
          <w:lang w:val="en-US" w:eastAsia="zh-CN"/>
        </w:rPr>
      </w:pPr>
      <w:r>
        <w:rPr>
          <w:rFonts w:hint="eastAsia"/>
          <w:lang w:val="en-US" w:eastAsia="zh-CN"/>
        </w:rPr>
        <w:t>生产网络安全等级</w:t>
      </w:r>
    </w:p>
    <w:p w14:paraId="127202D9">
      <w:pPr>
        <w:numPr>
          <w:ilvl w:val="0"/>
          <w:numId w:val="2"/>
        </w:numPr>
        <w:spacing w:after="120" w:line="360" w:lineRule="auto"/>
        <w:ind w:left="0" w:leftChars="0" w:firstLine="480" w:firstLineChars="200"/>
        <w:jc w:val="both"/>
        <w:rPr>
          <w:rFonts w:hint="eastAsia" w:ascii="宋体" w:hAnsi="宋体" w:eastAsia="宋体" w:cs="宋体"/>
          <w:b/>
          <w:i w:val="0"/>
          <w:strike w:val="0"/>
          <w:color w:val="auto"/>
          <w:kern w:val="2"/>
          <w:sz w:val="24"/>
          <w:szCs w:val="22"/>
          <w:u w:val="none"/>
          <w:lang w:val="en-US" w:eastAsia="zh-CN" w:bidi="ar-SA"/>
        </w:rPr>
      </w:pPr>
      <w:r>
        <w:rPr>
          <w:rFonts w:hint="eastAsia" w:ascii="微软雅黑" w:hAnsi="微软雅黑" w:eastAsia="微软雅黑" w:cs="微软雅黑"/>
          <w:b/>
          <w:i w:val="0"/>
          <w:strike w:val="0"/>
          <w:color w:val="auto"/>
          <w:kern w:val="2"/>
          <w:sz w:val="24"/>
          <w:szCs w:val="22"/>
          <w:u w:val="none"/>
          <w:lang w:val="en-US" w:eastAsia="zh-CN" w:bidi="ar-SA"/>
        </w:rPr>
        <w:t>一级区域（外部互联网）Level 1 – External Internet (Public Zone)</w:t>
      </w:r>
    </w:p>
    <w:p w14:paraId="62243FBD">
      <w:pPr>
        <w:spacing w:after="120" w:line="360" w:lineRule="auto"/>
        <w:ind w:left="420" w:leftChars="200" w:firstLine="400" w:firstLineChars="200"/>
        <w:jc w:val="both"/>
        <w:rPr>
          <w:rFonts w:hint="eastAsia" w:ascii="微软雅黑" w:hAnsi="微软雅黑" w:eastAsia="微软雅黑" w:cs="微软雅黑"/>
          <w:b w:val="0"/>
          <w:i w:val="0"/>
          <w:strike w:val="0"/>
          <w:color w:val="auto"/>
          <w:kern w:val="2"/>
          <w:sz w:val="20"/>
          <w:szCs w:val="20"/>
          <w:u w:val="none"/>
          <w:lang w:val="en-US" w:eastAsia="zh-CN" w:bidi="ar-SA"/>
        </w:rPr>
      </w:pPr>
      <w:r>
        <w:rPr>
          <w:rFonts w:hint="eastAsia" w:ascii="微软雅黑" w:hAnsi="微软雅黑" w:eastAsia="微软雅黑" w:cs="微软雅黑"/>
          <w:b w:val="0"/>
          <w:i w:val="0"/>
          <w:strike w:val="0"/>
          <w:color w:val="auto"/>
          <w:kern w:val="2"/>
          <w:sz w:val="20"/>
          <w:szCs w:val="20"/>
          <w:u w:val="none"/>
          <w:lang w:val="en-US" w:eastAsia="zh-CN" w:bidi="ar-SA"/>
        </w:rPr>
        <w:t>即不可信网络边界，包括公共互联网及任何未受控的外部网络环境。该区域被视为高威胁来源，所有进出流量均需经过严格访问控制与威胁检测。</w:t>
      </w:r>
    </w:p>
    <w:p w14:paraId="15B6B9D0">
      <w:pPr>
        <w:spacing w:after="120" w:line="360" w:lineRule="auto"/>
        <w:ind w:left="420" w:leftChars="200" w:firstLine="400" w:firstLineChars="200"/>
        <w:jc w:val="both"/>
        <w:rPr>
          <w:rFonts w:hint="default" w:ascii="Arial" w:hAnsi="Arial" w:eastAsia="宋体" w:cs="Arial"/>
          <w:b w:val="0"/>
          <w:i w:val="0"/>
          <w:strike w:val="0"/>
          <w:color w:val="auto"/>
          <w:kern w:val="2"/>
          <w:sz w:val="20"/>
          <w:szCs w:val="20"/>
          <w:u w:val="none"/>
          <w:lang w:val="en-US" w:eastAsia="zh-CN" w:bidi="ar-SA"/>
        </w:rPr>
      </w:pPr>
      <w:r>
        <w:rPr>
          <w:rFonts w:hint="default" w:ascii="Arial" w:hAnsi="Arial" w:eastAsia="宋体" w:cs="Arial"/>
          <w:b w:val="0"/>
          <w:i w:val="0"/>
          <w:strike w:val="0"/>
          <w:color w:val="auto"/>
          <w:kern w:val="2"/>
          <w:sz w:val="20"/>
          <w:szCs w:val="20"/>
          <w:u w:val="none"/>
          <w:lang w:val="en-US" w:eastAsia="zh-CN" w:bidi="ar-SA"/>
        </w:rPr>
        <w:t>An untrusted network boundary, including the public internet and any uncontrolled external network environments. This zone is considered a high threat source. All inbound and outbound traffic must undergo strict access control and threat inspection.</w:t>
      </w:r>
    </w:p>
    <w:p w14:paraId="4BA03503">
      <w:pPr>
        <w:spacing w:after="120" w:line="360" w:lineRule="auto"/>
        <w:ind w:left="420" w:leftChars="200" w:firstLine="400" w:firstLineChars="200"/>
        <w:jc w:val="both"/>
        <w:rPr>
          <w:rFonts w:hint="default" w:ascii="Arial" w:hAnsi="Arial" w:eastAsia="宋体" w:cs="Arial"/>
          <w:b w:val="0"/>
          <w:i w:val="0"/>
          <w:strike w:val="0"/>
          <w:color w:val="auto"/>
          <w:kern w:val="2"/>
          <w:sz w:val="20"/>
          <w:szCs w:val="20"/>
          <w:u w:val="none"/>
          <w:lang w:val="en-US" w:eastAsia="zh-CN" w:bidi="ar-SA"/>
        </w:rPr>
      </w:pPr>
    </w:p>
    <w:p w14:paraId="15E7B27E">
      <w:pPr>
        <w:numPr>
          <w:ilvl w:val="0"/>
          <w:numId w:val="2"/>
        </w:numPr>
        <w:spacing w:after="120" w:line="360" w:lineRule="auto"/>
        <w:ind w:left="0" w:leftChars="0" w:firstLine="480" w:firstLineChars="200"/>
        <w:jc w:val="both"/>
        <w:rPr>
          <w:rFonts w:hint="eastAsia" w:ascii="微软雅黑" w:hAnsi="微软雅黑" w:eastAsia="微软雅黑" w:cs="微软雅黑"/>
          <w:b/>
          <w:i w:val="0"/>
          <w:strike w:val="0"/>
          <w:color w:val="auto"/>
          <w:kern w:val="2"/>
          <w:sz w:val="24"/>
          <w:szCs w:val="22"/>
          <w:u w:val="none"/>
          <w:lang w:val="en-US" w:eastAsia="zh-CN" w:bidi="ar-SA"/>
        </w:rPr>
      </w:pPr>
      <w:r>
        <w:rPr>
          <w:rFonts w:hint="eastAsia" w:ascii="微软雅黑" w:hAnsi="微软雅黑" w:eastAsia="微软雅黑" w:cs="微软雅黑"/>
          <w:b/>
          <w:i w:val="0"/>
          <w:strike w:val="0"/>
          <w:color w:val="auto"/>
          <w:kern w:val="2"/>
          <w:sz w:val="24"/>
          <w:szCs w:val="22"/>
          <w:u w:val="none"/>
          <w:lang w:val="en-US" w:eastAsia="zh-CN" w:bidi="ar-SA"/>
        </w:rPr>
        <w:t>二级区域（对外服务缓冲区，DMZ）Level 2 – External Service Buffer Zone (DMZ)</w:t>
      </w:r>
    </w:p>
    <w:p w14:paraId="01581E44">
      <w:pPr>
        <w:spacing w:after="120" w:line="360" w:lineRule="auto"/>
        <w:ind w:left="420" w:leftChars="200" w:firstLine="400" w:firstLineChars="200"/>
        <w:jc w:val="both"/>
        <w:rPr>
          <w:rFonts w:hint="eastAsia" w:ascii="微软雅黑" w:hAnsi="微软雅黑" w:eastAsia="微软雅黑" w:cs="微软雅黑"/>
          <w:b w:val="0"/>
          <w:i w:val="0"/>
          <w:strike w:val="0"/>
          <w:color w:val="auto"/>
          <w:kern w:val="2"/>
          <w:sz w:val="20"/>
          <w:szCs w:val="20"/>
          <w:u w:val="none"/>
          <w:lang w:val="en-US" w:eastAsia="zh-CN" w:bidi="ar-SA"/>
        </w:rPr>
      </w:pPr>
      <w:r>
        <w:rPr>
          <w:rFonts w:hint="eastAsia" w:ascii="微软雅黑" w:hAnsi="微软雅黑" w:eastAsia="微软雅黑" w:cs="微软雅黑"/>
          <w:b w:val="0"/>
          <w:i w:val="0"/>
          <w:strike w:val="0"/>
          <w:color w:val="auto"/>
          <w:kern w:val="2"/>
          <w:sz w:val="20"/>
          <w:szCs w:val="20"/>
          <w:u w:val="none"/>
          <w:lang w:val="en-US" w:eastAsia="zh-CN" w:bidi="ar-SA"/>
        </w:rPr>
        <w:t>位于内部网络与外部互联网之间的隔离层，用于部署需对外提供服务的系统（如映射的 SFTP、Web 服务器、邮件中继等）。该区域禁止直接发起对内部可信网络（三级及以上）的访问，仅允许必要的业务数据流进入，并严格限制出入方向的服务协议与端口。</w:t>
      </w:r>
    </w:p>
    <w:p w14:paraId="3D3C145B">
      <w:pPr>
        <w:spacing w:after="120" w:line="360" w:lineRule="auto"/>
        <w:ind w:left="420" w:leftChars="200" w:firstLine="400" w:firstLineChars="200"/>
        <w:jc w:val="both"/>
        <w:rPr>
          <w:rFonts w:hint="eastAsia" w:ascii="Arial" w:hAnsi="Arial" w:eastAsia="宋体" w:cs="Arial"/>
          <w:b w:val="0"/>
          <w:i w:val="0"/>
          <w:strike w:val="0"/>
          <w:color w:val="auto"/>
          <w:kern w:val="2"/>
          <w:sz w:val="20"/>
          <w:szCs w:val="20"/>
          <w:u w:val="none"/>
          <w:lang w:val="en-US" w:eastAsia="zh-CN" w:bidi="ar-SA"/>
        </w:rPr>
      </w:pPr>
      <w:r>
        <w:rPr>
          <w:rFonts w:hint="eastAsia" w:ascii="Arial" w:hAnsi="Arial" w:eastAsia="宋体" w:cs="Arial"/>
          <w:b w:val="0"/>
          <w:i w:val="0"/>
          <w:strike w:val="0"/>
          <w:color w:val="auto"/>
          <w:kern w:val="2"/>
          <w:sz w:val="20"/>
          <w:szCs w:val="20"/>
          <w:u w:val="none"/>
          <w:lang w:val="en-US" w:eastAsia="zh-CN" w:bidi="ar-SA"/>
        </w:rPr>
        <w:t>An isolation layer located between the internal network and the external internet, used to deploy systems that need to provide external services (e.g., mapped SFTP, web servers, mail relays). This zone is prohibited from directly initiating access to the internal trusted network (Level 3 and above). Only necessary business data flows are allowed to enter, and service protocols and ports in both directions are strictly restricted.</w:t>
      </w:r>
    </w:p>
    <w:p w14:paraId="2115E4A3">
      <w:pPr>
        <w:spacing w:after="120" w:line="360" w:lineRule="auto"/>
        <w:ind w:left="420" w:leftChars="200" w:firstLine="400" w:firstLineChars="200"/>
        <w:jc w:val="both"/>
        <w:rPr>
          <w:rFonts w:hint="eastAsia" w:ascii="Arial" w:hAnsi="Arial" w:eastAsia="宋体" w:cs="Arial"/>
          <w:b w:val="0"/>
          <w:i w:val="0"/>
          <w:strike w:val="0"/>
          <w:color w:val="auto"/>
          <w:kern w:val="2"/>
          <w:sz w:val="20"/>
          <w:szCs w:val="20"/>
          <w:u w:val="none"/>
          <w:lang w:val="en-US" w:eastAsia="zh-CN" w:bidi="ar-SA"/>
        </w:rPr>
      </w:pPr>
    </w:p>
    <w:p w14:paraId="0F9D67F2">
      <w:pPr>
        <w:numPr>
          <w:ilvl w:val="0"/>
          <w:numId w:val="2"/>
        </w:numPr>
        <w:spacing w:after="120" w:line="360" w:lineRule="auto"/>
        <w:ind w:left="0" w:leftChars="0" w:firstLine="480" w:firstLineChars="200"/>
        <w:jc w:val="both"/>
        <w:rPr>
          <w:rFonts w:hint="eastAsia" w:ascii="微软雅黑" w:hAnsi="微软雅黑" w:eastAsia="微软雅黑" w:cs="微软雅黑"/>
          <w:b/>
          <w:i w:val="0"/>
          <w:strike w:val="0"/>
          <w:color w:val="auto"/>
          <w:kern w:val="2"/>
          <w:sz w:val="24"/>
          <w:szCs w:val="22"/>
          <w:u w:val="none"/>
          <w:lang w:val="en-US" w:eastAsia="zh-CN" w:bidi="ar-SA"/>
        </w:rPr>
      </w:pPr>
      <w:r>
        <w:rPr>
          <w:rFonts w:hint="eastAsia" w:ascii="微软雅黑" w:hAnsi="微软雅黑" w:eastAsia="微软雅黑" w:cs="微软雅黑"/>
          <w:b/>
          <w:i w:val="0"/>
          <w:strike w:val="0"/>
          <w:color w:val="auto"/>
          <w:kern w:val="2"/>
          <w:sz w:val="24"/>
          <w:szCs w:val="22"/>
          <w:u w:val="none"/>
          <w:lang w:val="en-US" w:eastAsia="zh-CN" w:bidi="ar-SA"/>
        </w:rPr>
        <w:t>三级区域（IT 基础架构区域）Level 3 – IT Infrastructure Zone</w:t>
      </w:r>
    </w:p>
    <w:p w14:paraId="09A78E87">
      <w:pPr>
        <w:spacing w:after="120" w:line="360" w:lineRule="auto"/>
        <w:ind w:left="420" w:leftChars="200" w:firstLine="40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微软雅黑" w:hAnsi="微软雅黑" w:eastAsia="微软雅黑" w:cs="微软雅黑"/>
          <w:b w:val="0"/>
          <w:i w:val="0"/>
          <w:strike w:val="0"/>
          <w:color w:val="auto"/>
          <w:kern w:val="2"/>
          <w:sz w:val="20"/>
          <w:szCs w:val="20"/>
          <w:u w:val="none"/>
          <w:lang w:val="en-US" w:eastAsia="zh-CN" w:bidi="ar-SA"/>
        </w:rPr>
        <w:t>承载企业核心 IT 基础服务（如身份认证、补丁管理、日志采集、终端管理、DNS、DHCP 等）的区域。该区域具备有限的互联网访问能力（如下载补丁、更新病毒库），但入向访问需经明确授权与安全检测，且与二级区域之间采用防火墙或路由策略进行隔离。</w:t>
      </w:r>
    </w:p>
    <w:p w14:paraId="250299B1">
      <w:pPr>
        <w:spacing w:after="120" w:line="360" w:lineRule="auto"/>
        <w:ind w:left="420" w:leftChars="200" w:firstLine="400" w:firstLineChars="200"/>
        <w:jc w:val="both"/>
        <w:rPr>
          <w:rFonts w:hint="eastAsia" w:ascii="Arial" w:hAnsi="Arial" w:eastAsia="宋体" w:cs="Arial"/>
          <w:b w:val="0"/>
          <w:i w:val="0"/>
          <w:strike w:val="0"/>
          <w:color w:val="auto"/>
          <w:kern w:val="2"/>
          <w:sz w:val="20"/>
          <w:szCs w:val="20"/>
          <w:u w:val="none"/>
          <w:lang w:val="en-US" w:eastAsia="zh-CN" w:bidi="ar-SA"/>
        </w:rPr>
      </w:pPr>
      <w:r>
        <w:rPr>
          <w:rFonts w:hint="eastAsia" w:ascii="Arial" w:hAnsi="Arial" w:eastAsia="宋体" w:cs="Arial"/>
          <w:b w:val="0"/>
          <w:i w:val="0"/>
          <w:strike w:val="0"/>
          <w:color w:val="auto"/>
          <w:kern w:val="2"/>
          <w:sz w:val="20"/>
          <w:szCs w:val="20"/>
          <w:u w:val="none"/>
          <w:lang w:val="en-US" w:eastAsia="zh-CN" w:bidi="ar-SA"/>
        </w:rPr>
        <w:t>A zone that hosts core enterprise IT infrastructure services (e.g., identity authentication, patch management, log collection, endpoint management, DNS, DHCP). This zone has limited internet access capability (e.g., for downloading patches, updating antivirus signatures). However, inbound access must be explicitly authorized and subject to security inspection. Isolation from Level 2 is enforced through firewalls or routing policies.</w:t>
      </w:r>
    </w:p>
    <w:p w14:paraId="4D1CA5FF">
      <w:pPr>
        <w:spacing w:after="120" w:line="360" w:lineRule="auto"/>
        <w:ind w:left="420" w:leftChars="200" w:firstLine="400" w:firstLineChars="200"/>
        <w:jc w:val="both"/>
        <w:rPr>
          <w:rFonts w:hint="eastAsia" w:ascii="Arial" w:hAnsi="Arial" w:eastAsia="宋体" w:cs="Arial"/>
          <w:b w:val="0"/>
          <w:i w:val="0"/>
          <w:strike w:val="0"/>
          <w:color w:val="auto"/>
          <w:kern w:val="2"/>
          <w:sz w:val="20"/>
          <w:szCs w:val="20"/>
          <w:u w:val="none"/>
          <w:lang w:val="en-US" w:eastAsia="zh-CN" w:bidi="ar-SA"/>
        </w:rPr>
      </w:pPr>
    </w:p>
    <w:p w14:paraId="6C681CDB">
      <w:pPr>
        <w:numPr>
          <w:ilvl w:val="0"/>
          <w:numId w:val="2"/>
        </w:numPr>
        <w:spacing w:after="120" w:line="360" w:lineRule="auto"/>
        <w:ind w:left="0" w:leftChars="0" w:firstLine="480" w:firstLineChars="200"/>
        <w:jc w:val="both"/>
        <w:rPr>
          <w:rFonts w:hint="eastAsia" w:ascii="宋体" w:hAnsi="宋体" w:eastAsia="宋体" w:cs="宋体"/>
          <w:b/>
          <w:i w:val="0"/>
          <w:strike w:val="0"/>
          <w:color w:val="auto"/>
          <w:kern w:val="2"/>
          <w:sz w:val="24"/>
          <w:szCs w:val="22"/>
          <w:u w:val="none"/>
          <w:lang w:val="en-US" w:eastAsia="zh-CN" w:bidi="ar-SA"/>
        </w:rPr>
      </w:pPr>
      <w:r>
        <w:rPr>
          <w:rFonts w:hint="eastAsia" w:ascii="微软雅黑" w:hAnsi="微软雅黑" w:eastAsia="微软雅黑" w:cs="微软雅黑"/>
          <w:b/>
          <w:i w:val="0"/>
          <w:strike w:val="0"/>
          <w:color w:val="auto"/>
          <w:kern w:val="2"/>
          <w:sz w:val="24"/>
          <w:szCs w:val="22"/>
          <w:u w:val="none"/>
          <w:lang w:val="en-US" w:eastAsia="zh-CN" w:bidi="ar-SA"/>
        </w:rPr>
        <w:t>四级区域（门禁与 CCTV 区域）Level 4 – Access Control &amp; CCTV Zone</w:t>
      </w:r>
    </w:p>
    <w:p w14:paraId="4209D29A">
      <w:pPr>
        <w:spacing w:after="120" w:line="360" w:lineRule="auto"/>
        <w:ind w:left="420" w:leftChars="200" w:firstLine="400" w:firstLineChars="200"/>
        <w:jc w:val="both"/>
        <w:rPr>
          <w:rFonts w:hint="eastAsia" w:ascii="微软雅黑" w:hAnsi="微软雅黑" w:eastAsia="微软雅黑" w:cs="微软雅黑"/>
          <w:b w:val="0"/>
          <w:i w:val="0"/>
          <w:strike w:val="0"/>
          <w:color w:val="auto"/>
          <w:kern w:val="2"/>
          <w:sz w:val="20"/>
          <w:szCs w:val="20"/>
          <w:u w:val="none"/>
          <w:lang w:val="en-US" w:eastAsia="zh-CN" w:bidi="ar-SA"/>
        </w:rPr>
      </w:pPr>
      <w:r>
        <w:rPr>
          <w:rFonts w:hint="eastAsia" w:ascii="微软雅黑" w:hAnsi="微软雅黑" w:eastAsia="微软雅黑" w:cs="微软雅黑"/>
          <w:b w:val="0"/>
          <w:i w:val="0"/>
          <w:strike w:val="0"/>
          <w:color w:val="auto"/>
          <w:kern w:val="2"/>
          <w:sz w:val="20"/>
          <w:szCs w:val="20"/>
          <w:u w:val="none"/>
          <w:lang w:val="en-US" w:eastAsia="zh-CN" w:bidi="ar-SA"/>
        </w:rPr>
        <w:t>用于部署物理安防系统（门禁控制器、视频监控设备、存储服务器等）的专用区域。该区域严格禁止访问互联网，仅允许在内部管理网络中进行访问控制与视频调阅，通常采用物理隔离方式，并限制与三级区域之间的通信为仅必要的管理流量。</w:t>
      </w:r>
    </w:p>
    <w:p w14:paraId="6C019A0B">
      <w:pPr>
        <w:spacing w:after="120" w:line="360" w:lineRule="auto"/>
        <w:ind w:left="420" w:leftChars="200" w:firstLine="400" w:firstLineChars="200"/>
        <w:jc w:val="both"/>
        <w:rPr>
          <w:rFonts w:hint="eastAsia" w:ascii="Arial" w:hAnsi="Arial" w:eastAsia="宋体" w:cs="Arial"/>
          <w:b w:val="0"/>
          <w:i w:val="0"/>
          <w:strike w:val="0"/>
          <w:color w:val="auto"/>
          <w:kern w:val="2"/>
          <w:sz w:val="20"/>
          <w:szCs w:val="20"/>
          <w:u w:val="none"/>
          <w:lang w:val="en-US" w:eastAsia="zh-CN" w:bidi="ar-SA"/>
        </w:rPr>
      </w:pPr>
      <w:r>
        <w:rPr>
          <w:rFonts w:hint="eastAsia" w:ascii="Arial" w:hAnsi="Arial" w:eastAsia="宋体" w:cs="Arial"/>
          <w:b w:val="0"/>
          <w:i w:val="0"/>
          <w:strike w:val="0"/>
          <w:color w:val="auto"/>
          <w:kern w:val="2"/>
          <w:sz w:val="20"/>
          <w:szCs w:val="20"/>
          <w:u w:val="none"/>
          <w:lang w:val="en-US" w:eastAsia="zh-CN" w:bidi="ar-SA"/>
        </w:rPr>
        <w:t>A dedicated zone used to deploy physical security systems (e.g., access controllers, video surveillance devices, storage servers). This zone strictly prohibits internet access. Only access control and video retrieval are permitted within the internal management network. Physical isolation is typically adopted, and communications with Level 3 are restricted to only necessary management traffic.</w:t>
      </w:r>
    </w:p>
    <w:p w14:paraId="67936354">
      <w:pPr>
        <w:spacing w:after="120" w:line="360" w:lineRule="auto"/>
        <w:ind w:left="420" w:leftChars="200" w:firstLine="400" w:firstLineChars="200"/>
        <w:jc w:val="both"/>
        <w:rPr>
          <w:rFonts w:hint="eastAsia" w:ascii="Arial" w:hAnsi="Arial" w:eastAsia="宋体" w:cs="Arial"/>
          <w:b w:val="0"/>
          <w:i w:val="0"/>
          <w:strike w:val="0"/>
          <w:color w:val="auto"/>
          <w:kern w:val="2"/>
          <w:sz w:val="20"/>
          <w:szCs w:val="20"/>
          <w:u w:val="none"/>
          <w:lang w:val="en-US" w:eastAsia="zh-CN" w:bidi="ar-SA"/>
        </w:rPr>
      </w:pPr>
    </w:p>
    <w:p w14:paraId="62058647">
      <w:pPr>
        <w:numPr>
          <w:ilvl w:val="0"/>
          <w:numId w:val="2"/>
        </w:numPr>
        <w:spacing w:after="120" w:line="360" w:lineRule="auto"/>
        <w:ind w:left="0" w:leftChars="0" w:firstLine="480" w:firstLineChars="200"/>
        <w:jc w:val="both"/>
        <w:rPr>
          <w:rFonts w:hint="eastAsia" w:ascii="宋体" w:hAnsi="宋体" w:eastAsia="宋体" w:cs="宋体"/>
          <w:b/>
          <w:i w:val="0"/>
          <w:strike w:val="0"/>
          <w:color w:val="auto"/>
          <w:kern w:val="2"/>
          <w:sz w:val="24"/>
          <w:szCs w:val="22"/>
          <w:u w:val="none"/>
          <w:lang w:val="en-US" w:eastAsia="zh-CN" w:bidi="ar-SA"/>
        </w:rPr>
      </w:pPr>
      <w:r>
        <w:rPr>
          <w:rFonts w:hint="eastAsia" w:ascii="微软雅黑" w:hAnsi="微软雅黑" w:eastAsia="微软雅黑" w:cs="微软雅黑"/>
          <w:b/>
          <w:i w:val="0"/>
          <w:strike w:val="0"/>
          <w:color w:val="auto"/>
          <w:kern w:val="2"/>
          <w:sz w:val="24"/>
          <w:szCs w:val="22"/>
          <w:u w:val="none"/>
          <w:lang w:val="en-US" w:eastAsia="zh-CN" w:bidi="ar-SA"/>
        </w:rPr>
        <w:t>五级区域（高安全区域）Level 5 – High Security Zone</w:t>
      </w:r>
    </w:p>
    <w:p w14:paraId="5CBA4447">
      <w:pPr>
        <w:spacing w:after="120" w:line="360" w:lineRule="auto"/>
        <w:ind w:left="420" w:leftChars="200" w:firstLine="400" w:firstLineChars="200"/>
        <w:jc w:val="both"/>
        <w:rPr>
          <w:rFonts w:hint="eastAsia" w:ascii="微软雅黑" w:hAnsi="微软雅黑" w:eastAsia="微软雅黑" w:cs="微软雅黑"/>
          <w:b w:val="0"/>
          <w:i w:val="0"/>
          <w:strike w:val="0"/>
          <w:color w:val="auto"/>
          <w:kern w:val="2"/>
          <w:sz w:val="20"/>
          <w:szCs w:val="20"/>
          <w:u w:val="none"/>
          <w:lang w:val="en-US" w:eastAsia="zh-CN" w:bidi="ar-SA"/>
        </w:rPr>
      </w:pPr>
      <w:r>
        <w:rPr>
          <w:rFonts w:hint="eastAsia" w:ascii="微软雅黑" w:hAnsi="微软雅黑" w:eastAsia="微软雅黑" w:cs="微软雅黑"/>
          <w:b w:val="0"/>
          <w:i w:val="0"/>
          <w:strike w:val="0"/>
          <w:color w:val="auto"/>
          <w:kern w:val="2"/>
          <w:sz w:val="20"/>
          <w:szCs w:val="20"/>
          <w:u w:val="none"/>
          <w:lang w:val="en-US" w:eastAsia="zh-CN" w:bidi="ar-SA"/>
        </w:rPr>
        <w:t>部署于双重防火墙架构之后的最高安全等级区，用于托管关键业务系统、核心数据库、密钥管理系统或敏感数据资产。该区域遵循最小权限与默认拒绝原则，所有流量必须依次经过两道防火墙的访问策略检查，同时禁止任何形式的互联网直接访问。</w:t>
      </w:r>
    </w:p>
    <w:p w14:paraId="3C5E3D37">
      <w:pPr>
        <w:spacing w:after="120" w:line="360" w:lineRule="auto"/>
        <w:ind w:left="420" w:leftChars="200" w:firstLine="400" w:firstLineChars="200"/>
        <w:jc w:val="both"/>
        <w:rPr>
          <w:rFonts w:hint="eastAsia" w:ascii="宋体" w:hAnsi="宋体" w:eastAsia="宋体" w:cs="宋体"/>
          <w:b w:val="0"/>
          <w:i w:val="0"/>
          <w:strike w:val="0"/>
          <w:color w:val="auto"/>
          <w:kern w:val="2"/>
          <w:sz w:val="24"/>
          <w:szCs w:val="24"/>
          <w:u w:val="none"/>
          <w:lang w:val="en-US" w:eastAsia="zh-CN" w:bidi="ar-SA"/>
        </w:rPr>
      </w:pPr>
      <w:r>
        <w:rPr>
          <w:rFonts w:hint="eastAsia" w:ascii="Arial" w:hAnsi="Arial" w:eastAsia="宋体" w:cs="Arial"/>
          <w:b w:val="0"/>
          <w:i w:val="0"/>
          <w:strike w:val="0"/>
          <w:color w:val="auto"/>
          <w:kern w:val="2"/>
          <w:sz w:val="20"/>
          <w:szCs w:val="20"/>
          <w:u w:val="none"/>
          <w:lang w:val="en-US" w:eastAsia="zh-CN" w:bidi="ar-SA"/>
        </w:rPr>
        <w:t>The highest security level zone, deployed behind a dual-firewall architecture, used to host critical business systems, core databases, key management systems, or sensitive data assets. This zone follows the principle of least privilege and default deny. All traffic must sequentially pass through access policy inspections of both firewalls. Any form of direct internet access is strictly prohibited.</w:t>
      </w:r>
    </w:p>
    <w:p w14:paraId="06737971">
      <w:pPr>
        <w:rPr>
          <w:rFonts w:hint="eastAsia" w:eastAsia="微软雅黑"/>
          <w:lang w:eastAsia="zh-CN"/>
        </w:rPr>
      </w:pPr>
    </w:p>
    <w:p w14:paraId="28E04ECD">
      <w:pPr>
        <w:rPr>
          <w:rFonts w:hint="eastAsia" w:eastAsia="微软雅黑"/>
          <w:lang w:eastAsia="zh-CN"/>
        </w:rPr>
      </w:pPr>
    </w:p>
    <w:p w14:paraId="324B7C68">
      <w:pPr>
        <w:rPr>
          <w:rFonts w:hint="eastAsia" w:eastAsia="微软雅黑"/>
          <w:lang w:eastAsia="zh-CN"/>
        </w:rPr>
      </w:pPr>
    </w:p>
    <w:p w14:paraId="18F843B5">
      <w:pPr>
        <w:rPr>
          <w:rFonts w:hint="eastAsia" w:eastAsia="微软雅黑"/>
          <w:lang w:eastAsia="zh-CN"/>
        </w:rPr>
      </w:pPr>
    </w:p>
    <w:p w14:paraId="71720D26">
      <w:pPr>
        <w:rPr>
          <w:rFonts w:hint="eastAsia" w:eastAsia="微软雅黑"/>
          <w:lang w:eastAsia="zh-CN"/>
        </w:rPr>
      </w:pPr>
    </w:p>
    <w:p w14:paraId="5B11E0CD">
      <w:pPr>
        <w:rPr>
          <w:rFonts w:hint="eastAsia" w:eastAsia="微软雅黑"/>
          <w:lang w:eastAsia="zh-CN"/>
        </w:rPr>
      </w:pPr>
    </w:p>
    <w:p w14:paraId="475EEE12">
      <w:pPr>
        <w:rPr>
          <w:rFonts w:hint="eastAsia" w:eastAsia="微软雅黑"/>
          <w:lang w:eastAsia="zh-CN"/>
        </w:rPr>
      </w:pPr>
    </w:p>
    <w:p w14:paraId="6CBBDA30">
      <w:pPr>
        <w:rPr>
          <w:rFonts w:hint="eastAsia" w:eastAsia="微软雅黑"/>
          <w:lang w:eastAsia="zh-CN"/>
        </w:rPr>
      </w:pPr>
    </w:p>
    <w:p w14:paraId="5F5636FE">
      <w:pPr>
        <w:rPr>
          <w:rFonts w:hint="eastAsia" w:eastAsia="微软雅黑"/>
          <w:lang w:eastAsia="zh-CN"/>
        </w:rPr>
      </w:pPr>
    </w:p>
    <w:p w14:paraId="3A0F9904">
      <w:pPr>
        <w:rPr>
          <w:rFonts w:hint="eastAsia" w:eastAsia="微软雅黑"/>
          <w:lang w:eastAsia="zh-CN"/>
        </w:rPr>
      </w:pPr>
    </w:p>
    <w:p w14:paraId="07CDD835">
      <w:pPr>
        <w:rPr>
          <w:rFonts w:hint="eastAsia" w:eastAsia="微软雅黑"/>
          <w:lang w:eastAsia="zh-CN"/>
        </w:rPr>
      </w:pPr>
      <w:r>
        <w:rPr>
          <w:rFonts w:hint="eastAsia" w:eastAsia="微软雅黑"/>
          <w:lang w:eastAsia="zh-CN"/>
        </w:rPr>
        <w:drawing>
          <wp:inline distT="0" distB="0" distL="114300" distR="114300">
            <wp:extent cx="6106795" cy="2905125"/>
            <wp:effectExtent l="0" t="0" r="14605" b="15875"/>
            <wp:docPr id="3" name="图片 3" descr="hot2026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ot20260413"/>
                    <pic:cNvPicPr>
                      <a:picLocks noChangeAspect="1"/>
                    </pic:cNvPicPr>
                  </pic:nvPicPr>
                  <pic:blipFill>
                    <a:blip r:embed="rId8"/>
                    <a:stretch>
                      <a:fillRect/>
                    </a:stretch>
                  </pic:blipFill>
                  <pic:spPr>
                    <a:xfrm>
                      <a:off x="0" y="0"/>
                      <a:ext cx="6106795" cy="2905125"/>
                    </a:xfrm>
                    <a:prstGeom prst="rect">
                      <a:avLst/>
                    </a:prstGeom>
                  </pic:spPr>
                </pic:pic>
              </a:graphicData>
            </a:graphic>
          </wp:inline>
        </w:drawing>
      </w:r>
    </w:p>
    <w:p w14:paraId="70A09361">
      <w:pPr>
        <w:rPr>
          <w:rFonts w:hint="eastAsia" w:eastAsia="微软雅黑"/>
          <w:lang w:eastAsia="zh-CN"/>
        </w:rPr>
      </w:pPr>
    </w:p>
    <w:p w14:paraId="00580748">
      <w:pPr>
        <w:rPr>
          <w:rFonts w:hint="eastAsia" w:eastAsia="微软雅黑"/>
          <w:lang w:eastAsia="zh-CN"/>
        </w:rPr>
      </w:pPr>
    </w:p>
    <w:p w14:paraId="75A9CFEF">
      <w:pPr>
        <w:rPr>
          <w:rFonts w:hint="eastAsia" w:eastAsia="微软雅黑"/>
          <w:lang w:eastAsia="zh-CN"/>
        </w:rPr>
      </w:pPr>
    </w:p>
    <w:p w14:paraId="4121F2E8">
      <w:pPr>
        <w:rPr>
          <w:rFonts w:hint="eastAsia" w:eastAsia="微软雅黑"/>
          <w:lang w:eastAsia="zh-CN"/>
        </w:rPr>
      </w:pPr>
    </w:p>
    <w:p w14:paraId="0A6DF083">
      <w:pPr>
        <w:rPr>
          <w:rFonts w:hint="eastAsia" w:eastAsia="微软雅黑"/>
          <w:lang w:eastAsia="zh-CN"/>
        </w:rPr>
      </w:pPr>
    </w:p>
    <w:p w14:paraId="36E714C4">
      <w:pPr>
        <w:rPr>
          <w:rFonts w:hint="eastAsia" w:eastAsia="微软雅黑"/>
          <w:lang w:eastAsia="zh-CN"/>
        </w:rPr>
      </w:pPr>
    </w:p>
    <w:p w14:paraId="4BBA816E">
      <w:pPr>
        <w:rPr>
          <w:rFonts w:hint="eastAsia" w:eastAsia="微软雅黑"/>
          <w:lang w:eastAsia="zh-CN"/>
        </w:rPr>
      </w:pPr>
    </w:p>
    <w:p w14:paraId="7399A3F1">
      <w:pPr>
        <w:rPr>
          <w:rFonts w:hint="eastAsia" w:eastAsia="微软雅黑"/>
          <w:lang w:eastAsia="zh-CN"/>
        </w:rPr>
      </w:pPr>
    </w:p>
    <w:p w14:paraId="2F2ED6B1">
      <w:pPr>
        <w:pStyle w:val="4"/>
        <w:bidi w:val="0"/>
        <w:jc w:val="center"/>
        <w:rPr>
          <w:rFonts w:hint="eastAsia"/>
          <w:lang w:val="en-US" w:eastAsia="zh-CN"/>
        </w:rPr>
      </w:pPr>
      <w:r>
        <w:rPr>
          <w:rFonts w:hint="eastAsia"/>
          <w:lang w:val="en-US" w:eastAsia="zh-CN"/>
        </w:rPr>
        <w:t>办公网拓补图</w:t>
      </w:r>
    </w:p>
    <w:p w14:paraId="0862307B">
      <w:pPr>
        <w:jc w:val="center"/>
        <w:rPr>
          <w:rFonts w:hint="eastAsia"/>
          <w:b/>
          <w:bCs/>
          <w:sz w:val="28"/>
          <w:szCs w:val="32"/>
          <w:lang w:val="en-US" w:eastAsia="zh-CN"/>
        </w:rPr>
      </w:pPr>
      <w:r>
        <w:rPr>
          <w:rFonts w:hint="eastAsia"/>
          <w:b/>
          <w:bCs/>
          <w:sz w:val="28"/>
          <w:szCs w:val="32"/>
          <w:lang w:val="en-US" w:eastAsia="zh-CN"/>
        </w:rPr>
        <w:t>Office network topology diagram</w:t>
      </w:r>
    </w:p>
    <w:p w14:paraId="666C9902">
      <w:pPr>
        <w:rPr>
          <w:rFonts w:hint="eastAsia" w:eastAsia="微软雅黑"/>
          <w:lang w:eastAsia="zh-CN"/>
        </w:rPr>
      </w:pPr>
      <w:r>
        <w:rPr>
          <w:rFonts w:hint="default"/>
          <w:lang w:val="en-US" w:eastAsia="zh-CN"/>
        </w:rPr>
        <w:drawing>
          <wp:inline distT="0" distB="0" distL="114300" distR="114300">
            <wp:extent cx="6120130" cy="4210050"/>
            <wp:effectExtent l="0" t="0" r="1270" b="6350"/>
            <wp:docPr id="1" name="图片 1" descr="办公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办公网"/>
                    <pic:cNvPicPr>
                      <a:picLocks noChangeAspect="1"/>
                    </pic:cNvPicPr>
                  </pic:nvPicPr>
                  <pic:blipFill>
                    <a:blip r:embed="rId9"/>
                    <a:stretch>
                      <a:fillRect/>
                    </a:stretch>
                  </pic:blipFill>
                  <pic:spPr>
                    <a:xfrm>
                      <a:off x="0" y="0"/>
                      <a:ext cx="6120130" cy="4210050"/>
                    </a:xfrm>
                    <a:prstGeom prst="rect">
                      <a:avLst/>
                    </a:prstGeom>
                  </pic:spPr>
                </pic:pic>
              </a:graphicData>
            </a:graphic>
          </wp:inline>
        </w:drawing>
      </w:r>
    </w:p>
    <w:p w14:paraId="28E3C97B">
      <w:pPr>
        <w:pStyle w:val="32"/>
        <w:numPr>
          <w:numId w:val="0"/>
        </w:numPr>
        <w:ind w:left="360" w:leftChars="0"/>
        <w:jc w:val="both"/>
        <w:outlineLvl w:val="0"/>
      </w:pPr>
      <w:bookmarkStart w:id="0" w:name="_Toc184729186"/>
    </w:p>
    <w:p w14:paraId="6E607C21">
      <w:pPr>
        <w:pStyle w:val="32"/>
        <w:numPr>
          <w:numId w:val="0"/>
        </w:numPr>
        <w:ind w:left="360" w:leftChars="0"/>
        <w:jc w:val="both"/>
        <w:outlineLvl w:val="0"/>
      </w:pPr>
    </w:p>
    <w:p w14:paraId="4ED2B74A">
      <w:pPr>
        <w:pStyle w:val="32"/>
        <w:numPr>
          <w:numId w:val="0"/>
        </w:numPr>
        <w:ind w:left="360" w:leftChars="0"/>
        <w:jc w:val="both"/>
        <w:outlineLvl w:val="0"/>
      </w:pPr>
    </w:p>
    <w:p w14:paraId="697FF1F5">
      <w:pPr>
        <w:pStyle w:val="32"/>
        <w:numPr>
          <w:numId w:val="0"/>
        </w:numPr>
        <w:ind w:left="360" w:leftChars="0"/>
        <w:jc w:val="both"/>
        <w:outlineLvl w:val="0"/>
      </w:pPr>
    </w:p>
    <w:p w14:paraId="320E31F0">
      <w:pPr>
        <w:pStyle w:val="32"/>
        <w:numPr>
          <w:numId w:val="0"/>
        </w:numPr>
        <w:ind w:left="360" w:leftChars="0"/>
        <w:jc w:val="both"/>
        <w:outlineLvl w:val="0"/>
      </w:pPr>
    </w:p>
    <w:p w14:paraId="4B7FAE69">
      <w:pPr>
        <w:pStyle w:val="32"/>
        <w:numPr>
          <w:numId w:val="0"/>
        </w:numPr>
        <w:ind w:left="360" w:leftChars="0"/>
        <w:jc w:val="both"/>
        <w:outlineLvl w:val="0"/>
      </w:pPr>
    </w:p>
    <w:p w14:paraId="5EB67553">
      <w:pPr>
        <w:pStyle w:val="32"/>
        <w:numPr>
          <w:numId w:val="0"/>
        </w:numPr>
        <w:ind w:left="360" w:leftChars="0"/>
        <w:jc w:val="both"/>
        <w:outlineLvl w:val="0"/>
      </w:pPr>
    </w:p>
    <w:p w14:paraId="24F5EDF8">
      <w:pPr>
        <w:pStyle w:val="32"/>
        <w:numPr>
          <w:numId w:val="0"/>
        </w:numPr>
        <w:ind w:left="360" w:leftChars="0"/>
        <w:jc w:val="both"/>
        <w:outlineLvl w:val="0"/>
      </w:pPr>
    </w:p>
    <w:p w14:paraId="1C6355B7">
      <w:pPr>
        <w:pStyle w:val="32"/>
        <w:numPr>
          <w:numId w:val="0"/>
        </w:numPr>
        <w:ind w:left="360" w:leftChars="0"/>
        <w:jc w:val="center"/>
        <w:outlineLvl w:val="0"/>
        <w:rPr>
          <w:rFonts w:hint="eastAsia"/>
        </w:rPr>
      </w:pPr>
      <w:bookmarkStart w:id="2" w:name="_GoBack"/>
      <w:bookmarkEnd w:id="2"/>
      <w:r>
        <w:t>Document History 文件历史记录</w:t>
      </w:r>
      <w:bookmarkEnd w:id="0"/>
    </w:p>
    <w:p w14:paraId="29DC1E1B">
      <w:pPr>
        <w:rPr>
          <w:b/>
        </w:rPr>
      </w:pPr>
      <w:r>
        <w:rPr>
          <w:b/>
        </w:rPr>
        <w:t xml:space="preserve"> </w:t>
      </w:r>
    </w:p>
    <w:tbl>
      <w:tblPr>
        <w:tblStyle w:val="12"/>
        <w:tblW w:w="1119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71"/>
        <w:gridCol w:w="1526"/>
        <w:gridCol w:w="3577"/>
        <w:gridCol w:w="1701"/>
        <w:gridCol w:w="1559"/>
        <w:gridCol w:w="1559"/>
      </w:tblGrid>
      <w:tr w14:paraId="0189E5D0">
        <w:trPr>
          <w:trHeight w:val="428" w:hRule="atLeast"/>
          <w:jc w:val="center"/>
        </w:trPr>
        <w:tc>
          <w:tcPr>
            <w:tcW w:w="1271" w:type="dxa"/>
            <w:shd w:val="clear" w:color="auto" w:fill="E0E0E0"/>
            <w:vAlign w:val="center"/>
          </w:tcPr>
          <w:p w14:paraId="25C4CD76">
            <w:pPr>
              <w:jc w:val="center"/>
              <w:rPr>
                <w:rFonts w:hint="eastAsia" w:ascii="微软雅黑" w:hAnsi="微软雅黑"/>
                <w:b/>
              </w:rPr>
            </w:pPr>
            <w:r>
              <w:rPr>
                <w:rFonts w:ascii="微软雅黑" w:hAnsi="微软雅黑"/>
                <w:b/>
              </w:rPr>
              <w:t>版本</w:t>
            </w:r>
          </w:p>
          <w:p w14:paraId="78C7D950">
            <w:pPr>
              <w:jc w:val="center"/>
              <w:rPr>
                <w:rFonts w:hint="eastAsia" w:ascii="微软雅黑" w:hAnsi="微软雅黑"/>
                <w:b/>
              </w:rPr>
            </w:pPr>
            <w:r>
              <w:rPr>
                <w:rFonts w:ascii="微软雅黑" w:hAnsi="微软雅黑"/>
                <w:b/>
              </w:rPr>
              <w:t>Version</w:t>
            </w:r>
          </w:p>
        </w:tc>
        <w:tc>
          <w:tcPr>
            <w:tcW w:w="1526" w:type="dxa"/>
            <w:shd w:val="clear" w:color="auto" w:fill="E0E0E0"/>
            <w:vAlign w:val="center"/>
          </w:tcPr>
          <w:p w14:paraId="5540A987">
            <w:pPr>
              <w:jc w:val="center"/>
              <w:rPr>
                <w:rFonts w:hint="eastAsia" w:ascii="微软雅黑" w:hAnsi="微软雅黑"/>
                <w:b/>
              </w:rPr>
            </w:pPr>
            <w:r>
              <w:rPr>
                <w:rFonts w:ascii="微软雅黑" w:hAnsi="微软雅黑"/>
                <w:b/>
              </w:rPr>
              <w:t>日期</w:t>
            </w:r>
          </w:p>
          <w:p w14:paraId="35270CF7">
            <w:pPr>
              <w:jc w:val="center"/>
              <w:rPr>
                <w:rFonts w:hint="eastAsia" w:ascii="微软雅黑" w:hAnsi="微软雅黑"/>
                <w:b/>
              </w:rPr>
            </w:pPr>
            <w:r>
              <w:rPr>
                <w:rFonts w:ascii="微软雅黑" w:hAnsi="微软雅黑"/>
                <w:b/>
              </w:rPr>
              <w:t>Date</w:t>
            </w:r>
          </w:p>
        </w:tc>
        <w:tc>
          <w:tcPr>
            <w:tcW w:w="3577" w:type="dxa"/>
            <w:shd w:val="clear" w:color="auto" w:fill="E0E0E0"/>
            <w:vAlign w:val="top"/>
          </w:tcPr>
          <w:p w14:paraId="29CDF8B5">
            <w:pPr>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变更简述</w:t>
            </w:r>
          </w:p>
          <w:p w14:paraId="3A3991A5">
            <w:pPr>
              <w:keepNext w:val="0"/>
              <w:keepLines w:val="0"/>
              <w:pageBreakBefore w:val="0"/>
              <w:widowControl w:val="0"/>
              <w:kinsoku/>
              <w:wordWrap/>
              <w:overflowPunct/>
              <w:topLinePunct w:val="0"/>
              <w:autoSpaceDE/>
              <w:autoSpaceDN/>
              <w:bidi w:val="0"/>
              <w:adjustRightInd/>
              <w:snapToGrid/>
              <w:spacing w:line="360" w:lineRule="exact"/>
              <w:jc w:val="center"/>
              <w:textAlignment w:val="auto"/>
            </w:pPr>
            <w:r>
              <w:rPr>
                <w:rFonts w:hint="eastAsia" w:ascii="微软雅黑" w:hAnsi="微软雅黑" w:eastAsia="微软雅黑" w:cs="微软雅黑"/>
                <w:b/>
                <w:bCs/>
                <w:sz w:val="21"/>
                <w:szCs w:val="21"/>
                <w:vertAlign w:val="baseline"/>
                <w:lang w:val="en-US" w:eastAsia="zh-CN"/>
              </w:rPr>
              <w:t>Brief Description of change</w:t>
            </w:r>
          </w:p>
        </w:tc>
        <w:tc>
          <w:tcPr>
            <w:tcW w:w="1701" w:type="dxa"/>
            <w:shd w:val="clear" w:color="auto" w:fill="E0E0E0"/>
            <w:vAlign w:val="center"/>
          </w:tcPr>
          <w:p w14:paraId="564C9DE7">
            <w:pPr>
              <w:jc w:val="center"/>
              <w:rPr>
                <w:rFonts w:hint="default" w:ascii="微软雅黑" w:hAnsi="微软雅黑" w:eastAsia="微软雅黑"/>
                <w:b/>
                <w:lang w:val="en-US" w:eastAsia="zh-CN"/>
              </w:rPr>
            </w:pPr>
            <w:r>
              <w:rPr>
                <w:rFonts w:hint="eastAsia" w:ascii="微软雅黑" w:hAnsi="微软雅黑"/>
                <w:b/>
                <w:lang w:val="en-US" w:eastAsia="zh-CN"/>
              </w:rPr>
              <w:t>编辑</w:t>
            </w:r>
          </w:p>
          <w:p w14:paraId="2D0A7076">
            <w:pPr>
              <w:jc w:val="center"/>
              <w:rPr>
                <w:rFonts w:hint="eastAsia" w:ascii="微软雅黑" w:hAnsi="微软雅黑"/>
                <w:b/>
              </w:rPr>
            </w:pPr>
            <w:r>
              <w:rPr>
                <w:rFonts w:hint="eastAsia" w:ascii="微软雅黑" w:hAnsi="微软雅黑"/>
                <w:b/>
                <w:lang w:val="en-US" w:eastAsia="zh-CN"/>
              </w:rPr>
              <w:t>Editor</w:t>
            </w:r>
          </w:p>
        </w:tc>
        <w:tc>
          <w:tcPr>
            <w:tcW w:w="1559" w:type="dxa"/>
            <w:shd w:val="clear" w:color="auto" w:fill="E0E0E0"/>
            <w:vAlign w:val="center"/>
          </w:tcPr>
          <w:p w14:paraId="234FE39A">
            <w:pPr>
              <w:jc w:val="center"/>
              <w:rPr>
                <w:rFonts w:hint="eastAsia" w:ascii="微软雅黑" w:hAnsi="微软雅黑"/>
                <w:b/>
                <w:lang w:val="en-US" w:eastAsia="zh-CN"/>
              </w:rPr>
            </w:pPr>
            <w:r>
              <w:rPr>
                <w:rFonts w:hint="eastAsia" w:ascii="微软雅黑" w:hAnsi="微软雅黑"/>
                <w:b/>
                <w:lang w:val="en-US" w:eastAsia="zh-CN"/>
              </w:rPr>
              <w:t>审批</w:t>
            </w:r>
          </w:p>
          <w:p w14:paraId="05347590">
            <w:pPr>
              <w:jc w:val="center"/>
              <w:rPr>
                <w:rFonts w:hint="eastAsia" w:ascii="微软雅黑" w:hAnsi="微软雅黑"/>
                <w:b/>
              </w:rPr>
            </w:pPr>
            <w:r>
              <w:rPr>
                <w:rFonts w:hint="eastAsia" w:ascii="微软雅黑" w:hAnsi="微软雅黑"/>
                <w:b/>
                <w:lang w:val="en-US" w:eastAsia="zh-CN"/>
              </w:rPr>
              <w:t>Auditor</w:t>
            </w:r>
          </w:p>
        </w:tc>
        <w:tc>
          <w:tcPr>
            <w:tcW w:w="1559" w:type="dxa"/>
            <w:shd w:val="clear" w:color="auto" w:fill="E0E0E0"/>
            <w:vAlign w:val="center"/>
          </w:tcPr>
          <w:p w14:paraId="2CD111CF">
            <w:pPr>
              <w:jc w:val="center"/>
              <w:rPr>
                <w:rFonts w:hint="eastAsia" w:ascii="微软雅黑" w:hAnsi="微软雅黑"/>
                <w:b/>
              </w:rPr>
            </w:pPr>
            <w:r>
              <w:rPr>
                <w:rFonts w:hint="eastAsia" w:ascii="微软雅黑" w:hAnsi="微软雅黑"/>
                <w:b/>
              </w:rPr>
              <w:t>批准</w:t>
            </w:r>
          </w:p>
          <w:p w14:paraId="7B15EC19">
            <w:pPr>
              <w:jc w:val="center"/>
              <w:rPr>
                <w:rFonts w:hint="eastAsia" w:ascii="微软雅黑" w:hAnsi="微软雅黑"/>
                <w:b/>
              </w:rPr>
            </w:pPr>
            <w:r>
              <w:rPr>
                <w:rFonts w:hint="eastAsia" w:ascii="微软雅黑" w:hAnsi="微软雅黑"/>
                <w:b/>
              </w:rPr>
              <w:t>Approve</w:t>
            </w:r>
          </w:p>
        </w:tc>
      </w:tr>
      <w:tr w14:paraId="3A106C09">
        <w:trPr>
          <w:trHeight w:val="437" w:hRule="atLeast"/>
          <w:jc w:val="center"/>
        </w:trPr>
        <w:tc>
          <w:tcPr>
            <w:tcW w:w="1271" w:type="dxa"/>
            <w:tcBorders>
              <w:bottom w:val="single" w:color="auto" w:sz="6" w:space="0"/>
            </w:tcBorders>
            <w:vAlign w:val="center"/>
          </w:tcPr>
          <w:p w14:paraId="5342A09D">
            <w:pPr>
              <w:spacing w:line="280" w:lineRule="exact"/>
              <w:jc w:val="center"/>
              <w:rPr>
                <w:rFonts w:hint="eastAsia" w:ascii="微软雅黑" w:hAnsi="微软雅黑"/>
              </w:rPr>
            </w:pPr>
            <w:r>
              <w:rPr>
                <w:rFonts w:hint="eastAsia" w:ascii="微软雅黑" w:hAnsi="微软雅黑"/>
              </w:rPr>
              <w:t>1.0</w:t>
            </w:r>
          </w:p>
        </w:tc>
        <w:tc>
          <w:tcPr>
            <w:tcW w:w="1526" w:type="dxa"/>
            <w:tcBorders>
              <w:bottom w:val="single" w:color="auto" w:sz="6" w:space="0"/>
            </w:tcBorders>
            <w:vAlign w:val="center"/>
          </w:tcPr>
          <w:p w14:paraId="3E18958E">
            <w:pPr>
              <w:spacing w:line="280" w:lineRule="exact"/>
              <w:jc w:val="center"/>
              <w:rPr>
                <w:rFonts w:hint="default"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w:t>
            </w:r>
            <w:r>
              <w:rPr>
                <w:rFonts w:hint="eastAsia" w:ascii="微软雅黑" w:hAnsi="微软雅黑"/>
              </w:rPr>
              <w:t>/</w:t>
            </w:r>
            <w:r>
              <w:rPr>
                <w:rFonts w:hint="eastAsia" w:ascii="微软雅黑" w:hAnsi="微软雅黑"/>
                <w:lang w:val="en-US" w:eastAsia="zh-CN"/>
              </w:rPr>
              <w:t>15</w:t>
            </w:r>
          </w:p>
        </w:tc>
        <w:tc>
          <w:tcPr>
            <w:tcW w:w="3577" w:type="dxa"/>
            <w:tcBorders>
              <w:bottom w:val="single" w:color="auto" w:sz="6" w:space="0"/>
            </w:tcBorders>
            <w:vAlign w:val="center"/>
          </w:tcPr>
          <w:p w14:paraId="12EA7C3F">
            <w:pPr>
              <w:spacing w:line="280" w:lineRule="exact"/>
              <w:jc w:val="center"/>
              <w:rPr>
                <w:rFonts w:hint="eastAsia" w:ascii="微软雅黑" w:hAnsi="微软雅黑"/>
              </w:rPr>
            </w:pPr>
            <w:r>
              <w:rPr>
                <w:rFonts w:hint="eastAsia" w:ascii="微软雅黑" w:hAnsi="微软雅黑"/>
              </w:rPr>
              <w:t>新版发布</w:t>
            </w:r>
          </w:p>
          <w:p w14:paraId="18B2039F">
            <w:pPr>
              <w:spacing w:line="280" w:lineRule="exact"/>
              <w:jc w:val="center"/>
              <w:rPr>
                <w:rFonts w:hint="eastAsia" w:ascii="微软雅黑" w:hAnsi="微软雅黑"/>
              </w:rPr>
            </w:pPr>
            <w:r>
              <w:rPr>
                <w:rFonts w:ascii="微软雅黑" w:hAnsi="微软雅黑"/>
              </w:rPr>
              <w:t>New version release</w:t>
            </w:r>
          </w:p>
        </w:tc>
        <w:tc>
          <w:tcPr>
            <w:tcW w:w="1701" w:type="dxa"/>
            <w:tcBorders>
              <w:bottom w:val="single" w:color="auto" w:sz="6" w:space="0"/>
            </w:tcBorders>
            <w:vAlign w:val="center"/>
          </w:tcPr>
          <w:p w14:paraId="58D3FE58">
            <w:pPr>
              <w:spacing w:line="280" w:lineRule="exact"/>
              <w:jc w:val="center"/>
              <w:rPr>
                <w:rFonts w:hint="eastAsia" w:ascii="微软雅黑" w:hAnsi="微软雅黑"/>
              </w:rPr>
            </w:pPr>
            <w:r>
              <w:rPr>
                <w:rFonts w:hint="eastAsia" w:ascii="微软雅黑" w:hAnsi="微软雅黑"/>
                <w:lang w:val="en-US" w:eastAsia="zh-CN"/>
              </w:rPr>
              <w:t>郑炳佳</w:t>
            </w:r>
          </w:p>
        </w:tc>
        <w:tc>
          <w:tcPr>
            <w:tcW w:w="1559" w:type="dxa"/>
            <w:tcBorders>
              <w:bottom w:val="single" w:color="auto" w:sz="6" w:space="0"/>
            </w:tcBorders>
            <w:vAlign w:val="center"/>
          </w:tcPr>
          <w:p w14:paraId="185EF6CA">
            <w:pPr>
              <w:spacing w:line="280" w:lineRule="exact"/>
              <w:jc w:val="center"/>
              <w:rPr>
                <w:rFonts w:hint="eastAsia" w:ascii="微软雅黑" w:hAnsi="微软雅黑"/>
              </w:rPr>
            </w:pPr>
            <w:r>
              <w:rPr>
                <w:rFonts w:hint="eastAsia" w:ascii="微软雅黑" w:hAnsi="微软雅黑"/>
                <w:lang w:val="en-US" w:eastAsia="zh-CN"/>
              </w:rPr>
              <w:t>杨龙威</w:t>
            </w:r>
          </w:p>
        </w:tc>
        <w:tc>
          <w:tcPr>
            <w:tcW w:w="1559" w:type="dxa"/>
            <w:tcBorders>
              <w:bottom w:val="single" w:color="auto" w:sz="6" w:space="0"/>
            </w:tcBorders>
            <w:vAlign w:val="center"/>
          </w:tcPr>
          <w:p w14:paraId="02474C8A">
            <w:pPr>
              <w:spacing w:line="280" w:lineRule="exact"/>
              <w:jc w:val="center"/>
              <w:rPr>
                <w:rFonts w:hint="eastAsia" w:ascii="微软雅黑" w:hAnsi="微软雅黑"/>
              </w:rPr>
            </w:pPr>
            <w:r>
              <w:rPr>
                <w:rFonts w:hint="eastAsia" w:ascii="微软雅黑" w:hAnsi="微软雅黑"/>
                <w:lang w:val="en-US" w:eastAsia="zh-CN"/>
              </w:rPr>
              <w:t>郭思才</w:t>
            </w:r>
          </w:p>
        </w:tc>
      </w:tr>
      <w:tr w14:paraId="4CAD5B32">
        <w:trPr>
          <w:trHeight w:val="495" w:hRule="atLeast"/>
          <w:jc w:val="center"/>
        </w:trPr>
        <w:tc>
          <w:tcPr>
            <w:tcW w:w="1271" w:type="dxa"/>
            <w:shd w:val="clear" w:color="auto" w:fill="auto"/>
            <w:vAlign w:val="center"/>
          </w:tcPr>
          <w:p w14:paraId="25FA42BD">
            <w:pPr>
              <w:spacing w:line="280" w:lineRule="exact"/>
              <w:jc w:val="center"/>
              <w:rPr>
                <w:rFonts w:hint="default" w:ascii="微软雅黑" w:hAnsi="微软雅黑" w:eastAsia="微软雅黑" w:cstheme="minorBidi"/>
                <w:kern w:val="2"/>
                <w:sz w:val="21"/>
                <w:szCs w:val="22"/>
                <w:lang w:val="en-US" w:eastAsia="zh-CN" w:bidi="ar-SA"/>
              </w:rPr>
            </w:pPr>
            <w:r>
              <w:rPr>
                <w:rFonts w:hint="eastAsia" w:ascii="微软雅黑" w:hAnsi="微软雅黑"/>
                <w:lang w:val="en-US" w:eastAsia="zh-CN"/>
              </w:rPr>
              <w:t>2.0</w:t>
            </w:r>
          </w:p>
        </w:tc>
        <w:tc>
          <w:tcPr>
            <w:tcW w:w="1526" w:type="dxa"/>
            <w:shd w:val="clear" w:color="auto" w:fill="auto"/>
            <w:vAlign w:val="center"/>
          </w:tcPr>
          <w:p w14:paraId="0CDF0E73">
            <w:pPr>
              <w:spacing w:line="280" w:lineRule="exact"/>
              <w:jc w:val="center"/>
              <w:rPr>
                <w:rFonts w:hint="default" w:ascii="微软雅黑" w:hAnsi="微软雅黑" w:eastAsia="微软雅黑" w:cstheme="minorBidi"/>
                <w:kern w:val="2"/>
                <w:sz w:val="21"/>
                <w:szCs w:val="22"/>
                <w:lang w:val="en-US" w:eastAsia="zh-CN" w:bidi="ar-SA"/>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4</w:t>
            </w:r>
            <w:r>
              <w:rPr>
                <w:rFonts w:hint="eastAsia" w:ascii="微软雅黑" w:hAnsi="微软雅黑"/>
              </w:rPr>
              <w:t>/</w:t>
            </w:r>
            <w:r>
              <w:rPr>
                <w:rFonts w:hint="eastAsia" w:ascii="微软雅黑" w:hAnsi="微软雅黑"/>
                <w:lang w:val="en-US" w:eastAsia="zh-CN"/>
              </w:rPr>
              <w:t>30</w:t>
            </w:r>
          </w:p>
        </w:tc>
        <w:tc>
          <w:tcPr>
            <w:tcW w:w="3577" w:type="dxa"/>
            <w:shd w:val="clear" w:color="auto" w:fill="auto"/>
            <w:vAlign w:val="center"/>
          </w:tcPr>
          <w:p w14:paraId="3049475F">
            <w:pPr>
              <w:spacing w:line="280" w:lineRule="exact"/>
              <w:jc w:val="center"/>
              <w:rPr>
                <w:rFonts w:hint="eastAsia" w:ascii="微软雅黑" w:hAnsi="微软雅黑"/>
                <w:lang w:val="en-US" w:eastAsia="zh-CN"/>
              </w:rPr>
            </w:pPr>
            <w:r>
              <w:rPr>
                <w:rFonts w:hint="eastAsia" w:ascii="微软雅黑" w:hAnsi="微软雅黑"/>
                <w:lang w:val="en-US" w:eastAsia="zh-CN"/>
              </w:rPr>
              <w:t>修改信息等级</w:t>
            </w:r>
          </w:p>
          <w:p w14:paraId="5B962E4E">
            <w:pPr>
              <w:spacing w:line="280" w:lineRule="exact"/>
              <w:jc w:val="center"/>
              <w:rPr>
                <w:rFonts w:hint="default" w:ascii="微软雅黑" w:hAnsi="微软雅黑" w:cstheme="minorBidi"/>
                <w:kern w:val="2"/>
                <w:sz w:val="21"/>
                <w:szCs w:val="22"/>
                <w:lang w:val="en-US" w:eastAsia="zh-CN" w:bidi="ar-SA"/>
              </w:rPr>
            </w:pPr>
            <w:r>
              <w:rPr>
                <w:rFonts w:hint="default" w:ascii="微软雅黑" w:hAnsi="微软雅黑"/>
                <w:lang w:val="en-US" w:eastAsia="zh-CN"/>
              </w:rPr>
              <w:t xml:space="preserve">Modify information </w:t>
            </w:r>
            <w:r>
              <w:rPr>
                <w:rFonts w:hint="eastAsia" w:ascii="微软雅黑" w:hAnsi="微软雅黑"/>
                <w:lang w:val="en-US" w:eastAsia="zh-CN"/>
              </w:rPr>
              <w:t>Class</w:t>
            </w:r>
          </w:p>
        </w:tc>
        <w:tc>
          <w:tcPr>
            <w:tcW w:w="1701" w:type="dxa"/>
            <w:shd w:val="clear" w:color="auto" w:fill="auto"/>
            <w:vAlign w:val="center"/>
          </w:tcPr>
          <w:p w14:paraId="40D1B87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559" w:type="dxa"/>
            <w:shd w:val="clear" w:color="auto" w:fill="auto"/>
            <w:vAlign w:val="center"/>
          </w:tcPr>
          <w:p w14:paraId="034D7D1D">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559" w:type="dxa"/>
            <w:shd w:val="clear" w:color="auto" w:fill="auto"/>
            <w:vAlign w:val="center"/>
          </w:tcPr>
          <w:p w14:paraId="08BF7DBE">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7EC56ED1">
        <w:trPr>
          <w:trHeight w:val="495" w:hRule="atLeast"/>
          <w:jc w:val="center"/>
        </w:trPr>
        <w:tc>
          <w:tcPr>
            <w:tcW w:w="1271" w:type="dxa"/>
            <w:shd w:val="clear" w:color="auto" w:fill="auto"/>
            <w:vAlign w:val="center"/>
          </w:tcPr>
          <w:p w14:paraId="0334C20E">
            <w:pPr>
              <w:spacing w:line="280" w:lineRule="exact"/>
              <w:jc w:val="center"/>
              <w:rPr>
                <w:rFonts w:hint="default"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3.0</w:t>
            </w:r>
          </w:p>
        </w:tc>
        <w:tc>
          <w:tcPr>
            <w:tcW w:w="1526" w:type="dxa"/>
            <w:shd w:val="clear" w:color="auto" w:fill="auto"/>
            <w:vAlign w:val="center"/>
          </w:tcPr>
          <w:p w14:paraId="272E9B5A">
            <w:pPr>
              <w:spacing w:line="280" w:lineRule="exact"/>
              <w:jc w:val="center"/>
              <w:rPr>
                <w:rFonts w:hint="default"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10</w:t>
            </w:r>
          </w:p>
        </w:tc>
        <w:tc>
          <w:tcPr>
            <w:tcW w:w="3577" w:type="dxa"/>
            <w:shd w:val="clear" w:color="auto" w:fill="auto"/>
            <w:vAlign w:val="center"/>
          </w:tcPr>
          <w:p w14:paraId="592DE799">
            <w:pPr>
              <w:spacing w:line="280" w:lineRule="exact"/>
              <w:jc w:val="center"/>
              <w:rPr>
                <w:rFonts w:hint="eastAsia"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添加色块区分安全等级</w:t>
            </w:r>
          </w:p>
          <w:p w14:paraId="588CA469">
            <w:pPr>
              <w:spacing w:line="280" w:lineRule="exact"/>
              <w:jc w:val="center"/>
              <w:rPr>
                <w:rFonts w:hint="default" w:ascii="微软雅黑" w:hAnsi="微软雅黑" w:cstheme="minorBidi"/>
                <w:kern w:val="2"/>
                <w:sz w:val="21"/>
                <w:szCs w:val="22"/>
                <w:lang w:val="en-US" w:eastAsia="zh-CN" w:bidi="ar-SA"/>
              </w:rPr>
            </w:pPr>
            <w:r>
              <w:rPr>
                <w:rFonts w:hint="default" w:ascii="微软雅黑" w:hAnsi="微软雅黑" w:cstheme="minorBidi"/>
                <w:kern w:val="2"/>
                <w:sz w:val="21"/>
                <w:szCs w:val="22"/>
                <w:lang w:val="en-US" w:eastAsia="zh-CN" w:bidi="ar-SA"/>
              </w:rPr>
              <w:t>Add color blocks to distinguish security levels</w:t>
            </w:r>
          </w:p>
        </w:tc>
        <w:tc>
          <w:tcPr>
            <w:tcW w:w="1701" w:type="dxa"/>
            <w:shd w:val="clear" w:color="auto" w:fill="auto"/>
            <w:vAlign w:val="center"/>
          </w:tcPr>
          <w:p w14:paraId="69D1495D">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559" w:type="dxa"/>
            <w:shd w:val="clear" w:color="auto" w:fill="auto"/>
            <w:vAlign w:val="center"/>
          </w:tcPr>
          <w:p w14:paraId="161998A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559" w:type="dxa"/>
            <w:shd w:val="clear" w:color="auto" w:fill="auto"/>
            <w:vAlign w:val="center"/>
          </w:tcPr>
          <w:p w14:paraId="5071B1F6">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4B660183">
        <w:trPr>
          <w:trHeight w:val="495" w:hRule="atLeast"/>
          <w:jc w:val="center"/>
        </w:trPr>
        <w:tc>
          <w:tcPr>
            <w:tcW w:w="1271" w:type="dxa"/>
            <w:shd w:val="clear" w:color="auto" w:fill="auto"/>
            <w:vAlign w:val="center"/>
          </w:tcPr>
          <w:p w14:paraId="6074B0C8">
            <w:pPr>
              <w:spacing w:line="280" w:lineRule="exact"/>
              <w:jc w:val="center"/>
              <w:rPr>
                <w:rFonts w:hint="default"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4.0</w:t>
            </w:r>
          </w:p>
        </w:tc>
        <w:tc>
          <w:tcPr>
            <w:tcW w:w="1526" w:type="dxa"/>
            <w:shd w:val="clear" w:color="auto" w:fill="auto"/>
            <w:vAlign w:val="center"/>
          </w:tcPr>
          <w:p w14:paraId="28B8D618">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23</w:t>
            </w:r>
          </w:p>
        </w:tc>
        <w:tc>
          <w:tcPr>
            <w:tcW w:w="3577" w:type="dxa"/>
            <w:shd w:val="clear" w:color="auto" w:fill="auto"/>
            <w:vAlign w:val="center"/>
          </w:tcPr>
          <w:p w14:paraId="2F12766C">
            <w:pPr>
              <w:spacing w:line="280" w:lineRule="exact"/>
              <w:jc w:val="center"/>
              <w:rPr>
                <w:rFonts w:hint="eastAsia"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增加目视化管理</w:t>
            </w:r>
          </w:p>
          <w:p w14:paraId="5B36E96B">
            <w:pPr>
              <w:spacing w:line="280" w:lineRule="exact"/>
              <w:jc w:val="center"/>
              <w:rPr>
                <w:rFonts w:hint="default" w:ascii="微软雅黑" w:hAnsi="微软雅黑" w:cstheme="minorBidi"/>
                <w:kern w:val="2"/>
                <w:sz w:val="21"/>
                <w:szCs w:val="22"/>
                <w:lang w:val="en-US" w:eastAsia="zh-CN" w:bidi="ar-SA"/>
              </w:rPr>
            </w:pPr>
            <w:r>
              <w:rPr>
                <w:rFonts w:hint="default" w:ascii="微软雅黑" w:hAnsi="微软雅黑" w:cstheme="minorBidi"/>
                <w:kern w:val="2"/>
                <w:sz w:val="21"/>
                <w:szCs w:val="22"/>
                <w:lang w:val="en-US" w:eastAsia="zh-CN" w:bidi="ar-SA"/>
              </w:rPr>
              <w:t>Increase visual management</w:t>
            </w:r>
          </w:p>
        </w:tc>
        <w:tc>
          <w:tcPr>
            <w:tcW w:w="1701" w:type="dxa"/>
            <w:shd w:val="clear" w:color="auto" w:fill="auto"/>
            <w:vAlign w:val="center"/>
          </w:tcPr>
          <w:p w14:paraId="524EB496">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559" w:type="dxa"/>
            <w:shd w:val="clear" w:color="auto" w:fill="auto"/>
            <w:vAlign w:val="center"/>
          </w:tcPr>
          <w:p w14:paraId="2ED04487">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559" w:type="dxa"/>
            <w:shd w:val="clear" w:color="auto" w:fill="auto"/>
            <w:vAlign w:val="center"/>
          </w:tcPr>
          <w:p w14:paraId="5B039A5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16990F3C">
        <w:trPr>
          <w:trHeight w:val="495" w:hRule="atLeast"/>
          <w:jc w:val="center"/>
        </w:trPr>
        <w:tc>
          <w:tcPr>
            <w:tcW w:w="1271" w:type="dxa"/>
            <w:shd w:val="clear" w:color="auto" w:fill="auto"/>
            <w:vAlign w:val="center"/>
          </w:tcPr>
          <w:p w14:paraId="4EBA0F88">
            <w:pPr>
              <w:spacing w:line="280" w:lineRule="exact"/>
              <w:jc w:val="center"/>
              <w:rPr>
                <w:rFonts w:hint="default"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5.0</w:t>
            </w:r>
          </w:p>
        </w:tc>
        <w:tc>
          <w:tcPr>
            <w:tcW w:w="1526" w:type="dxa"/>
            <w:shd w:val="clear" w:color="auto" w:fill="auto"/>
            <w:vAlign w:val="center"/>
          </w:tcPr>
          <w:p w14:paraId="2BC032C6">
            <w:pPr>
              <w:spacing w:line="280" w:lineRule="exact"/>
              <w:jc w:val="center"/>
              <w:rPr>
                <w:rFonts w:hint="eastAsia" w:ascii="微软雅黑" w:hAnsi="微软雅黑"/>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26</w:t>
            </w:r>
          </w:p>
        </w:tc>
        <w:tc>
          <w:tcPr>
            <w:tcW w:w="3577" w:type="dxa"/>
            <w:shd w:val="clear" w:color="auto" w:fill="auto"/>
            <w:vAlign w:val="center"/>
          </w:tcPr>
          <w:p w14:paraId="422EADA2">
            <w:pPr>
              <w:spacing w:line="280" w:lineRule="exact"/>
              <w:jc w:val="center"/>
              <w:rPr>
                <w:rFonts w:hint="eastAsia"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增加交换机标识</w:t>
            </w:r>
          </w:p>
          <w:p w14:paraId="76E52AB2">
            <w:pPr>
              <w:spacing w:line="280" w:lineRule="exact"/>
              <w:jc w:val="center"/>
              <w:rPr>
                <w:rFonts w:hint="eastAsia"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Add</w:t>
            </w:r>
            <w:r>
              <w:rPr>
                <w:rFonts w:hint="default" w:ascii="微软雅黑" w:hAnsi="微软雅黑" w:cstheme="minorBidi"/>
                <w:kern w:val="2"/>
                <w:sz w:val="21"/>
                <w:szCs w:val="22"/>
                <w:lang w:val="en-US" w:eastAsia="zh-CN" w:bidi="ar-SA"/>
              </w:rPr>
              <w:t xml:space="preserve"> </w:t>
            </w:r>
            <w:r>
              <w:rPr>
                <w:rFonts w:hint="eastAsia" w:ascii="微软雅黑" w:hAnsi="微软雅黑" w:cstheme="minorBidi"/>
                <w:kern w:val="2"/>
                <w:sz w:val="21"/>
                <w:szCs w:val="22"/>
                <w:lang w:val="en-US" w:eastAsia="zh-CN" w:bidi="ar-SA"/>
              </w:rPr>
              <w:t>S</w:t>
            </w:r>
            <w:r>
              <w:rPr>
                <w:rFonts w:hint="default" w:ascii="微软雅黑" w:hAnsi="微软雅黑" w:cstheme="minorBidi"/>
                <w:kern w:val="2"/>
                <w:sz w:val="21"/>
                <w:szCs w:val="22"/>
                <w:lang w:val="en-US" w:eastAsia="zh-CN" w:bidi="ar-SA"/>
              </w:rPr>
              <w:t>witch identification</w:t>
            </w:r>
          </w:p>
        </w:tc>
        <w:tc>
          <w:tcPr>
            <w:tcW w:w="1701" w:type="dxa"/>
            <w:shd w:val="clear" w:color="auto" w:fill="auto"/>
            <w:vAlign w:val="center"/>
          </w:tcPr>
          <w:p w14:paraId="7397E9BD">
            <w:pPr>
              <w:spacing w:line="280" w:lineRule="exact"/>
              <w:jc w:val="center"/>
              <w:rPr>
                <w:rFonts w:hint="eastAsia" w:ascii="微软雅黑" w:hAnsi="微软雅黑"/>
                <w:lang w:val="en-US" w:eastAsia="zh-CN"/>
              </w:rPr>
            </w:pPr>
            <w:r>
              <w:rPr>
                <w:rFonts w:hint="eastAsia" w:ascii="微软雅黑" w:hAnsi="微软雅黑"/>
                <w:lang w:val="en-US" w:eastAsia="zh-CN"/>
              </w:rPr>
              <w:t>郑炳佳</w:t>
            </w:r>
          </w:p>
        </w:tc>
        <w:tc>
          <w:tcPr>
            <w:tcW w:w="1559" w:type="dxa"/>
            <w:shd w:val="clear" w:color="auto" w:fill="auto"/>
            <w:vAlign w:val="center"/>
          </w:tcPr>
          <w:p w14:paraId="4C089912">
            <w:pPr>
              <w:spacing w:line="280" w:lineRule="exact"/>
              <w:jc w:val="center"/>
              <w:rPr>
                <w:rFonts w:hint="eastAsia" w:ascii="微软雅黑" w:hAnsi="微软雅黑"/>
                <w:lang w:val="en-US" w:eastAsia="zh-CN"/>
              </w:rPr>
            </w:pPr>
            <w:r>
              <w:rPr>
                <w:rFonts w:hint="eastAsia" w:ascii="微软雅黑" w:hAnsi="微软雅黑"/>
                <w:lang w:val="en-US" w:eastAsia="zh-CN"/>
              </w:rPr>
              <w:t>杨龙威</w:t>
            </w:r>
          </w:p>
        </w:tc>
        <w:tc>
          <w:tcPr>
            <w:tcW w:w="1559" w:type="dxa"/>
            <w:shd w:val="clear" w:color="auto" w:fill="auto"/>
            <w:vAlign w:val="center"/>
          </w:tcPr>
          <w:p w14:paraId="0B004405">
            <w:pPr>
              <w:spacing w:line="280" w:lineRule="exact"/>
              <w:jc w:val="center"/>
              <w:rPr>
                <w:rFonts w:hint="eastAsia" w:ascii="微软雅黑" w:hAnsi="微软雅黑"/>
                <w:lang w:val="en-US" w:eastAsia="zh-CN"/>
              </w:rPr>
            </w:pPr>
            <w:r>
              <w:rPr>
                <w:rFonts w:hint="eastAsia" w:ascii="微软雅黑" w:hAnsi="微软雅黑"/>
                <w:lang w:val="en-US" w:eastAsia="zh-CN"/>
              </w:rPr>
              <w:t>郭思才</w:t>
            </w:r>
          </w:p>
        </w:tc>
      </w:tr>
      <w:tr w14:paraId="5B72CEFC">
        <w:trPr>
          <w:trHeight w:val="495" w:hRule="atLeast"/>
          <w:jc w:val="center"/>
        </w:trPr>
        <w:tc>
          <w:tcPr>
            <w:tcW w:w="1271" w:type="dxa"/>
            <w:shd w:val="clear" w:color="auto" w:fill="auto"/>
            <w:vAlign w:val="center"/>
          </w:tcPr>
          <w:p w14:paraId="4B0B53EC">
            <w:pPr>
              <w:spacing w:line="280" w:lineRule="exact"/>
              <w:jc w:val="center"/>
              <w:rPr>
                <w:rFonts w:hint="eastAsia"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6.0</w:t>
            </w:r>
          </w:p>
        </w:tc>
        <w:tc>
          <w:tcPr>
            <w:tcW w:w="1526" w:type="dxa"/>
            <w:shd w:val="clear" w:color="auto" w:fill="auto"/>
            <w:vAlign w:val="center"/>
          </w:tcPr>
          <w:p w14:paraId="73195671">
            <w:pPr>
              <w:spacing w:line="280" w:lineRule="exact"/>
              <w:jc w:val="center"/>
              <w:rPr>
                <w:rFonts w:hint="default" w:ascii="微软雅黑" w:hAnsi="微软雅黑" w:eastAsia="微软雅黑" w:cstheme="minorBidi"/>
                <w:kern w:val="2"/>
                <w:sz w:val="21"/>
                <w:szCs w:val="22"/>
                <w:lang w:val="en-US" w:eastAsia="zh-CN" w:bidi="ar-SA"/>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7</w:t>
            </w:r>
            <w:r>
              <w:rPr>
                <w:rFonts w:hint="eastAsia" w:ascii="微软雅黑" w:hAnsi="微软雅黑"/>
              </w:rPr>
              <w:t>/</w:t>
            </w:r>
            <w:r>
              <w:rPr>
                <w:rFonts w:hint="eastAsia" w:ascii="微软雅黑" w:hAnsi="微软雅黑"/>
                <w:lang w:val="en-US" w:eastAsia="zh-CN"/>
              </w:rPr>
              <w:t>10</w:t>
            </w:r>
          </w:p>
        </w:tc>
        <w:tc>
          <w:tcPr>
            <w:tcW w:w="3577" w:type="dxa"/>
            <w:shd w:val="clear" w:color="auto" w:fill="auto"/>
            <w:vAlign w:val="center"/>
          </w:tcPr>
          <w:p w14:paraId="758D35D6">
            <w:pPr>
              <w:spacing w:line="280" w:lineRule="exact"/>
              <w:jc w:val="center"/>
              <w:rPr>
                <w:rFonts w:hint="default"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新增SM网络</w:t>
            </w:r>
          </w:p>
          <w:p w14:paraId="0CBA34C9">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Add a new SM network</w:t>
            </w:r>
          </w:p>
        </w:tc>
        <w:tc>
          <w:tcPr>
            <w:tcW w:w="1701" w:type="dxa"/>
            <w:shd w:val="clear" w:color="auto" w:fill="auto"/>
            <w:vAlign w:val="center"/>
          </w:tcPr>
          <w:p w14:paraId="35E325CA">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559" w:type="dxa"/>
            <w:shd w:val="clear" w:color="auto" w:fill="auto"/>
            <w:vAlign w:val="center"/>
          </w:tcPr>
          <w:p w14:paraId="52CA4102">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559" w:type="dxa"/>
            <w:shd w:val="clear" w:color="auto" w:fill="auto"/>
            <w:vAlign w:val="center"/>
          </w:tcPr>
          <w:p w14:paraId="39AA2DEA">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1C8BC1EF">
        <w:trPr>
          <w:trHeight w:val="495" w:hRule="atLeast"/>
          <w:jc w:val="center"/>
        </w:trPr>
        <w:tc>
          <w:tcPr>
            <w:tcW w:w="1271" w:type="dxa"/>
            <w:shd w:val="clear" w:color="auto" w:fill="auto"/>
            <w:vAlign w:val="center"/>
          </w:tcPr>
          <w:p w14:paraId="64242F38">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7.0</w:t>
            </w:r>
          </w:p>
        </w:tc>
        <w:tc>
          <w:tcPr>
            <w:tcW w:w="1526" w:type="dxa"/>
            <w:shd w:val="clear" w:color="auto" w:fill="auto"/>
            <w:vAlign w:val="center"/>
          </w:tcPr>
          <w:p w14:paraId="025E3032">
            <w:pPr>
              <w:spacing w:line="280" w:lineRule="exact"/>
              <w:jc w:val="center"/>
              <w:rPr>
                <w:rFonts w:hint="default" w:ascii="微软雅黑" w:hAnsi="微软雅黑" w:eastAsia="微软雅黑" w:cstheme="minorBidi"/>
                <w:kern w:val="2"/>
                <w:sz w:val="21"/>
                <w:szCs w:val="22"/>
                <w:lang w:val="en-US" w:eastAsia="zh-CN" w:bidi="ar-SA"/>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12</w:t>
            </w:r>
            <w:r>
              <w:rPr>
                <w:rFonts w:hint="eastAsia" w:ascii="微软雅黑" w:hAnsi="微软雅黑"/>
              </w:rPr>
              <w:t>/</w:t>
            </w:r>
            <w:r>
              <w:rPr>
                <w:rFonts w:hint="eastAsia" w:ascii="微软雅黑" w:hAnsi="微软雅黑"/>
                <w:lang w:val="en-US" w:eastAsia="zh-CN"/>
              </w:rPr>
              <w:t>25</w:t>
            </w:r>
          </w:p>
        </w:tc>
        <w:tc>
          <w:tcPr>
            <w:tcW w:w="3577" w:type="dxa"/>
            <w:shd w:val="clear" w:color="auto" w:fill="auto"/>
            <w:vAlign w:val="center"/>
          </w:tcPr>
          <w:p w14:paraId="56FE45AD">
            <w:pPr>
              <w:spacing w:line="280" w:lineRule="exact"/>
              <w:jc w:val="center"/>
              <w:rPr>
                <w:rFonts w:hint="eastAsia"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调整安全等级</w:t>
            </w:r>
          </w:p>
          <w:p w14:paraId="2C6DA33B">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Adjust the security level</w:t>
            </w:r>
          </w:p>
        </w:tc>
        <w:tc>
          <w:tcPr>
            <w:tcW w:w="1701" w:type="dxa"/>
            <w:shd w:val="clear" w:color="auto" w:fill="auto"/>
            <w:vAlign w:val="center"/>
          </w:tcPr>
          <w:p w14:paraId="7D9FBACE">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559" w:type="dxa"/>
            <w:shd w:val="clear" w:color="auto" w:fill="auto"/>
            <w:vAlign w:val="center"/>
          </w:tcPr>
          <w:p w14:paraId="1E8F983F">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559" w:type="dxa"/>
            <w:shd w:val="clear" w:color="auto" w:fill="auto"/>
            <w:vAlign w:val="center"/>
          </w:tcPr>
          <w:p w14:paraId="2C9AA452">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3FFA8597">
        <w:trPr>
          <w:trHeight w:val="495" w:hRule="atLeast"/>
          <w:jc w:val="center"/>
        </w:trPr>
        <w:tc>
          <w:tcPr>
            <w:tcW w:w="1271" w:type="dxa"/>
            <w:shd w:val="clear" w:color="auto" w:fill="auto"/>
            <w:vAlign w:val="center"/>
          </w:tcPr>
          <w:p w14:paraId="330DCE0A">
            <w:pPr>
              <w:spacing w:line="280" w:lineRule="exact"/>
              <w:jc w:val="center"/>
              <w:rPr>
                <w:rFonts w:hint="default"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8.0</w:t>
            </w:r>
          </w:p>
        </w:tc>
        <w:tc>
          <w:tcPr>
            <w:tcW w:w="1526" w:type="dxa"/>
            <w:shd w:val="clear" w:color="auto" w:fill="auto"/>
            <w:vAlign w:val="center"/>
          </w:tcPr>
          <w:p w14:paraId="367E3AB7">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2026/5/10</w:t>
            </w:r>
          </w:p>
        </w:tc>
        <w:tc>
          <w:tcPr>
            <w:tcW w:w="3577" w:type="dxa"/>
            <w:shd w:val="clear" w:color="auto" w:fill="auto"/>
            <w:vAlign w:val="center"/>
          </w:tcPr>
          <w:p w14:paraId="7D28C283">
            <w:pPr>
              <w:spacing w:line="280" w:lineRule="exact"/>
              <w:jc w:val="center"/>
              <w:rPr>
                <w:rFonts w:hint="eastAsia"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生产网安全等级描述</w:t>
            </w:r>
          </w:p>
          <w:p w14:paraId="7F061496">
            <w:pPr>
              <w:spacing w:line="280" w:lineRule="exact"/>
              <w:jc w:val="center"/>
              <w:rPr>
                <w:rFonts w:hint="default" w:ascii="微软雅黑" w:hAnsi="微软雅黑" w:cstheme="minorBidi"/>
                <w:kern w:val="2"/>
                <w:sz w:val="21"/>
                <w:szCs w:val="22"/>
                <w:lang w:val="en-US" w:eastAsia="zh-CN" w:bidi="ar-SA"/>
              </w:rPr>
            </w:pPr>
            <w:r>
              <w:rPr>
                <w:rFonts w:hint="eastAsia" w:ascii="微软雅黑" w:hAnsi="微软雅黑" w:cstheme="minorBidi"/>
                <w:kern w:val="2"/>
                <w:sz w:val="21"/>
                <w:szCs w:val="22"/>
                <w:lang w:val="en-US" w:eastAsia="zh-CN" w:bidi="ar-SA"/>
              </w:rPr>
              <w:t>Description of the production network security level</w:t>
            </w:r>
          </w:p>
        </w:tc>
        <w:tc>
          <w:tcPr>
            <w:tcW w:w="1701" w:type="dxa"/>
            <w:shd w:val="clear" w:color="auto" w:fill="auto"/>
            <w:vAlign w:val="center"/>
          </w:tcPr>
          <w:p w14:paraId="7B30121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559" w:type="dxa"/>
            <w:shd w:val="clear" w:color="auto" w:fill="auto"/>
            <w:vAlign w:val="center"/>
          </w:tcPr>
          <w:p w14:paraId="6D864BC5">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559" w:type="dxa"/>
            <w:shd w:val="clear" w:color="auto" w:fill="auto"/>
            <w:vAlign w:val="center"/>
          </w:tcPr>
          <w:p w14:paraId="5B4C896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bl>
    <w:p w14:paraId="71B9B9E7"/>
    <w:p w14:paraId="23AD2C3F"/>
    <w:p w14:paraId="1575A8B3"/>
    <w:p w14:paraId="2CD286BF"/>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09"/>
        <w:gridCol w:w="3209"/>
        <w:gridCol w:w="3210"/>
      </w:tblGrid>
      <w:tr w14:paraId="19C9C4C7">
        <w:trPr>
          <w:trHeight w:val="987" w:hRule="atLeast"/>
        </w:trPr>
        <w:tc>
          <w:tcPr>
            <w:tcW w:w="3209" w:type="dxa"/>
            <w:shd w:val="clear" w:color="auto" w:fill="auto"/>
          </w:tcPr>
          <w:p w14:paraId="2096B5E3">
            <w:pPr>
              <w:spacing w:line="480" w:lineRule="exact"/>
              <w:jc w:val="left"/>
              <w:rPr>
                <w:b/>
                <w:bCs/>
                <w:sz w:val="24"/>
                <w:szCs w:val="28"/>
              </w:rPr>
            </w:pPr>
            <w:r>
              <w:rPr>
                <w:rFonts w:hint="eastAsia"/>
                <w:b/>
                <w:bCs/>
                <w:sz w:val="24"/>
                <w:szCs w:val="28"/>
              </w:rPr>
              <w:t>编制：</w:t>
            </w:r>
          </w:p>
          <w:p w14:paraId="50CC853A">
            <w:pPr>
              <w:spacing w:line="480" w:lineRule="exact"/>
              <w:jc w:val="left"/>
            </w:pPr>
            <w:r>
              <w:rPr>
                <w:rFonts w:hint="eastAsia"/>
                <w:sz w:val="24"/>
                <w:szCs w:val="28"/>
                <w:lang w:val="en-US" w:eastAsia="zh-CN"/>
              </w:rPr>
              <w:t>Editor</w:t>
            </w:r>
            <w:r>
              <w:rPr>
                <w:rFonts w:hint="eastAsia"/>
                <w:sz w:val="24"/>
                <w:szCs w:val="28"/>
              </w:rPr>
              <w:t>:</w:t>
            </w:r>
          </w:p>
        </w:tc>
        <w:tc>
          <w:tcPr>
            <w:tcW w:w="3209" w:type="dxa"/>
            <w:shd w:val="clear" w:color="auto" w:fill="auto"/>
          </w:tcPr>
          <w:p w14:paraId="511FF203">
            <w:pPr>
              <w:spacing w:line="480" w:lineRule="exact"/>
              <w:jc w:val="left"/>
              <w:rPr>
                <w:b/>
                <w:bCs/>
                <w:sz w:val="24"/>
                <w:szCs w:val="28"/>
              </w:rPr>
            </w:pPr>
            <w:r>
              <w:rPr>
                <w:rFonts w:hint="eastAsia"/>
                <w:b/>
                <w:bCs/>
                <w:sz w:val="24"/>
                <w:szCs w:val="28"/>
              </w:rPr>
              <w:t>审批：</w:t>
            </w:r>
          </w:p>
          <w:p w14:paraId="5194452A">
            <w:pPr>
              <w:spacing w:line="480" w:lineRule="exact"/>
              <w:jc w:val="left"/>
            </w:pPr>
            <w:r>
              <w:rPr>
                <w:rFonts w:hint="eastAsia" w:ascii="微软雅黑" w:hAnsi="微软雅黑"/>
                <w:b/>
                <w:lang w:val="en-US" w:eastAsia="zh-CN"/>
              </w:rPr>
              <w:t>Auditor</w:t>
            </w:r>
            <w:r>
              <w:rPr>
                <w:rFonts w:hint="eastAsia"/>
                <w:sz w:val="24"/>
                <w:szCs w:val="28"/>
              </w:rPr>
              <w:t>:</w:t>
            </w:r>
          </w:p>
        </w:tc>
        <w:tc>
          <w:tcPr>
            <w:tcW w:w="3210" w:type="dxa"/>
            <w:shd w:val="clear" w:color="auto" w:fill="auto"/>
          </w:tcPr>
          <w:p w14:paraId="402E4190">
            <w:pPr>
              <w:spacing w:line="480" w:lineRule="exact"/>
              <w:jc w:val="left"/>
              <w:rPr>
                <w:b/>
                <w:bCs/>
                <w:sz w:val="24"/>
                <w:szCs w:val="28"/>
              </w:rPr>
            </w:pPr>
            <w:r>
              <w:rPr>
                <w:rFonts w:hint="eastAsia"/>
                <w:b/>
                <w:bCs/>
                <w:sz w:val="24"/>
                <w:szCs w:val="28"/>
                <w:lang w:val="en-US" w:eastAsia="zh-CN"/>
              </w:rPr>
              <w:t>批准</w:t>
            </w:r>
            <w:r>
              <w:rPr>
                <w:rFonts w:hint="eastAsia"/>
                <w:b/>
                <w:bCs/>
                <w:sz w:val="24"/>
                <w:szCs w:val="28"/>
              </w:rPr>
              <w:t>：</w:t>
            </w:r>
          </w:p>
          <w:p w14:paraId="4995FAF7">
            <w:pPr>
              <w:spacing w:line="480" w:lineRule="exact"/>
              <w:jc w:val="left"/>
            </w:pPr>
            <w:r>
              <w:rPr>
                <w:rFonts w:hint="eastAsia" w:ascii="微软雅黑" w:hAnsi="微软雅黑"/>
                <w:b/>
              </w:rPr>
              <w:t>Approve</w:t>
            </w:r>
            <w:r>
              <w:rPr>
                <w:rFonts w:hint="eastAsia"/>
                <w:sz w:val="24"/>
                <w:szCs w:val="28"/>
              </w:rPr>
              <w:t>:</w:t>
            </w:r>
          </w:p>
        </w:tc>
      </w:tr>
    </w:tbl>
    <w:p w14:paraId="2DF63937">
      <w:pPr>
        <w:pStyle w:val="30"/>
      </w:pPr>
      <w:bookmarkStart w:id="1" w:name="_Toc2041538922_WPSOffice_Type1"/>
      <w:bookmarkEnd w:id="1"/>
    </w:p>
    <w:sectPr>
      <w:headerReference r:id="rId5" w:type="default"/>
      <w:footerReference r:id="rId6" w:type="default"/>
      <w:pgSz w:w="11906" w:h="16838"/>
      <w:pgMar w:top="720" w:right="1134" w:bottom="1440" w:left="1134" w:header="56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94A43">
    <w:pPr>
      <w:pStyle w:val="7"/>
      <w:jc w:val="right"/>
    </w:pPr>
    <w:r>
      <mc:AlternateContent>
        <mc:Choice Requires="wps">
          <w:drawing>
            <wp:anchor distT="0" distB="0" distL="114300" distR="114300" simplePos="0" relativeHeight="251659264" behindDoc="0" locked="0" layoutInCell="1" allowOverlap="1">
              <wp:simplePos x="0" y="0"/>
              <wp:positionH relativeFrom="column">
                <wp:posOffset>5421630</wp:posOffset>
              </wp:positionH>
              <wp:positionV relativeFrom="paragraph">
                <wp:posOffset>-78740</wp:posOffset>
              </wp:positionV>
              <wp:extent cx="673100" cy="1828800"/>
              <wp:effectExtent l="0" t="0" r="0" b="0"/>
              <wp:wrapSquare wrapText="bothSides"/>
              <wp:docPr id="356813128" name="文本框 1"/>
              <wp:cNvGraphicFramePr/>
              <a:graphic xmlns:a="http://schemas.openxmlformats.org/drawingml/2006/main">
                <a:graphicData uri="http://schemas.microsoft.com/office/word/2010/wordprocessingShape">
                  <wps:wsp>
                    <wps:cNvSpPr txBox="1"/>
                    <wps:spPr>
                      <a:xfrm>
                        <a:off x="0" y="0"/>
                        <a:ext cx="673100" cy="1828800"/>
                      </a:xfrm>
                      <a:prstGeom prst="rect">
                        <a:avLst/>
                      </a:prstGeom>
                      <a:noFill/>
                      <a:ln w="6350">
                        <a:noFill/>
                      </a:ln>
                    </wps:spPr>
                    <wps:txbx>
                      <w:txbxContent>
                        <w:p w14:paraId="6A96DB99">
                          <w:pPr>
                            <w:pStyle w:val="7"/>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1" o:spid="_x0000_s1026" o:spt="202" type="#_x0000_t202" style="position:absolute;left:0pt;margin-left:426.9pt;margin-top:-6.2pt;height:144pt;width:53pt;mso-wrap-distance-bottom:0pt;mso-wrap-distance-left:9pt;mso-wrap-distance-right:9pt;mso-wrap-distance-top:0pt;z-index:251659264;mso-width-relative:page;mso-height-relative:page;" filled="f" stroked="f" coordsize="21600,21600" o:gfxdata="UEsDBAoAAAAAAIdO4kAAAAAAAAAAAAAAAAAEAAAAZHJzL1BLAwQUAAAACACHTuJAAuu7CNgAAAAL&#10;AQAADwAAAGRycy9kb3ducmV2LnhtbE2PwU7DMBBE70j8g7VIXFBrJ5DShmx6qJRz1ZQPcOMlCcR2&#10;FDtN+XuWExx3djTzptjf7CCuNIXeO4RkrUCQa7zpXYvwfq5WWxAhamf04B0hfFOAfXl/V+jc+MWd&#10;6FrHVnCIC7lG6GIccylD05HVYe1Hcvz78JPVkc+plWbSC4fbQaZKbaTVveOGTo906Kj5qmeL4NPl&#10;aTjVSXU4Lp+VOs50rgMhPj4k6g1EpFv8M8MvPqNDyUwXPzsTxICwzZ4ZPSKskvQFBDt22Y6VC0L6&#10;mm1AloX8v6H8AVBLAwQUAAAACACHTuJAxMakSUICAABuBAAADgAAAGRycy9lMm9Eb2MueG1srVTN&#10;bhMxEL4j8Q6W72SzSZqGqJsqtApCqmilgjg7Xm92Jf9hO9ktDwBv0BMX7jxXn4PP3iStCoceuDjj&#10;mdlv5vtmnLPzTkmyE843Rhc0HwwpEZqbstGbgn7+tHozo8QHpksmjRYFvROeni9evzpr7VyMTG1k&#10;KRwBiPbz1ha0DsHOs8zzWijmB8YKjWBlnGIBV7fJSsdaoCuZjYbDadYaV1pnuPAe3ss+SPeI7iWA&#10;pqoaLi4N3yqhQ4/qhGQBlHzdWE8XqduqEjxcV5UXgciCgmlIJ4rAXsczW5yx+cYxWzd83wJ7SQvP&#10;OCnWaBQ9Ql2ywMjWNX9BqYY7400VBtyorCeSFAGLfPhMm9uaWZG4QGpvj6L7/wfLP+5uHGnKgo5P&#10;prN8nI8wfs0UBv9w/+Ph5++HX99JHmVqrZ8j+9YiP3TvTIflOfg9nJF9VzkVf8GLIA6R744iiy4Q&#10;Duf0dJwPEeEI5bPRbIYL4LPHr63z4b0wikSjoA5DTNqy3ZUPfeohJRbTZtVImQYpNWlRYXwyTB8c&#10;IwCXGjUih77XaIVu3e2JrU15B17O9AviLV81KH7FfLhhDhuBhvFmwjWOShoUMXuLktq4b//yx3wM&#10;ClFKWmxYQf3XLXOCEvlBY4Rv88kEsCFdJienI1zc08j6aURv1YXBEud4nZYnM+YHeTArZ9QXPK1l&#10;rIoQ0xy1CxoO5kXo9x5Pk4vlMiVhCS0LV/rW8ggd5fR2uQ2QNCkdZeq12auHNUyz2j+ZuOdP7ynr&#10;8W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67sI2AAAAAsBAAAPAAAAAAAAAAEAIAAAACIA&#10;AABkcnMvZG93bnJldi54bWxQSwECFAAUAAAACACHTuJAxMakSUICAABuBAAADgAAAAAAAAABACAA&#10;AAAnAQAAZHJzL2Uyb0RvYy54bWxQSwUGAAAAAAYABgBZAQAA2wUAAAAA&#10;">
              <v:fill on="f" focussize="0,0"/>
              <v:stroke on="f" weight="0.5pt"/>
              <v:imagedata o:title=""/>
              <o:lock v:ext="edit" aspectratio="f"/>
              <v:textbox style="mso-fit-shape-to-text:t;">
                <w:txbxContent>
                  <w:p w14:paraId="6A96DB99">
                    <w:pPr>
                      <w:pStyle w:val="7"/>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v:textbox>
              <w10:wrap type="square"/>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2439670</wp:posOffset>
              </wp:positionH>
              <wp:positionV relativeFrom="paragraph">
                <wp:posOffset>-78740</wp:posOffset>
              </wp:positionV>
              <wp:extent cx="1257935" cy="443865"/>
              <wp:effectExtent l="0" t="0" r="0" b="0"/>
              <wp:wrapNone/>
              <wp:docPr id="787843771" name="文本框 3"/>
              <wp:cNvGraphicFramePr/>
              <a:graphic xmlns:a="http://schemas.openxmlformats.org/drawingml/2006/main">
                <a:graphicData uri="http://schemas.microsoft.com/office/word/2010/wordprocessingShape">
                  <wps:wsp>
                    <wps:cNvSpPr txBox="1"/>
                    <wps:spPr>
                      <a:xfrm>
                        <a:off x="0" y="0"/>
                        <a:ext cx="1257960" cy="443986"/>
                      </a:xfrm>
                      <a:prstGeom prst="rect">
                        <a:avLst/>
                      </a:prstGeom>
                      <a:solidFill>
                        <a:schemeClr val="lt1"/>
                      </a:solidFill>
                      <a:ln w="6350">
                        <a:noFill/>
                      </a:ln>
                    </wps:spPr>
                    <wps:txbx>
                      <w:txbxContent>
                        <w:p w14:paraId="3F1738C1">
                          <w:pPr>
                            <w:jc w:val="center"/>
                            <w:rPr>
                              <w:rFonts w:hint="eastAsia" w:eastAsia="微软雅黑"/>
                              <w:sz w:val="18"/>
                              <w:szCs w:val="18"/>
                              <w:lang w:eastAsia="zh-CN"/>
                            </w:rPr>
                          </w:pPr>
                          <w:r>
                            <w:rPr>
                              <w:rFonts w:hint="eastAsia"/>
                              <w:sz w:val="18"/>
                              <w:szCs w:val="18"/>
                              <w:lang w:val="en-US" w:eastAsia="zh-CN"/>
                            </w:rPr>
                            <w:t>信息</w:t>
                          </w:r>
                          <w:r>
                            <w:rPr>
                              <w:rFonts w:hint="eastAsia"/>
                              <w:sz w:val="18"/>
                              <w:szCs w:val="18"/>
                            </w:rPr>
                            <w:t>等级：</w:t>
                          </w:r>
                          <w:r>
                            <w:rPr>
                              <w:rFonts w:hint="eastAsia"/>
                              <w:sz w:val="18"/>
                              <w:szCs w:val="18"/>
                              <w:lang w:val="en-US" w:eastAsia="zh-CN"/>
                            </w:rPr>
                            <w:t>绝密</w:t>
                          </w:r>
                        </w:p>
                        <w:p w14:paraId="58895368">
                          <w:pPr>
                            <w:jc w:val="center"/>
                            <w:rPr>
                              <w:rFonts w:hint="eastAsia"/>
                              <w:sz w:val="18"/>
                              <w:szCs w:val="18"/>
                            </w:rPr>
                          </w:pPr>
                          <w:r>
                            <w:rPr>
                              <w:rFonts w:hint="eastAsia"/>
                              <w:sz w:val="18"/>
                              <w:szCs w:val="18"/>
                            </w:rPr>
                            <w:t>Info Class: Secret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92.1pt;margin-top:-6.2pt;height:34.95pt;width:99.05pt;z-index:251660288;mso-width-relative:page;mso-height-relative:page;" fillcolor="#FFFFFF [3201]" filled="t" stroked="f" coordsize="21600,21600" o:gfxdata="UEsDBAoAAAAAAIdO4kAAAAAAAAAAAAAAAAAEAAAAZHJzL1BLAwQUAAAACACHTuJAZCt/59cAAAAK&#10;AQAADwAAAGRycy9kb3ducmV2LnhtbE2PTU/DMAyG70j8h8hIu21puw6q0nQHJK6T2MbOWWOaisSp&#10;muzz12NOcLPlR6+ft1lfvRNnnOIQSEG+yEAgdcEM1CvY797nFYiYNBntAqGCG0ZYt48Pja5NuNAH&#10;nrepFxxCsdYKbEpjLWXsLHodF2FE4ttXmLxOvE69NJO+cLh3ssiyZ+n1QPzB6hHfLHbf25NXcOj9&#10;/fCZj5M13pW0ud92+zAoNXvKs1cQCa/pD4ZffVaHlp2O4UQmCqdgWZUFowrmeVGCYGJVFUsQRx5e&#10;ViDbRv6v0P4AUEsDBBQAAAAIAIdO4kByZt7NVgIAAJcEAAAOAAAAZHJzL2Uyb0RvYy54bWytVM1u&#10;EzEQviPxDpbvdPPX/KmbKrQKQqpopYA4O15v1pLtMbaT3fIA8AY9ceHOc/U5GHs3aSgceiAHZ+wZ&#10;f+Pvm5m9uGy0InvhvAST0/5ZjxJhOBTSbHP66ePqzZQSH5gpmAIjcnovPL1cvH51Udu5GEAFqhCO&#10;IIjx89rmtArBzrPM80po5s/ACoPOEpxmAbdumxWO1YiuVTbo9cZZDa6wDrjwHk+vWyftEN1LAKEs&#10;JRfXwHdamNCiOqFYQEq+ktbTRXptWQoebsvSi0BUTpFpSCsmQXsT12xxweZbx2wlefcE9pInPOOk&#10;mTSY9Ah1zQIjOyf/gtKSO/BQhjMOOmuJJEWQRb/3TJt1xaxIXFBqb4+i+/8Hyz/s7xyRRU4n08l0&#10;NJxM+pQYprHwjw/fH3/8evz5jQyjTLX1c4xeW4wPzVtosHkO5x4PI/umdDr+Iy+CfhT5/iiyaALh&#10;8dLgfDIbo4ujbzQazqbjCJM93bbOh3cCNIlGTh0WMWnL9jc+tKGHkJjMg5LFSiqVNm67uVKO7BkW&#10;fJV+HfofYcqQOqfj4XkvIRuI91toZfAxkWxLKlqh2TSdAhso7lEAB20nectXEl95w3y4Yw5bB4nh&#10;cIVbXEoFmAQ6i5IK3Nd/ncd4rCh6KamxFXPqv+yYE5So9wZrPeuPRggb0mZ0Phngxp16Nqces9NX&#10;gOSxjvi6ZMb4oA5m6UB/xhlcxqzoYoZj7pyGg3kV2gHBGeZiuUxB2K2WhRuztjxCR6kNLHcBSplK&#10;EmVqtenUw35NRe1mKw7E6T5FPX1P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Ct/59cAAAAK&#10;AQAADwAAAAAAAAABACAAAAAiAAAAZHJzL2Rvd25yZXYueG1sUEsBAhQAFAAAAAgAh07iQHJm3s1W&#10;AgAAlwQAAA4AAAAAAAAAAQAgAAAAJgEAAGRycy9lMm9Eb2MueG1sUEsFBgAAAAAGAAYAWQEAAO4F&#10;AAAAAA==&#10;">
              <v:fill on="t" focussize="0,0"/>
              <v:stroke on="f" weight="0.5pt"/>
              <v:imagedata o:title=""/>
              <o:lock v:ext="edit" aspectratio="f"/>
              <v:textbox>
                <w:txbxContent>
                  <w:p w14:paraId="3F1738C1">
                    <w:pPr>
                      <w:jc w:val="center"/>
                      <w:rPr>
                        <w:rFonts w:hint="eastAsia" w:eastAsia="微软雅黑"/>
                        <w:sz w:val="18"/>
                        <w:szCs w:val="18"/>
                        <w:lang w:eastAsia="zh-CN"/>
                      </w:rPr>
                    </w:pPr>
                    <w:r>
                      <w:rPr>
                        <w:rFonts w:hint="eastAsia"/>
                        <w:sz w:val="18"/>
                        <w:szCs w:val="18"/>
                        <w:lang w:val="en-US" w:eastAsia="zh-CN"/>
                      </w:rPr>
                      <w:t>信息</w:t>
                    </w:r>
                    <w:r>
                      <w:rPr>
                        <w:rFonts w:hint="eastAsia"/>
                        <w:sz w:val="18"/>
                        <w:szCs w:val="18"/>
                      </w:rPr>
                      <w:t>等级：</w:t>
                    </w:r>
                    <w:r>
                      <w:rPr>
                        <w:rFonts w:hint="eastAsia"/>
                        <w:sz w:val="18"/>
                        <w:szCs w:val="18"/>
                        <w:lang w:val="en-US" w:eastAsia="zh-CN"/>
                      </w:rPr>
                      <w:t>绝密</w:t>
                    </w:r>
                  </w:p>
                  <w:p w14:paraId="58895368">
                    <w:pPr>
                      <w:jc w:val="center"/>
                      <w:rPr>
                        <w:rFonts w:hint="eastAsia"/>
                        <w:sz w:val="18"/>
                        <w:szCs w:val="18"/>
                      </w:rPr>
                    </w:pPr>
                    <w:r>
                      <w:rPr>
                        <w:rFonts w:hint="eastAsia"/>
                        <w:sz w:val="18"/>
                        <w:szCs w:val="18"/>
                      </w:rPr>
                      <w:t>Info Class: Secret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0"/>
      <w:gridCol w:w="2713"/>
      <w:gridCol w:w="3032"/>
    </w:tblGrid>
    <w:tr w14:paraId="03FC769F">
      <w:tc>
        <w:tcPr>
          <w:tcW w:w="3950" w:type="dxa"/>
          <w:vMerge w:val="restart"/>
          <w:vAlign w:val="top"/>
        </w:tcPr>
        <w:p w14:paraId="5D6E9DBC">
          <w:pPr>
            <w:pStyle w:val="8"/>
            <w:pBdr>
              <w:top w:val="none" w:color="auto" w:sz="0" w:space="0"/>
              <w:left w:val="none" w:color="auto" w:sz="0" w:space="0"/>
              <w:bottom w:val="none" w:color="auto" w:sz="0" w:space="0"/>
              <w:right w:val="none" w:color="auto" w:sz="0" w:space="0"/>
            </w:pBdr>
            <w:jc w:val="left"/>
            <w:rPr>
              <w:rFonts w:hint="eastAsia" w:eastAsia="宋体"/>
              <w:sz w:val="24"/>
              <w:szCs w:val="24"/>
              <w:lang w:eastAsia="zh-CN"/>
            </w:rPr>
          </w:pPr>
          <w:r>
            <w:rPr>
              <w:rFonts w:hint="eastAsia" w:eastAsia="宋体"/>
              <w:sz w:val="24"/>
              <w:szCs w:val="24"/>
              <w:lang w:eastAsia="zh-CN"/>
            </w:rPr>
            <w:drawing>
              <wp:inline distT="0" distB="0" distL="114300" distR="114300">
                <wp:extent cx="659765" cy="183515"/>
                <wp:effectExtent l="0" t="0" r="6985" b="6350"/>
                <wp:docPr id="5" name="图片 14" descr="1-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descr="1-logo"/>
                        <pic:cNvPicPr>
                          <a:picLocks noChangeAspect="1"/>
                        </pic:cNvPicPr>
                      </pic:nvPicPr>
                      <pic:blipFill>
                        <a:blip r:embed="rId1"/>
                        <a:stretch>
                          <a:fillRect/>
                        </a:stretch>
                      </pic:blipFill>
                      <pic:spPr>
                        <a:xfrm>
                          <a:off x="0" y="0"/>
                          <a:ext cx="659765" cy="183515"/>
                        </a:xfrm>
                        <a:prstGeom prst="rect">
                          <a:avLst/>
                        </a:prstGeom>
                        <a:noFill/>
                        <a:ln>
                          <a:noFill/>
                        </a:ln>
                      </pic:spPr>
                    </pic:pic>
                  </a:graphicData>
                </a:graphic>
              </wp:inline>
            </w:drawing>
          </w:r>
        </w:p>
        <w:p w14:paraId="1D9F8912">
          <w:pPr>
            <w:jc w:val="center"/>
            <w:rPr>
              <w:rFonts w:hint="eastAsia"/>
              <w:b/>
              <w:sz w:val="24"/>
              <w:szCs w:val="24"/>
              <w:lang w:val="en-US" w:eastAsia="zh-CN"/>
            </w:rPr>
          </w:pPr>
          <w:r>
            <w:rPr>
              <w:rFonts w:hint="eastAsia"/>
              <w:b/>
              <w:sz w:val="24"/>
              <w:szCs w:val="24"/>
              <w:lang w:val="en-US" w:eastAsia="zh-CN"/>
            </w:rPr>
            <w:t>网络拓扑图</w:t>
          </w:r>
        </w:p>
        <w:p w14:paraId="2DBAD3CF">
          <w:pPr>
            <w:jc w:val="center"/>
            <w:rPr>
              <w:rFonts w:hint="default" w:eastAsia="微软雅黑"/>
              <w:lang w:val="en-US" w:eastAsia="zh-CN"/>
            </w:rPr>
          </w:pPr>
          <w:r>
            <w:rPr>
              <w:rFonts w:hint="eastAsia"/>
              <w:b/>
              <w:sz w:val="24"/>
              <w:szCs w:val="24"/>
              <w:lang w:val="en-US" w:eastAsia="zh-CN"/>
            </w:rPr>
            <w:t>Network topology</w:t>
          </w:r>
        </w:p>
      </w:tc>
      <w:tc>
        <w:tcPr>
          <w:tcW w:w="2713" w:type="dxa"/>
          <w:vAlign w:val="top"/>
        </w:tcPr>
        <w:p w14:paraId="0A7619B6">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r>
            <w:rPr>
              <w:rFonts w:hint="eastAsia"/>
              <w:b/>
              <w:bCs/>
              <w:sz w:val="24"/>
              <w:szCs w:val="24"/>
              <w:vertAlign w:val="baseline"/>
              <w:lang w:val="en-US" w:eastAsia="zh-CN"/>
            </w:rPr>
            <w:t>文件编号</w:t>
          </w:r>
        </w:p>
        <w:p w14:paraId="39ED05E7">
          <w:pPr>
            <w:pStyle w:val="8"/>
            <w:pBdr>
              <w:top w:val="none" w:color="auto" w:sz="0" w:space="0"/>
              <w:left w:val="none" w:color="auto" w:sz="0" w:space="0"/>
              <w:bottom w:val="none" w:color="auto" w:sz="0" w:space="0"/>
              <w:right w:val="none" w:color="auto" w:sz="0" w:space="0"/>
            </w:pBdr>
            <w:jc w:val="left"/>
            <w:rPr>
              <w:b/>
              <w:bCs/>
            </w:rPr>
          </w:pPr>
          <w:r>
            <w:rPr>
              <w:rFonts w:hint="eastAsia"/>
              <w:b/>
              <w:bCs/>
              <w:sz w:val="24"/>
              <w:szCs w:val="24"/>
              <w:vertAlign w:val="baseline"/>
              <w:lang w:val="en-US" w:eastAsia="zh-CN"/>
            </w:rPr>
            <w:t>Document No.：</w:t>
          </w:r>
        </w:p>
      </w:tc>
      <w:tc>
        <w:tcPr>
          <w:tcW w:w="3032" w:type="dxa"/>
          <w:vAlign w:val="top"/>
        </w:tcPr>
        <w:p w14:paraId="059AF155">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3B96B83C">
          <w:pPr>
            <w:pStyle w:val="8"/>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RC-IT-06</w:t>
          </w:r>
        </w:p>
      </w:tc>
    </w:tr>
    <w:tr w14:paraId="02B276A9">
      <w:tc>
        <w:tcPr>
          <w:tcW w:w="3950" w:type="dxa"/>
          <w:vMerge w:val="continue"/>
          <w:vAlign w:val="top"/>
        </w:tcPr>
        <w:p w14:paraId="075F51E9">
          <w:pPr>
            <w:pStyle w:val="8"/>
            <w:pBdr>
              <w:top w:val="none" w:color="auto" w:sz="0" w:space="0"/>
              <w:left w:val="none" w:color="auto" w:sz="0" w:space="0"/>
              <w:bottom w:val="none" w:color="auto" w:sz="0" w:space="0"/>
              <w:right w:val="none" w:color="auto" w:sz="0" w:space="0"/>
            </w:pBdr>
          </w:pPr>
        </w:p>
      </w:tc>
      <w:tc>
        <w:tcPr>
          <w:tcW w:w="2713" w:type="dxa"/>
          <w:vAlign w:val="top"/>
        </w:tcPr>
        <w:p w14:paraId="01B3502B">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eastAsia="zh-CN"/>
            </w:rPr>
          </w:pPr>
          <w:r>
            <w:rPr>
              <w:rFonts w:hint="eastAsia"/>
              <w:b/>
              <w:bCs/>
              <w:sz w:val="24"/>
              <w:szCs w:val="24"/>
              <w:vertAlign w:val="baseline"/>
              <w:lang w:eastAsia="zh-CN"/>
            </w:rPr>
            <w:t>版本</w:t>
          </w:r>
        </w:p>
        <w:p w14:paraId="6ED60832">
          <w:pPr>
            <w:pStyle w:val="8"/>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Version:</w:t>
          </w:r>
        </w:p>
      </w:tc>
      <w:tc>
        <w:tcPr>
          <w:tcW w:w="3032" w:type="dxa"/>
          <w:vAlign w:val="top"/>
        </w:tcPr>
        <w:p w14:paraId="4AA2B432">
          <w:pPr>
            <w:pStyle w:val="8"/>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7C80098D">
          <w:pPr>
            <w:pStyle w:val="8"/>
            <w:pBdr>
              <w:top w:val="none" w:color="auto" w:sz="0" w:space="0"/>
              <w:left w:val="none" w:color="auto" w:sz="0" w:space="0"/>
              <w:bottom w:val="none" w:color="auto" w:sz="0" w:space="0"/>
              <w:right w:val="none" w:color="auto" w:sz="0" w:space="0"/>
            </w:pBdr>
            <w:jc w:val="left"/>
            <w:rPr>
              <w:rFonts w:hint="default"/>
              <w:lang w:val="en-US"/>
            </w:rPr>
          </w:pPr>
          <w:r>
            <w:rPr>
              <w:rFonts w:hint="eastAsia"/>
              <w:b/>
              <w:bCs/>
              <w:sz w:val="24"/>
              <w:szCs w:val="24"/>
              <w:vertAlign w:val="baseline"/>
              <w:lang w:val="en-US" w:eastAsia="zh-CN"/>
            </w:rPr>
            <w:t>8.0</w:t>
          </w:r>
        </w:p>
      </w:tc>
    </w:tr>
  </w:tbl>
  <w:p w14:paraId="684A8005">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81EB0"/>
    <w:multiLevelType w:val="multilevel"/>
    <w:tmpl w:val="17281EB0"/>
    <w:lvl w:ilvl="0" w:tentative="0">
      <w:start w:val="1"/>
      <w:numFmt w:val="decimal"/>
      <w:pStyle w:val="21"/>
      <w:suff w:val="space"/>
      <w:lvlText w:val="%1."/>
      <w:lvlJc w:val="left"/>
      <w:pPr>
        <w:ind w:left="0" w:firstLine="0"/>
      </w:pPr>
      <w:rPr>
        <w:rFonts w:hint="eastAsia" w:ascii="微软雅黑" w:hAnsi="微软雅黑" w:eastAsia="微软雅黑" w:cs="Arial"/>
      </w:rPr>
    </w:lvl>
    <w:lvl w:ilvl="1" w:tentative="0">
      <w:start w:val="1"/>
      <w:numFmt w:val="decimal"/>
      <w:pStyle w:val="23"/>
      <w:suff w:val="space"/>
      <w:lvlText w:val="%1.%2."/>
      <w:lvlJc w:val="left"/>
      <w:pPr>
        <w:ind w:left="0" w:firstLine="0"/>
      </w:pPr>
      <w:rPr>
        <w:rFonts w:hint="eastAsia"/>
      </w:rPr>
    </w:lvl>
    <w:lvl w:ilvl="2" w:tentative="0">
      <w:start w:val="1"/>
      <w:numFmt w:val="decimal"/>
      <w:lvlRestart w:val="1"/>
      <w:pStyle w:val="27"/>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1CB28D84"/>
    <w:multiLevelType w:val="singleLevel"/>
    <w:tmpl w:val="1CB28D84"/>
    <w:lvl w:ilvl="0" w:tentative="0">
      <w:start w:val="1"/>
      <w:numFmt w:val="decimal"/>
      <w:lvlText w:val="%1."/>
      <w:lvlJc w:val="left"/>
      <w:pPr>
        <w:ind w:left="720" w:hanging="360"/>
      </w:pPr>
      <w:rPr>
        <w:sz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E8"/>
    <w:rsid w:val="0000328C"/>
    <w:rsid w:val="00051146"/>
    <w:rsid w:val="0006678C"/>
    <w:rsid w:val="0006737A"/>
    <w:rsid w:val="00076EB9"/>
    <w:rsid w:val="0008274B"/>
    <w:rsid w:val="00092B97"/>
    <w:rsid w:val="000A303D"/>
    <w:rsid w:val="000C0E9D"/>
    <w:rsid w:val="000C3FCF"/>
    <w:rsid w:val="000C736A"/>
    <w:rsid w:val="000F61DF"/>
    <w:rsid w:val="00111B6F"/>
    <w:rsid w:val="00131A0F"/>
    <w:rsid w:val="00144A00"/>
    <w:rsid w:val="0016385E"/>
    <w:rsid w:val="00175C6C"/>
    <w:rsid w:val="0019546C"/>
    <w:rsid w:val="001B3109"/>
    <w:rsid w:val="002442C1"/>
    <w:rsid w:val="00264BB0"/>
    <w:rsid w:val="00286D03"/>
    <w:rsid w:val="002A4563"/>
    <w:rsid w:val="002B1DB4"/>
    <w:rsid w:val="002B2052"/>
    <w:rsid w:val="002B25E8"/>
    <w:rsid w:val="002C0E89"/>
    <w:rsid w:val="002E1A2F"/>
    <w:rsid w:val="002F3C35"/>
    <w:rsid w:val="00305723"/>
    <w:rsid w:val="003333F7"/>
    <w:rsid w:val="00333A1A"/>
    <w:rsid w:val="003348B2"/>
    <w:rsid w:val="00374BB6"/>
    <w:rsid w:val="00382C07"/>
    <w:rsid w:val="00390ED1"/>
    <w:rsid w:val="003A0251"/>
    <w:rsid w:val="003A743D"/>
    <w:rsid w:val="003B76CE"/>
    <w:rsid w:val="003B793C"/>
    <w:rsid w:val="003D1365"/>
    <w:rsid w:val="004305C1"/>
    <w:rsid w:val="0046438A"/>
    <w:rsid w:val="0047138A"/>
    <w:rsid w:val="004914BA"/>
    <w:rsid w:val="004968E1"/>
    <w:rsid w:val="004E20CC"/>
    <w:rsid w:val="004E4F37"/>
    <w:rsid w:val="00503A17"/>
    <w:rsid w:val="00504A73"/>
    <w:rsid w:val="00507530"/>
    <w:rsid w:val="005255E1"/>
    <w:rsid w:val="00530D76"/>
    <w:rsid w:val="00544D41"/>
    <w:rsid w:val="00554C06"/>
    <w:rsid w:val="005666EF"/>
    <w:rsid w:val="005A7AC7"/>
    <w:rsid w:val="00601C05"/>
    <w:rsid w:val="00680970"/>
    <w:rsid w:val="00683909"/>
    <w:rsid w:val="006A289D"/>
    <w:rsid w:val="006A429A"/>
    <w:rsid w:val="006B517C"/>
    <w:rsid w:val="006B6CDB"/>
    <w:rsid w:val="006C005C"/>
    <w:rsid w:val="006C20C8"/>
    <w:rsid w:val="006E43E7"/>
    <w:rsid w:val="00702623"/>
    <w:rsid w:val="00722550"/>
    <w:rsid w:val="00741192"/>
    <w:rsid w:val="007705CD"/>
    <w:rsid w:val="007727C2"/>
    <w:rsid w:val="007761F9"/>
    <w:rsid w:val="00780858"/>
    <w:rsid w:val="007971F2"/>
    <w:rsid w:val="007A2D5A"/>
    <w:rsid w:val="007A4234"/>
    <w:rsid w:val="007A798C"/>
    <w:rsid w:val="007B30C2"/>
    <w:rsid w:val="007B40A3"/>
    <w:rsid w:val="007C39FE"/>
    <w:rsid w:val="007D3CBF"/>
    <w:rsid w:val="007E228A"/>
    <w:rsid w:val="007E661C"/>
    <w:rsid w:val="007F7D46"/>
    <w:rsid w:val="00805A3A"/>
    <w:rsid w:val="00835D7A"/>
    <w:rsid w:val="00840DEA"/>
    <w:rsid w:val="008512E2"/>
    <w:rsid w:val="00861877"/>
    <w:rsid w:val="008660B0"/>
    <w:rsid w:val="00875241"/>
    <w:rsid w:val="008D0AE9"/>
    <w:rsid w:val="008E2391"/>
    <w:rsid w:val="008E342F"/>
    <w:rsid w:val="008F630D"/>
    <w:rsid w:val="00932F9B"/>
    <w:rsid w:val="00954A19"/>
    <w:rsid w:val="00960DBB"/>
    <w:rsid w:val="0097320E"/>
    <w:rsid w:val="00974BF5"/>
    <w:rsid w:val="009867BD"/>
    <w:rsid w:val="009C537E"/>
    <w:rsid w:val="009C72B2"/>
    <w:rsid w:val="009C7645"/>
    <w:rsid w:val="009F28B6"/>
    <w:rsid w:val="009F6C71"/>
    <w:rsid w:val="00A1416E"/>
    <w:rsid w:val="00A154DF"/>
    <w:rsid w:val="00A43217"/>
    <w:rsid w:val="00A50B89"/>
    <w:rsid w:val="00A63E7E"/>
    <w:rsid w:val="00A83A54"/>
    <w:rsid w:val="00AA1D8A"/>
    <w:rsid w:val="00AA58ED"/>
    <w:rsid w:val="00AB22D4"/>
    <w:rsid w:val="00AB239E"/>
    <w:rsid w:val="00B12786"/>
    <w:rsid w:val="00B329DF"/>
    <w:rsid w:val="00B37348"/>
    <w:rsid w:val="00B44B58"/>
    <w:rsid w:val="00B6537D"/>
    <w:rsid w:val="00B74FE1"/>
    <w:rsid w:val="00BB4C03"/>
    <w:rsid w:val="00BB57E0"/>
    <w:rsid w:val="00BC3CAF"/>
    <w:rsid w:val="00BC62DE"/>
    <w:rsid w:val="00BD4A25"/>
    <w:rsid w:val="00BE1CC9"/>
    <w:rsid w:val="00BE4B23"/>
    <w:rsid w:val="00BE7416"/>
    <w:rsid w:val="00BF61FD"/>
    <w:rsid w:val="00C059FF"/>
    <w:rsid w:val="00C112FE"/>
    <w:rsid w:val="00C211FA"/>
    <w:rsid w:val="00C72300"/>
    <w:rsid w:val="00C851C7"/>
    <w:rsid w:val="00CB7C4D"/>
    <w:rsid w:val="00CC7208"/>
    <w:rsid w:val="00CE3A74"/>
    <w:rsid w:val="00D03615"/>
    <w:rsid w:val="00D03F8D"/>
    <w:rsid w:val="00D0698A"/>
    <w:rsid w:val="00D43E64"/>
    <w:rsid w:val="00D46825"/>
    <w:rsid w:val="00D46B05"/>
    <w:rsid w:val="00D80840"/>
    <w:rsid w:val="00D869B6"/>
    <w:rsid w:val="00DA712D"/>
    <w:rsid w:val="00DB2F4A"/>
    <w:rsid w:val="00DC39A7"/>
    <w:rsid w:val="00DF0274"/>
    <w:rsid w:val="00DF559C"/>
    <w:rsid w:val="00DF5A03"/>
    <w:rsid w:val="00DF7D51"/>
    <w:rsid w:val="00E0462D"/>
    <w:rsid w:val="00E06888"/>
    <w:rsid w:val="00E55F4A"/>
    <w:rsid w:val="00E62891"/>
    <w:rsid w:val="00E8446C"/>
    <w:rsid w:val="00E846DC"/>
    <w:rsid w:val="00E9619B"/>
    <w:rsid w:val="00EA058E"/>
    <w:rsid w:val="00EB170A"/>
    <w:rsid w:val="00EF335E"/>
    <w:rsid w:val="00EF7268"/>
    <w:rsid w:val="00F02412"/>
    <w:rsid w:val="00F065B3"/>
    <w:rsid w:val="00F06803"/>
    <w:rsid w:val="00F21D9C"/>
    <w:rsid w:val="00F359CB"/>
    <w:rsid w:val="00F439FE"/>
    <w:rsid w:val="00F61A87"/>
    <w:rsid w:val="00F75890"/>
    <w:rsid w:val="00F7698E"/>
    <w:rsid w:val="00F83627"/>
    <w:rsid w:val="00F91A1E"/>
    <w:rsid w:val="00FA657F"/>
    <w:rsid w:val="00FD6206"/>
    <w:rsid w:val="00FE043F"/>
    <w:rsid w:val="00FE48AC"/>
    <w:rsid w:val="026544B2"/>
    <w:rsid w:val="031C396B"/>
    <w:rsid w:val="08312AAB"/>
    <w:rsid w:val="0C0F6191"/>
    <w:rsid w:val="0DBB2AB2"/>
    <w:rsid w:val="17DB1050"/>
    <w:rsid w:val="185C1CC1"/>
    <w:rsid w:val="1FDF1979"/>
    <w:rsid w:val="20A7066F"/>
    <w:rsid w:val="214670DA"/>
    <w:rsid w:val="281B76F0"/>
    <w:rsid w:val="2ACE74B7"/>
    <w:rsid w:val="30A15914"/>
    <w:rsid w:val="329543F6"/>
    <w:rsid w:val="33EE8BB5"/>
    <w:rsid w:val="36A6383E"/>
    <w:rsid w:val="3D18389A"/>
    <w:rsid w:val="3D9F0003"/>
    <w:rsid w:val="3DDD6683"/>
    <w:rsid w:val="3F7A9203"/>
    <w:rsid w:val="448F6256"/>
    <w:rsid w:val="46D20D27"/>
    <w:rsid w:val="4DCB638F"/>
    <w:rsid w:val="51AE7166"/>
    <w:rsid w:val="54A797F8"/>
    <w:rsid w:val="55106705"/>
    <w:rsid w:val="575529A1"/>
    <w:rsid w:val="577B4C0F"/>
    <w:rsid w:val="58906E2A"/>
    <w:rsid w:val="5ACC6A09"/>
    <w:rsid w:val="5D53420F"/>
    <w:rsid w:val="60963DA0"/>
    <w:rsid w:val="6422573C"/>
    <w:rsid w:val="676415FF"/>
    <w:rsid w:val="67F60BCE"/>
    <w:rsid w:val="6D7E4208"/>
    <w:rsid w:val="6FDE1194"/>
    <w:rsid w:val="6FE9B95C"/>
    <w:rsid w:val="70D24CB2"/>
    <w:rsid w:val="71121CE9"/>
    <w:rsid w:val="737D6C50"/>
    <w:rsid w:val="75242E2F"/>
    <w:rsid w:val="76C345EE"/>
    <w:rsid w:val="77FF5E5E"/>
    <w:rsid w:val="7BD5BB2B"/>
    <w:rsid w:val="7C3C382C"/>
    <w:rsid w:val="7CFBDC93"/>
    <w:rsid w:val="7DAFD190"/>
    <w:rsid w:val="7DFDF0F8"/>
    <w:rsid w:val="7DFF24E5"/>
    <w:rsid w:val="7E9FBB4F"/>
    <w:rsid w:val="8E7A2041"/>
    <w:rsid w:val="B1FDACFF"/>
    <w:rsid w:val="B5DE7ACB"/>
    <w:rsid w:val="BABFE113"/>
    <w:rsid w:val="BBF4F34E"/>
    <w:rsid w:val="BD7B73C9"/>
    <w:rsid w:val="BF3F2678"/>
    <w:rsid w:val="BF67BAC0"/>
    <w:rsid w:val="CEFFC565"/>
    <w:rsid w:val="D273DEBB"/>
    <w:rsid w:val="D7A6C1CE"/>
    <w:rsid w:val="DA4EB098"/>
    <w:rsid w:val="DD9FE892"/>
    <w:rsid w:val="DEBD4859"/>
    <w:rsid w:val="DEFEE527"/>
    <w:rsid w:val="DF1F99CE"/>
    <w:rsid w:val="DF5B7F35"/>
    <w:rsid w:val="DF778E74"/>
    <w:rsid w:val="DFF75983"/>
    <w:rsid w:val="EEFF5A79"/>
    <w:rsid w:val="EF9F0C74"/>
    <w:rsid w:val="F3B716E7"/>
    <w:rsid w:val="F3BD0E16"/>
    <w:rsid w:val="F4B770FF"/>
    <w:rsid w:val="F5FEE5F6"/>
    <w:rsid w:val="F7F88015"/>
    <w:rsid w:val="FD7F1AED"/>
    <w:rsid w:val="FEFD3062"/>
    <w:rsid w:val="FFB84004"/>
    <w:rsid w:val="FFD57D6D"/>
    <w:rsid w:val="FFE82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0" w:lineRule="atLeast"/>
      <w:jc w:val="both"/>
    </w:pPr>
    <w:rPr>
      <w:rFonts w:ascii="Arial" w:hAnsi="Arial" w:eastAsia="微软雅黑"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tLeast"/>
      <w:outlineLvl w:val="0"/>
    </w:pPr>
    <w:rPr>
      <w:b/>
      <w:bCs/>
      <w:kern w:val="44"/>
      <w:sz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link w:val="20"/>
    <w:qFormat/>
    <w:uiPriority w:val="0"/>
    <w:pPr>
      <w:widowControl w:val="0"/>
      <w:spacing w:before="100" w:beforeAutospacing="1" w:after="100" w:afterAutospacing="1" w:line="240" w:lineRule="auto"/>
      <w:ind w:left="240" w:leftChars="100"/>
    </w:pPr>
    <w:rPr>
      <w:rFonts w:eastAsia="宋体" w:cs="Arial"/>
      <w:sz w:val="20"/>
      <w:szCs w:val="24"/>
    </w:rPr>
  </w:style>
  <w:style w:type="paragraph" w:styleId="7">
    <w:name w:val="footer"/>
    <w:basedOn w:val="1"/>
    <w:link w:val="17"/>
    <w:unhideWhenUsed/>
    <w:qFormat/>
    <w:uiPriority w:val="99"/>
    <w:pPr>
      <w:tabs>
        <w:tab w:val="center" w:pos="4153"/>
        <w:tab w:val="right" w:pos="8306"/>
      </w:tabs>
      <w:snapToGrid w:val="0"/>
      <w:spacing w:line="240" w:lineRule="atLeast"/>
      <w:jc w:val="left"/>
    </w:pPr>
    <w:rPr>
      <w:sz w:val="18"/>
      <w:szCs w:val="18"/>
    </w:rPr>
  </w:style>
  <w:style w:type="paragraph" w:styleId="8">
    <w:name w:val="header"/>
    <w:basedOn w:val="1"/>
    <w:link w:val="16"/>
    <w:unhideWhenUsed/>
    <w:qFormat/>
    <w:uiPriority w:val="99"/>
    <w:pPr>
      <w:tabs>
        <w:tab w:val="center" w:pos="4153"/>
        <w:tab w:val="right" w:pos="8306"/>
      </w:tabs>
      <w:snapToGrid w:val="0"/>
      <w:spacing w:line="240" w:lineRule="atLeast"/>
      <w:jc w:val="center"/>
    </w:pPr>
    <w:rPr>
      <w:sz w:val="18"/>
      <w:szCs w:val="18"/>
    </w:rPr>
  </w:style>
  <w:style w:type="paragraph" w:styleId="9">
    <w:name w:val="toc 1"/>
    <w:basedOn w:val="1"/>
    <w:next w:val="1"/>
    <w:autoRedefine/>
    <w:unhideWhenUsed/>
    <w:qFormat/>
    <w:uiPriority w:val="39"/>
    <w:pPr>
      <w:tabs>
        <w:tab w:val="right" w:leader="dot" w:pos="9628"/>
      </w:tabs>
    </w:pPr>
    <w:rPr>
      <w:rFonts w:ascii="微软雅黑" w:hAnsi="微软雅黑" w:cs="微软雅黑"/>
      <w:b/>
      <w:bCs/>
      <w:sz w:val="24"/>
      <w:szCs w:val="24"/>
    </w:rPr>
  </w:style>
  <w:style w:type="paragraph" w:styleId="10">
    <w:name w:val="toc 2"/>
    <w:basedOn w:val="1"/>
    <w:next w:val="1"/>
    <w:autoRedefine/>
    <w:unhideWhenUsed/>
    <w:qFormat/>
    <w:uiPriority w:val="39"/>
    <w:pPr>
      <w:ind w:left="200" w:leftChars="200"/>
    </w:pPr>
    <w:rPr>
      <w:sz w:val="20"/>
    </w:rPr>
  </w:style>
  <w:style w:type="paragraph" w:styleId="11">
    <w:name w:val="Normal (Web)"/>
    <w:basedOn w:val="1"/>
    <w:semiHidden/>
    <w:unhideWhenUsed/>
    <w:qFormat/>
    <w:uiPriority w:val="99"/>
    <w:rPr>
      <w:sz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页眉 字符"/>
    <w:basedOn w:val="14"/>
    <w:link w:val="8"/>
    <w:qFormat/>
    <w:uiPriority w:val="99"/>
    <w:rPr>
      <w:sz w:val="18"/>
      <w:szCs w:val="18"/>
    </w:rPr>
  </w:style>
  <w:style w:type="character" w:customStyle="1" w:styleId="17">
    <w:name w:val="页脚 字符"/>
    <w:basedOn w:val="14"/>
    <w:link w:val="7"/>
    <w:qFormat/>
    <w:uiPriority w:val="99"/>
    <w:rPr>
      <w:sz w:val="18"/>
      <w:szCs w:val="18"/>
    </w:rPr>
  </w:style>
  <w:style w:type="character" w:customStyle="1" w:styleId="18">
    <w:name w:val="未处理的提及1"/>
    <w:basedOn w:val="14"/>
    <w:semiHidden/>
    <w:unhideWhenUsed/>
    <w:qFormat/>
    <w:uiPriority w:val="99"/>
    <w:rPr>
      <w:color w:val="605E5C"/>
      <w:shd w:val="clear" w:color="auto" w:fill="E1DFDD"/>
    </w:rPr>
  </w:style>
  <w:style w:type="paragraph" w:styleId="19">
    <w:name w:val="List Paragraph"/>
    <w:basedOn w:val="1"/>
    <w:unhideWhenUsed/>
    <w:qFormat/>
    <w:uiPriority w:val="99"/>
    <w:pPr>
      <w:ind w:firstLine="420" w:firstLineChars="200"/>
    </w:pPr>
  </w:style>
  <w:style w:type="character" w:customStyle="1" w:styleId="20">
    <w:name w:val="正文文本缩进 字符"/>
    <w:basedOn w:val="14"/>
    <w:link w:val="6"/>
    <w:qFormat/>
    <w:uiPriority w:val="0"/>
    <w:rPr>
      <w:rFonts w:eastAsia="宋体" w:cs="Arial"/>
      <w:kern w:val="2"/>
      <w:szCs w:val="24"/>
    </w:rPr>
  </w:style>
  <w:style w:type="paragraph" w:customStyle="1" w:styleId="21">
    <w:name w:val="CQ-1级标题样式"/>
    <w:basedOn w:val="6"/>
    <w:link w:val="22"/>
    <w:autoRedefine/>
    <w:qFormat/>
    <w:uiPriority w:val="0"/>
    <w:pPr>
      <w:numPr>
        <w:ilvl w:val="0"/>
        <w:numId w:val="1"/>
      </w:numPr>
      <w:spacing w:before="312" w:beforeLines="100" w:beforeAutospacing="0" w:after="0" w:afterAutospacing="0" w:line="360" w:lineRule="auto"/>
      <w:ind w:leftChars="0"/>
      <w:jc w:val="left"/>
      <w:outlineLvl w:val="0"/>
    </w:pPr>
    <w:rPr>
      <w:rFonts w:ascii="微软雅黑" w:hAnsi="微软雅黑" w:eastAsia="微软雅黑"/>
      <w:b/>
      <w:sz w:val="24"/>
      <w:szCs w:val="21"/>
    </w:rPr>
  </w:style>
  <w:style w:type="character" w:customStyle="1" w:styleId="22">
    <w:name w:val="CQ-1级标题样式 字符"/>
    <w:basedOn w:val="20"/>
    <w:link w:val="21"/>
    <w:qFormat/>
    <w:uiPriority w:val="0"/>
    <w:rPr>
      <w:rFonts w:ascii="微软雅黑" w:hAnsi="微软雅黑" w:eastAsia="宋体" w:cs="Arial"/>
      <w:b/>
      <w:kern w:val="2"/>
      <w:sz w:val="24"/>
      <w:szCs w:val="21"/>
    </w:rPr>
  </w:style>
  <w:style w:type="paragraph" w:customStyle="1" w:styleId="23">
    <w:name w:val="CQ-2级标题样式"/>
    <w:basedOn w:val="6"/>
    <w:link w:val="24"/>
    <w:autoRedefine/>
    <w:qFormat/>
    <w:uiPriority w:val="0"/>
    <w:pPr>
      <w:numPr>
        <w:ilvl w:val="1"/>
        <w:numId w:val="1"/>
      </w:numPr>
      <w:spacing w:beforeLines="100" w:beforeAutospacing="0" w:after="0" w:afterAutospacing="0" w:line="360" w:lineRule="auto"/>
      <w:ind w:leftChars="0"/>
      <w:jc w:val="left"/>
      <w:outlineLvl w:val="1"/>
    </w:pPr>
    <w:rPr>
      <w:rFonts w:ascii="微软雅黑" w:hAnsi="微软雅黑" w:eastAsia="微软雅黑"/>
      <w:b/>
      <w:bCs/>
      <w:sz w:val="24"/>
    </w:rPr>
  </w:style>
  <w:style w:type="character" w:customStyle="1" w:styleId="24">
    <w:name w:val="CQ-2级标题样式 字符"/>
    <w:basedOn w:val="20"/>
    <w:link w:val="23"/>
    <w:qFormat/>
    <w:uiPriority w:val="0"/>
    <w:rPr>
      <w:rFonts w:ascii="微软雅黑" w:hAnsi="微软雅黑" w:eastAsia="宋体" w:cs="Arial"/>
      <w:b/>
      <w:bCs/>
      <w:kern w:val="2"/>
      <w:sz w:val="24"/>
      <w:szCs w:val="24"/>
    </w:rPr>
  </w:style>
  <w:style w:type="character" w:customStyle="1" w:styleId="25">
    <w:name w:val="标题 1 字符"/>
    <w:basedOn w:val="14"/>
    <w:link w:val="2"/>
    <w:qFormat/>
    <w:uiPriority w:val="9"/>
    <w:rPr>
      <w:b/>
      <w:bCs/>
      <w:kern w:val="44"/>
      <w:sz w:val="44"/>
      <w:szCs w:val="44"/>
    </w:rPr>
  </w:style>
  <w:style w:type="paragraph" w:customStyle="1" w:styleId="26">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customStyle="1" w:styleId="27">
    <w:name w:val="CQ-3级标题样式"/>
    <w:basedOn w:val="1"/>
    <w:link w:val="28"/>
    <w:autoRedefine/>
    <w:qFormat/>
    <w:uiPriority w:val="0"/>
    <w:pPr>
      <w:numPr>
        <w:ilvl w:val="2"/>
        <w:numId w:val="1"/>
      </w:numPr>
      <w:spacing w:line="360" w:lineRule="auto"/>
      <w:jc w:val="left"/>
    </w:pPr>
    <w:rPr>
      <w:rFonts w:ascii="微软雅黑" w:hAnsi="微软雅黑"/>
      <w:sz w:val="20"/>
      <w:szCs w:val="20"/>
    </w:rPr>
  </w:style>
  <w:style w:type="character" w:customStyle="1" w:styleId="28">
    <w:name w:val="CQ-3级标题样式 字符"/>
    <w:basedOn w:val="14"/>
    <w:link w:val="27"/>
    <w:qFormat/>
    <w:uiPriority w:val="0"/>
    <w:rPr>
      <w:rFonts w:ascii="微软雅黑" w:hAnsi="微软雅黑"/>
      <w:kern w:val="2"/>
    </w:rPr>
  </w:style>
  <w:style w:type="character" w:styleId="29">
    <w:name w:val="Placeholder Text"/>
    <w:basedOn w:val="14"/>
    <w:unhideWhenUsed/>
    <w:qFormat/>
    <w:uiPriority w:val="99"/>
    <w:rPr>
      <w:color w:val="666666"/>
    </w:rPr>
  </w:style>
  <w:style w:type="paragraph" w:customStyle="1" w:styleId="30">
    <w:name w:val="CQ-正文样式"/>
    <w:basedOn w:val="1"/>
    <w:link w:val="31"/>
    <w:autoRedefine/>
    <w:qFormat/>
    <w:uiPriority w:val="0"/>
    <w:pPr>
      <w:spacing w:line="360" w:lineRule="auto"/>
      <w:jc w:val="left"/>
    </w:pPr>
    <w:rPr>
      <w:sz w:val="20"/>
    </w:rPr>
  </w:style>
  <w:style w:type="character" w:customStyle="1" w:styleId="31">
    <w:name w:val="CQ-正文样式 字符"/>
    <w:basedOn w:val="14"/>
    <w:link w:val="30"/>
    <w:qFormat/>
    <w:uiPriority w:val="0"/>
    <w:rPr>
      <w:kern w:val="2"/>
      <w:szCs w:val="22"/>
    </w:rPr>
  </w:style>
  <w:style w:type="paragraph" w:customStyle="1" w:styleId="32">
    <w:name w:val="CQ-居中1级标题"/>
    <w:basedOn w:val="27"/>
    <w:link w:val="33"/>
    <w:autoRedefine/>
    <w:qFormat/>
    <w:uiPriority w:val="0"/>
    <w:pPr>
      <w:numPr>
        <w:ilvl w:val="0"/>
        <w:numId w:val="0"/>
      </w:numPr>
      <w:jc w:val="center"/>
    </w:pPr>
    <w:rPr>
      <w:b/>
      <w:sz w:val="28"/>
    </w:rPr>
  </w:style>
  <w:style w:type="character" w:customStyle="1" w:styleId="33">
    <w:name w:val="CQ-居中1级标题 字符"/>
    <w:basedOn w:val="28"/>
    <w:link w:val="32"/>
    <w:qFormat/>
    <w:uiPriority w:val="0"/>
    <w:rPr>
      <w:rFonts w:ascii="微软雅黑" w:hAnsi="微软雅黑"/>
      <w:b/>
      <w:kern w:val="2"/>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77B9A2-C0CC-41C2-977B-D9FB72BFFF79}">
  <ds:schemaRefs/>
</ds:datastoreItem>
</file>

<file path=docProps/app.xml><?xml version="1.0" encoding="utf-8"?>
<Properties xmlns="http://schemas.openxmlformats.org/officeDocument/2006/extended-properties" xmlns:vt="http://schemas.openxmlformats.org/officeDocument/2006/docPropsVTypes">
  <Template>Normal</Template>
  <Pages>5</Pages>
  <Words>1115</Words>
  <Characters>3020</Characters>
  <Lines>237</Lines>
  <Paragraphs>46</Paragraphs>
  <TotalTime>3</TotalTime>
  <ScaleCrop>false</ScaleCrop>
  <LinksUpToDate>false</LinksUpToDate>
  <CharactersWithSpaces>3360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XXX二级文件名字和英文”&amp;#x000D”Security System Manual</cp:category>
  <dcterms:created xsi:type="dcterms:W3CDTF">2024-12-10T14:08:00Z</dcterms:created>
  <dc:creator>Cherry Lee</dc:creator>
  <cp:lastModifiedBy>杨龙威</cp:lastModifiedBy>
  <cp:lastPrinted>2025-04-18T08:41:00Z</cp:lastPrinted>
  <dcterms:modified xsi:type="dcterms:W3CDTF">2026-06-25T09:08:48Z</dcterms:modified>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A077B3B7EA3A4719956EA57C6FBDCE01_13</vt:lpwstr>
  </property>
  <property fmtid="{D5CDD505-2E9C-101B-9397-08002B2CF9AE}" pid="4" name="KSOTemplateDocerSaveRecord">
    <vt:lpwstr>eyJoZGlkIjoiNWY1Y2YzZDViZGUwY2RiMWQxM2Q4MDAwOTU4OWIxYmMiLCJ1c2VySWQiOiIxNTMxMzk2MjUzIn0=</vt:lpwstr>
  </property>
</Properties>
</file>