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05721" w14:textId="6C636266" w:rsidR="00541C7D" w:rsidRPr="00566DEA" w:rsidRDefault="00B36250">
      <w:pPr>
        <w:pStyle w:val="Ttulo1"/>
        <w:jc w:val="center"/>
        <w:rPr>
          <w:color w:val="000000" w:themeColor="text1"/>
        </w:rPr>
      </w:pPr>
      <w:r w:rsidRPr="00566DEA">
        <w:rPr>
          <w:color w:val="000000" w:themeColor="text1"/>
        </w:rPr>
        <w:t xml:space="preserve">Variables </w:t>
      </w:r>
      <w:r w:rsidR="00AC4090" w:rsidRPr="00566DEA">
        <w:rPr>
          <w:color w:val="000000" w:themeColor="text1"/>
        </w:rPr>
        <w:t>Agrometeorológicas</w:t>
      </w:r>
      <w:r w:rsidRPr="00566DEA">
        <w:rPr>
          <w:color w:val="000000" w:themeColor="text1"/>
        </w:rPr>
        <w:t xml:space="preserve"> y Roya del Café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6"/>
        <w:gridCol w:w="2066"/>
        <w:gridCol w:w="4010"/>
        <w:gridCol w:w="2835"/>
        <w:gridCol w:w="2126"/>
      </w:tblGrid>
      <w:tr w:rsidR="00541C7D" w14:paraId="0D605728" w14:textId="77777777" w:rsidTr="00AB58D9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3" w14:textId="77777777" w:rsidR="00541C7D" w:rsidRPr="00AB58D9" w:rsidRDefault="00B36250">
            <w:pPr>
              <w:jc w:val="center"/>
            </w:pPr>
            <w:r w:rsidRPr="00AB58D9">
              <w:rPr>
                <w:b/>
                <w:bCs/>
              </w:rPr>
              <w:t>Variable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4" w14:textId="77777777" w:rsidR="00541C7D" w:rsidRPr="00AB58D9" w:rsidRDefault="00B36250">
            <w:pPr>
              <w:jc w:val="center"/>
            </w:pPr>
            <w:r w:rsidRPr="00AB58D9">
              <w:rPr>
                <w:b/>
                <w:bCs/>
              </w:rPr>
              <w:t>Rango Óptimo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5" w14:textId="77777777" w:rsidR="00541C7D" w:rsidRPr="00AB58D9" w:rsidRDefault="00B36250">
            <w:pPr>
              <w:jc w:val="center"/>
            </w:pPr>
            <w:r w:rsidRPr="00AB58D9">
              <w:rPr>
                <w:b/>
                <w:bCs/>
              </w:rPr>
              <w:t>Citación Científica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6" w14:textId="77777777" w:rsidR="00541C7D" w:rsidRPr="00AB58D9" w:rsidRDefault="00B36250">
            <w:pPr>
              <w:jc w:val="center"/>
            </w:pPr>
            <w:r w:rsidRPr="00AB58D9">
              <w:rPr>
                <w:b/>
                <w:bCs/>
              </w:rPr>
              <w:t>Impacto en Infección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7" w14:textId="77777777" w:rsidR="00541C7D" w:rsidRPr="00AB58D9" w:rsidRDefault="00B36250">
            <w:pPr>
              <w:jc w:val="center"/>
            </w:pPr>
            <w:r w:rsidRPr="00AB58D9">
              <w:rPr>
                <w:b/>
                <w:bCs/>
              </w:rPr>
              <w:t>Referencia</w:t>
            </w:r>
          </w:p>
        </w:tc>
      </w:tr>
      <w:tr w:rsidR="00541C7D" w14:paraId="0D60572E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29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Temperatura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2A" w14:textId="77777777" w:rsidR="00541C7D" w:rsidRDefault="00B36250" w:rsidP="002E126E">
            <w:pPr>
              <w:jc w:val="center"/>
            </w:pPr>
            <w:r>
              <w:t xml:space="preserve">Germinación: 22-28°C </w:t>
            </w:r>
            <w:proofErr w:type="spellStart"/>
            <w:r>
              <w:t>Apresorios</w:t>
            </w:r>
            <w:proofErr w:type="spellEnd"/>
            <w:r>
              <w:t>: 13-16°C Óptimo: 16-28°C (24h)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B" w14:textId="77777777" w:rsidR="00541C7D" w:rsidRDefault="00B36250">
            <w:r>
              <w:t xml:space="preserve">La germinación de </w:t>
            </w:r>
            <w:proofErr w:type="spellStart"/>
            <w:r>
              <w:t>uredosporas</w:t>
            </w:r>
            <w:proofErr w:type="spellEnd"/>
            <w:r>
              <w:t xml:space="preserve"> fue más rápida entre 22-28°C, mientras que los </w:t>
            </w:r>
            <w:proofErr w:type="spellStart"/>
            <w:r>
              <w:t>apresorios</w:t>
            </w:r>
            <w:proofErr w:type="spellEnd"/>
            <w:r>
              <w:t xml:space="preserve"> se formaron más rápidamente a temperaturas más bajas (13-16°C). A 24 horas, el óptimo amplio fue de 16-28°C para germinación y formación total de </w:t>
            </w:r>
            <w:proofErr w:type="spellStart"/>
            <w:r>
              <w:t>apresorios</w:t>
            </w:r>
            <w:proofErr w:type="spellEnd"/>
            <w:r>
              <w:t>. Los cambios de temperatura de ~23°C a ~17°C en la tarde-noche favorecen la penetración.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2C" w14:textId="77777777" w:rsidR="00541C7D" w:rsidRDefault="00B36250">
            <w:r>
              <w:t xml:space="preserve">Temperatura determina: (1) velocidad de germinación, (2) morfología de </w:t>
            </w:r>
            <w:proofErr w:type="spellStart"/>
            <w:r>
              <w:t>apresorios</w:t>
            </w:r>
            <w:proofErr w:type="spellEnd"/>
            <w:r>
              <w:t>, (3) crecimiento de tubo germinal. Las temperaturas fluctuantes son críticas para penetración natural.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2D" w14:textId="77777777" w:rsidR="00541C7D" w:rsidRDefault="00B36250" w:rsidP="002E126E">
            <w:pPr>
              <w:jc w:val="center"/>
            </w:pPr>
            <w:proofErr w:type="spellStart"/>
            <w:r w:rsidRPr="0023028F">
              <w:rPr>
                <w:lang w:val="en-US"/>
              </w:rPr>
              <w:t>Kushalappa</w:t>
            </w:r>
            <w:proofErr w:type="spellEnd"/>
            <w:r w:rsidRPr="0023028F">
              <w:rPr>
                <w:lang w:val="en-US"/>
              </w:rPr>
              <w:t xml:space="preserve"> &amp; </w:t>
            </w:r>
            <w:proofErr w:type="spellStart"/>
            <w:r w:rsidRPr="0023028F">
              <w:rPr>
                <w:lang w:val="en-US"/>
              </w:rPr>
              <w:t>Eskes</w:t>
            </w:r>
            <w:proofErr w:type="spellEnd"/>
            <w:r w:rsidRPr="0023028F">
              <w:rPr>
                <w:lang w:val="en-US"/>
              </w:rPr>
              <w:t xml:space="preserve"> (1989), </w:t>
            </w:r>
            <w:proofErr w:type="spellStart"/>
            <w:r w:rsidRPr="0023028F">
              <w:rPr>
                <w:lang w:val="en-US"/>
              </w:rPr>
              <w:t>Europ</w:t>
            </w:r>
            <w:proofErr w:type="spellEnd"/>
            <w:r w:rsidRPr="0023028F">
              <w:rPr>
                <w:lang w:val="en-US"/>
              </w:rPr>
              <w:t xml:space="preserve">. J. Plant </w:t>
            </w:r>
            <w:proofErr w:type="spellStart"/>
            <w:r w:rsidRPr="0023028F">
              <w:rPr>
                <w:lang w:val="en-US"/>
              </w:rPr>
              <w:t>Pathol</w:t>
            </w:r>
            <w:proofErr w:type="spellEnd"/>
            <w:r w:rsidRPr="0023028F">
              <w:rPr>
                <w:lang w:val="en-US"/>
              </w:rPr>
              <w:t xml:space="preserve">. </w:t>
            </w:r>
            <w:r>
              <w:t>[Q2]</w:t>
            </w:r>
          </w:p>
        </w:tc>
      </w:tr>
      <w:tr w:rsidR="00541C7D" w14:paraId="0D605734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2F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Humedad Relativa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0" w14:textId="77777777" w:rsidR="00541C7D" w:rsidRDefault="00B36250" w:rsidP="002E126E">
            <w:pPr>
              <w:jc w:val="center"/>
            </w:pPr>
            <w:r>
              <w:t>&gt; 80% (óptimo) &gt; 90% (condición ideal) Asociada con mojadura foliar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1" w14:textId="77777777" w:rsidR="00541C7D" w:rsidRDefault="00B36250">
            <w:r>
              <w:t xml:space="preserve">Clima caracterizado por humedad relativa &gt; 80% es la condición más favorable para la infección. En condiciones de control (23±1°C, ≈80% HR, fotoperíodo 16 h luz), se observó 100% de incidencia con síntomas visibles a los 20 días </w:t>
            </w:r>
            <w:proofErr w:type="spellStart"/>
            <w:r>
              <w:t>post-inoculación</w:t>
            </w:r>
            <w:proofErr w:type="spellEnd"/>
            <w:r>
              <w:t>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2" w14:textId="77777777" w:rsidR="00541C7D" w:rsidRDefault="00B36250">
            <w:r>
              <w:t xml:space="preserve">Humedad alta es requisito para: (1) germinación del inóculo, (2) penetración </w:t>
            </w:r>
            <w:proofErr w:type="spellStart"/>
            <w:r>
              <w:t>estomatal</w:t>
            </w:r>
            <w:proofErr w:type="spellEnd"/>
            <w:r>
              <w:t xml:space="preserve">, (3) colonización </w:t>
            </w:r>
            <w:proofErr w:type="spellStart"/>
            <w:r>
              <w:t>post-infección</w:t>
            </w:r>
            <w:proofErr w:type="spellEnd"/>
            <w:r>
              <w:t>. Mojadura foliar &gt; 9h acelera ciclo.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3" w14:textId="77777777" w:rsidR="00541C7D" w:rsidRDefault="00B36250" w:rsidP="002E126E">
            <w:pPr>
              <w:jc w:val="center"/>
            </w:pPr>
            <w:r>
              <w:t xml:space="preserve">Silva et al. (2023), Springer [Q3]; Batista-Guedes et al., </w:t>
            </w:r>
            <w:proofErr w:type="spellStart"/>
            <w:r>
              <w:t>Scientia</w:t>
            </w:r>
            <w:proofErr w:type="spellEnd"/>
            <w:r>
              <w:t xml:space="preserve"> </w:t>
            </w:r>
            <w:proofErr w:type="spellStart"/>
            <w:r>
              <w:t>Agrop</w:t>
            </w:r>
            <w:proofErr w:type="spellEnd"/>
            <w:r>
              <w:t>. [Q3]</w:t>
            </w:r>
          </w:p>
        </w:tc>
      </w:tr>
      <w:tr w:rsidR="00541C7D" w:rsidRPr="00A01F2C" w14:paraId="0D60573A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5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Lluvia Diaria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6" w14:textId="77777777" w:rsidR="00541C7D" w:rsidRDefault="00B36250" w:rsidP="002E126E">
            <w:pPr>
              <w:jc w:val="center"/>
            </w:pPr>
            <w:r>
              <w:t>Lluvia continua/distribuida Ocurrencia: 2 estaciones lluviosas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7" w14:textId="77777777" w:rsidR="00541C7D" w:rsidRDefault="00B36250">
            <w:r>
              <w:t xml:space="preserve">La periodicidad estacional de H. </w:t>
            </w:r>
            <w:proofErr w:type="spellStart"/>
            <w:r>
              <w:t>vastatrix</w:t>
            </w:r>
            <w:proofErr w:type="spellEnd"/>
            <w:r>
              <w:t xml:space="preserve"> difiere según patrones de lluvia. En áreas con estación lluviosa extendida continua, ocurre una </w:t>
            </w:r>
            <w:proofErr w:type="spellStart"/>
            <w:r>
              <w:t>epifitia</w:t>
            </w:r>
            <w:proofErr w:type="spellEnd"/>
            <w:r>
              <w:t xml:space="preserve"> prolongada. Dos picos de enfermedad se observan en zonas con dos estaciones lluviosas. Lluvias fuera de temporada modifican la relación entre picos.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8" w14:textId="77777777" w:rsidR="00541C7D" w:rsidRDefault="00B36250">
            <w:r>
              <w:t xml:space="preserve">Lluvia: (1) crea humedad para germinación, (2) remueve fungicidas del follaje (si &gt; precipitación en 2h </w:t>
            </w:r>
            <w:proofErr w:type="spellStart"/>
            <w:r>
              <w:t>post-aplicación</w:t>
            </w:r>
            <w:proofErr w:type="spellEnd"/>
            <w:r>
              <w:t>), (3) estructura epidemia estacional. Lluvia &lt; del promedio correlaciona con menor severidad.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9" w14:textId="77777777" w:rsidR="00541C7D" w:rsidRPr="0023028F" w:rsidRDefault="00B36250" w:rsidP="002E126E">
            <w:pPr>
              <w:jc w:val="center"/>
              <w:rPr>
                <w:lang w:val="en-US"/>
              </w:rPr>
            </w:pPr>
            <w:r w:rsidRPr="0023028F">
              <w:rPr>
                <w:lang w:val="en-US"/>
              </w:rPr>
              <w:t>Gibbs &amp; Waller (1959), Ann. Appl. Biol. [Q2]; Avelino et al. (2006), Phytopathology [Q1]</w:t>
            </w:r>
          </w:p>
        </w:tc>
      </w:tr>
      <w:tr w:rsidR="00541C7D" w14:paraId="0D605740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B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Umbral Lluvia (Rain-off)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C" w14:textId="77777777" w:rsidR="00541C7D" w:rsidRDefault="00B36250" w:rsidP="002E126E">
            <w:pPr>
              <w:jc w:val="center"/>
            </w:pPr>
            <w:r>
              <w:t xml:space="preserve">Lluvia &gt; 30 min en 2h </w:t>
            </w:r>
            <w:proofErr w:type="spellStart"/>
            <w:r>
              <w:t>post-aplicación</w:t>
            </w:r>
            <w:proofErr w:type="spellEnd"/>
            <w:r>
              <w:t xml:space="preserve"> remueve fungicidas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D" w14:textId="77777777" w:rsidR="00541C7D" w:rsidRDefault="00B36250">
            <w:r>
              <w:t xml:space="preserve">El tiempo de secado y la resistencia de depósitos a la remoción por lluvia son esenciales para el éxito del control. Después de 120 min secado: ~85% de </w:t>
            </w:r>
            <w:r>
              <w:lastRenderedPageBreak/>
              <w:t>tratamientos retuvieron &gt; 30% de cobre. A 480 min: solo ~45%. Cobre + aceite mineral a 0.75% mantuvo &gt; 97% de retención.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3E" w14:textId="77777777" w:rsidR="00541C7D" w:rsidRDefault="00B36250">
            <w:r>
              <w:lastRenderedPageBreak/>
              <w:t xml:space="preserve">Umbral crítico: lluvia simulada (30 min) antes de 2h </w:t>
            </w:r>
            <w:proofErr w:type="spellStart"/>
            <w:r>
              <w:t>post-aplicación</w:t>
            </w:r>
            <w:proofErr w:type="spellEnd"/>
            <w:r>
              <w:t xml:space="preserve"> remueve hasta 70% del fungicida. </w:t>
            </w:r>
            <w:r>
              <w:lastRenderedPageBreak/>
              <w:t>Impacto en cronograma de aplicación fungicida durante época lluviosa.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3F" w14:textId="77777777" w:rsidR="00541C7D" w:rsidRDefault="00B36250" w:rsidP="002E126E">
            <w:pPr>
              <w:jc w:val="center"/>
            </w:pPr>
            <w:r>
              <w:lastRenderedPageBreak/>
              <w:t xml:space="preserve">Granados &amp; </w:t>
            </w:r>
            <w:proofErr w:type="spellStart"/>
            <w:r>
              <w:t>Zambolim</w:t>
            </w:r>
            <w:proofErr w:type="spellEnd"/>
            <w:r>
              <w:t xml:space="preserve"> (2019), J. Agr. </w:t>
            </w:r>
            <w:proofErr w:type="spellStart"/>
            <w:r>
              <w:t>Science</w:t>
            </w:r>
            <w:proofErr w:type="spellEnd"/>
            <w:r>
              <w:t xml:space="preserve"> [Q3]</w:t>
            </w:r>
          </w:p>
        </w:tc>
      </w:tr>
      <w:tr w:rsidR="00541C7D" w14:paraId="0D605746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1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Sombra (SAC)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2" w14:textId="77777777" w:rsidR="00541C7D" w:rsidRDefault="00B36250" w:rsidP="002E126E">
            <w:pPr>
              <w:jc w:val="center"/>
            </w:pPr>
            <w:r>
              <w:t xml:space="preserve">Mayor sombra = mayor severidad (Alteración </w:t>
            </w:r>
            <w:proofErr w:type="spellStart"/>
            <w:r>
              <w:t>T°</w:t>
            </w:r>
            <w:proofErr w:type="spellEnd"/>
            <w:r>
              <w:t xml:space="preserve"> y HR)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43" w14:textId="77777777" w:rsidR="00541C7D" w:rsidRDefault="00B36250">
            <w:r>
              <w:t xml:space="preserve">Existe relación inversa entre altitud y severidad de brotes. A menor altitud (temperatura no limitante) la sombra mantiene HR elevada y reduce fluctuaciones de temperatura, creando microclima más favorable. En plantaciones con sombra densa, humedad y temperatura se mantienen en rangos óptimos para H. </w:t>
            </w:r>
            <w:proofErr w:type="spellStart"/>
            <w:r>
              <w:t>vastatrix</w:t>
            </w:r>
            <w:proofErr w:type="spellEnd"/>
            <w:r>
              <w:t xml:space="preserve"> durante más tiempo del día.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44" w14:textId="77777777" w:rsidR="00541C7D" w:rsidRDefault="00B36250">
            <w:r>
              <w:t xml:space="preserve">Sombra modifica: (1) irradiancia solar, (2) fluctuaciones diarias de </w:t>
            </w:r>
            <w:proofErr w:type="spellStart"/>
            <w:r>
              <w:t>T°</w:t>
            </w:r>
            <w:proofErr w:type="spellEnd"/>
            <w:r>
              <w:t>, (3) HR nocturna, (4) duración de mojadura foliar. Efecto depende de especie y densidad de sombrío.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5" w14:textId="77777777" w:rsidR="00541C7D" w:rsidRDefault="00B36250" w:rsidP="002E126E">
            <w:pPr>
              <w:jc w:val="center"/>
            </w:pPr>
            <w:r>
              <w:t xml:space="preserve">Avelino et al. (2012), Agr. </w:t>
            </w:r>
            <w:proofErr w:type="spellStart"/>
            <w:r>
              <w:t>Ecosyst</w:t>
            </w:r>
            <w:proofErr w:type="spellEnd"/>
            <w:r>
              <w:t xml:space="preserve">. </w:t>
            </w:r>
            <w:proofErr w:type="spellStart"/>
            <w:r>
              <w:t>Environ</w:t>
            </w:r>
            <w:proofErr w:type="spellEnd"/>
            <w:r>
              <w:t>. [Q2]</w:t>
            </w:r>
          </w:p>
        </w:tc>
      </w:tr>
      <w:tr w:rsidR="00541C7D" w14:paraId="0D60574C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7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Inóculo Inicial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8" w14:textId="77777777" w:rsidR="00541C7D" w:rsidRDefault="00B36250" w:rsidP="002E126E">
            <w:pPr>
              <w:jc w:val="center"/>
            </w:pPr>
            <w:proofErr w:type="spellStart"/>
            <w:r>
              <w:t>Uredosporas</w:t>
            </w:r>
            <w:proofErr w:type="spellEnd"/>
            <w:r>
              <w:t>: 2×10⁵/</w:t>
            </w:r>
            <w:proofErr w:type="spellStart"/>
            <w:r>
              <w:t>mL</w:t>
            </w:r>
            <w:proofErr w:type="spellEnd"/>
            <w:r>
              <w:t xml:space="preserve"> (Inóculos de laboratorio) Fuente: inoculo residual en hoja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49" w14:textId="77777777" w:rsidR="00541C7D" w:rsidRDefault="00B36250">
            <w:r>
              <w:t xml:space="preserve">Epidemia dividida en dos etapas: (1) producción de inoculo inicial cuya fuente principal es el inoculo residual, (2) producción de inoculo secundario resultado de repetición sucesiva del proceso de infección. Suspensión de 2×10⁵ </w:t>
            </w:r>
            <w:proofErr w:type="spellStart"/>
            <w:r>
              <w:t>uredosporas</w:t>
            </w:r>
            <w:proofErr w:type="spellEnd"/>
            <w:r>
              <w:t>/</w:t>
            </w:r>
            <w:proofErr w:type="spellStart"/>
            <w:r>
              <w:t>mL</w:t>
            </w:r>
            <w:proofErr w:type="spellEnd"/>
            <w:r>
              <w:t xml:space="preserve"> produjo 100% de incidencia, síntomas a los 20 días </w:t>
            </w:r>
            <w:proofErr w:type="spellStart"/>
            <w:r>
              <w:t>post-inoculación</w:t>
            </w:r>
            <w:proofErr w:type="spellEnd"/>
            <w:r>
              <w:t xml:space="preserve">, promedio 54 mg </w:t>
            </w:r>
            <w:proofErr w:type="spellStart"/>
            <w:r>
              <w:t>uredosporas</w:t>
            </w:r>
            <w:proofErr w:type="spellEnd"/>
            <w:r>
              <w:t>/planta a los 43 días.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4A" w14:textId="77777777" w:rsidR="00541C7D" w:rsidRDefault="00B36250">
            <w:r>
              <w:t>Nivel de inóculo y raza del patógeno son factores más importantes. Inoculo inicial determina velocidad de ciclo epidémico. Disponibilidad de inoculo residual en hojas caídas es crítica para inicio de epidemia en nueva estación.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B" w14:textId="77777777" w:rsidR="00541C7D" w:rsidRDefault="00B36250" w:rsidP="002E126E">
            <w:pPr>
              <w:jc w:val="center"/>
            </w:pPr>
            <w:r>
              <w:t xml:space="preserve">Batista-Guedes et al. (2023), </w:t>
            </w:r>
            <w:proofErr w:type="spellStart"/>
            <w:r>
              <w:t>Scientia</w:t>
            </w:r>
            <w:proofErr w:type="spellEnd"/>
            <w:r>
              <w:t xml:space="preserve"> Agropecuaria [Q3]</w:t>
            </w:r>
          </w:p>
        </w:tc>
      </w:tr>
      <w:tr w:rsidR="00541C7D" w14:paraId="0D605752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D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Período Incubación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4E" w14:textId="77777777" w:rsidR="00541C7D" w:rsidRDefault="00B36250" w:rsidP="002E126E">
            <w:pPr>
              <w:jc w:val="center"/>
            </w:pPr>
            <w:r>
              <w:t xml:space="preserve">7-21 días </w:t>
            </w:r>
            <w:proofErr w:type="spellStart"/>
            <w:r>
              <w:t>post-infección</w:t>
            </w:r>
            <w:proofErr w:type="spellEnd"/>
            <w:r>
              <w:t xml:space="preserve"> (Depende de </w:t>
            </w:r>
            <w:proofErr w:type="spellStart"/>
            <w:r>
              <w:t>T°</w:t>
            </w:r>
            <w:proofErr w:type="spellEnd"/>
            <w:r>
              <w:t>) Germinación: &lt; 24h</w:t>
            </w:r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4F" w14:textId="77777777" w:rsidR="00541C7D" w:rsidRDefault="00B36250">
            <w:r>
              <w:t xml:space="preserve">El efecto principal de temperatura es determinar la duración del período de incubación (colonización). A 24h de incubación el hongo concluye germinación, diferenciación de </w:t>
            </w:r>
            <w:proofErr w:type="spellStart"/>
            <w:r>
              <w:t>apresorios</w:t>
            </w:r>
            <w:proofErr w:type="spellEnd"/>
            <w:r>
              <w:t xml:space="preserve">, y penetra tejidos del hospedante. Ecuaciones de regresión permiten estimar duración según </w:t>
            </w:r>
            <w:proofErr w:type="spellStart"/>
            <w:r>
              <w:t>T°</w:t>
            </w:r>
            <w:proofErr w:type="spellEnd"/>
            <w:r>
              <w:t xml:space="preserve"> </w:t>
            </w:r>
            <w:r>
              <w:lastRenderedPageBreak/>
              <w:t>máxima y mínima promedio. Rango: 7-21 días según temperatura y humedad.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50" w14:textId="52C6F33A" w:rsidR="00541C7D" w:rsidRDefault="00B36250">
            <w:r>
              <w:lastRenderedPageBreak/>
              <w:t xml:space="preserve">Período incubación crítico para: (1) definir ventana </w:t>
            </w:r>
            <w:proofErr w:type="spellStart"/>
            <w:r>
              <w:t>pre-esporulación</w:t>
            </w:r>
            <w:proofErr w:type="spellEnd"/>
            <w:r>
              <w:t xml:space="preserve">, (2) cronograma fungicida (aplicar antes de periodo incubación), (3) epidemiología estacional. Colonización </w:t>
            </w:r>
            <w:proofErr w:type="spellStart"/>
            <w:r>
              <w:t>post-penetración</w:t>
            </w:r>
            <w:proofErr w:type="spellEnd"/>
            <w:r>
              <w:t xml:space="preserve"> NO depende de </w:t>
            </w:r>
            <w:r w:rsidR="00C00F50">
              <w:lastRenderedPageBreak/>
              <w:t>mojadura,</w:t>
            </w:r>
            <w:r>
              <w:t xml:space="preserve"> pero sí de </w:t>
            </w:r>
            <w:proofErr w:type="spellStart"/>
            <w:r>
              <w:t>T°</w:t>
            </w:r>
            <w:proofErr w:type="spellEnd"/>
            <w:r>
              <w:t xml:space="preserve"> y resistencia del hospedante.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51" w14:textId="77777777" w:rsidR="00541C7D" w:rsidRDefault="00B36250" w:rsidP="002E126E">
            <w:pPr>
              <w:jc w:val="center"/>
            </w:pPr>
            <w:proofErr w:type="spellStart"/>
            <w:r w:rsidRPr="0023028F">
              <w:rPr>
                <w:lang w:val="en-US"/>
              </w:rPr>
              <w:lastRenderedPageBreak/>
              <w:t>Kushalappa</w:t>
            </w:r>
            <w:proofErr w:type="spellEnd"/>
            <w:r w:rsidRPr="0023028F">
              <w:rPr>
                <w:lang w:val="en-US"/>
              </w:rPr>
              <w:t xml:space="preserve"> &amp; </w:t>
            </w:r>
            <w:proofErr w:type="spellStart"/>
            <w:r w:rsidRPr="0023028F">
              <w:rPr>
                <w:lang w:val="en-US"/>
              </w:rPr>
              <w:t>Eskes</w:t>
            </w:r>
            <w:proofErr w:type="spellEnd"/>
            <w:r w:rsidRPr="0023028F">
              <w:rPr>
                <w:lang w:val="en-US"/>
              </w:rPr>
              <w:t xml:space="preserve"> (1989), J. </w:t>
            </w:r>
            <w:proofErr w:type="spellStart"/>
            <w:r w:rsidRPr="0023028F">
              <w:rPr>
                <w:lang w:val="en-US"/>
              </w:rPr>
              <w:t>Phytopathol</w:t>
            </w:r>
            <w:proofErr w:type="spellEnd"/>
            <w:r w:rsidRPr="0023028F">
              <w:rPr>
                <w:lang w:val="en-US"/>
              </w:rPr>
              <w:t xml:space="preserve">. [Q2]; Moraes et al. </w:t>
            </w:r>
            <w:r>
              <w:t xml:space="preserve">(1976), Summa </w:t>
            </w:r>
            <w:proofErr w:type="spellStart"/>
            <w:r>
              <w:t>Phytopathol</w:t>
            </w:r>
            <w:proofErr w:type="spellEnd"/>
            <w:r>
              <w:t>. [Q3]</w:t>
            </w:r>
          </w:p>
        </w:tc>
      </w:tr>
      <w:tr w:rsidR="00541C7D" w14:paraId="0D605758" w14:textId="77777777" w:rsidTr="002E126E">
        <w:tc>
          <w:tcPr>
            <w:tcW w:w="143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53" w14:textId="77777777" w:rsidR="00541C7D" w:rsidRDefault="00B36250" w:rsidP="00FA576A">
            <w:pPr>
              <w:jc w:val="center"/>
            </w:pPr>
            <w:r>
              <w:rPr>
                <w:b/>
                <w:bCs/>
              </w:rPr>
              <w:t>Eficacia Fungicida</w:t>
            </w:r>
          </w:p>
        </w:tc>
        <w:tc>
          <w:tcPr>
            <w:tcW w:w="206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54" w14:textId="77777777" w:rsidR="00541C7D" w:rsidRDefault="00B36250" w:rsidP="002E126E">
            <w:pPr>
              <w:jc w:val="center"/>
            </w:pPr>
            <w:r>
              <w:t xml:space="preserve">75-97% control Epoxiconazol: sistémico Cobre: </w:t>
            </w:r>
            <w:proofErr w:type="spellStart"/>
            <w:r>
              <w:t>protectante</w:t>
            </w:r>
            <w:proofErr w:type="spellEnd"/>
          </w:p>
        </w:tc>
        <w:tc>
          <w:tcPr>
            <w:tcW w:w="401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55" w14:textId="77777777" w:rsidR="00541C7D" w:rsidRDefault="00B36250">
            <w:r>
              <w:t xml:space="preserve">Dos aplicaciones foliares de </w:t>
            </w:r>
            <w:proofErr w:type="spellStart"/>
            <w:r>
              <w:t>epoxiconazol</w:t>
            </w:r>
            <w:proofErr w:type="spellEnd"/>
            <w:r>
              <w:t xml:space="preserve"> en dic (0.6L/ha) y mar (0.4L/ha) controlaron roya más efectivamente que 4 aplicaciones de cobre. Cobre oxicloruro + 0.75% aceite mineral logró &gt; 97% control. Estrategia basada en aplicación preventiva en inicio estación lluviosa más efectiva que tratamientos curativos tardíos.</w:t>
            </w:r>
          </w:p>
        </w:tc>
        <w:tc>
          <w:tcPr>
            <w:tcW w:w="283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5756" w14:textId="77777777" w:rsidR="00541C7D" w:rsidRDefault="00B36250">
            <w:r>
              <w:t xml:space="preserve">Eficacia depende de: (1) oportunidad de aplicación </w:t>
            </w:r>
            <w:proofErr w:type="spellStart"/>
            <w:r>
              <w:t>pre-infección</w:t>
            </w:r>
            <w:proofErr w:type="spellEnd"/>
            <w:r>
              <w:t xml:space="preserve">, (2) persistencia fungicida (lluvia, UV), (3) cobertura foliar completa, (4) sensibilidad del patógeno. Sistémicos: mejor antes de infección. </w:t>
            </w:r>
            <w:proofErr w:type="spellStart"/>
            <w:r>
              <w:t>Protectantes</w:t>
            </w:r>
            <w:proofErr w:type="spellEnd"/>
            <w:r>
              <w:t>: cobertura continua en hoja.</w:t>
            </w:r>
          </w:p>
        </w:tc>
        <w:tc>
          <w:tcPr>
            <w:tcW w:w="21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757" w14:textId="77777777" w:rsidR="00541C7D" w:rsidRDefault="00B36250" w:rsidP="002E126E">
            <w:pPr>
              <w:jc w:val="center"/>
            </w:pPr>
            <w:r>
              <w:t xml:space="preserve">Waller et al. (1993), Crop </w:t>
            </w:r>
            <w:proofErr w:type="spellStart"/>
            <w:r>
              <w:t>Protection</w:t>
            </w:r>
            <w:proofErr w:type="spellEnd"/>
            <w:r>
              <w:t xml:space="preserve"> [Q2]; Aristizábal et al. (2025), </w:t>
            </w:r>
            <w:proofErr w:type="spellStart"/>
            <w:r>
              <w:t>ScienceDirect</w:t>
            </w:r>
            <w:proofErr w:type="spellEnd"/>
            <w:r>
              <w:t xml:space="preserve"> [Q3]</w:t>
            </w:r>
          </w:p>
        </w:tc>
      </w:tr>
    </w:tbl>
    <w:p w14:paraId="0E5188C5" w14:textId="77777777" w:rsidR="009A48FC" w:rsidRDefault="009A48FC" w:rsidP="006B4D7B"/>
    <w:p w14:paraId="33B116AA" w14:textId="31BA53E4" w:rsidR="009A48FC" w:rsidRDefault="00A01F2C" w:rsidP="009A48FC">
      <w:pPr>
        <w:pStyle w:val="Ttulo2"/>
        <w:jc w:val="center"/>
        <w:rPr>
          <w:color w:val="000000" w:themeColor="text1"/>
        </w:rPr>
      </w:pPr>
      <w:r>
        <w:rPr>
          <w:color w:val="000000" w:themeColor="text1"/>
        </w:rPr>
        <w:t>Elementos para la</w:t>
      </w:r>
      <w:r w:rsidR="009A48FC" w:rsidRPr="00566DEA">
        <w:rPr>
          <w:color w:val="000000" w:themeColor="text1"/>
        </w:rPr>
        <w:t xml:space="preserve"> Simulación</w:t>
      </w:r>
    </w:p>
    <w:p w14:paraId="2BBF3E6B" w14:textId="77777777" w:rsidR="009A48FC" w:rsidRDefault="009A48FC" w:rsidP="006B4D7B"/>
    <w:p w14:paraId="62CA4D5C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>Temperatura óptima (22-28°C) favorece germinación; temperaturas fluctuantes (23→17°C) favorecen penetración.</w:t>
      </w:r>
    </w:p>
    <w:p w14:paraId="0606AEFF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>Humedad relativa &gt; 80% es requisito absoluto; mojadura foliar &gt; 9h acelera ciclo de infección.</w:t>
      </w:r>
    </w:p>
    <w:p w14:paraId="497427AE" w14:textId="49D0A38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 xml:space="preserve">Lluvia: crea condiciones </w:t>
      </w:r>
      <w:r w:rsidR="009D38EE" w:rsidRPr="00FA455B">
        <w:rPr>
          <w:sz w:val="20"/>
          <w:szCs w:val="20"/>
        </w:rPr>
        <w:t>óptimas,</w:t>
      </w:r>
      <w:r w:rsidRPr="00FA455B">
        <w:rPr>
          <w:sz w:val="20"/>
          <w:szCs w:val="20"/>
        </w:rPr>
        <w:t xml:space="preserve"> pero remueve fungicidas; umbral crítico de 30 min antes de 2h </w:t>
      </w:r>
      <w:proofErr w:type="spellStart"/>
      <w:r w:rsidRPr="00FA455B">
        <w:rPr>
          <w:sz w:val="20"/>
          <w:szCs w:val="20"/>
        </w:rPr>
        <w:t>post-aplicación</w:t>
      </w:r>
      <w:proofErr w:type="spellEnd"/>
      <w:r w:rsidRPr="00FA455B">
        <w:rPr>
          <w:sz w:val="20"/>
          <w:szCs w:val="20"/>
        </w:rPr>
        <w:t>.</w:t>
      </w:r>
    </w:p>
    <w:p w14:paraId="08231D26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>Período incubación: 7-21 días según temperatura; determina oportunidad de aplicación preventiva.</w:t>
      </w:r>
    </w:p>
    <w:p w14:paraId="4621F39A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 xml:space="preserve">Sombra aumenta severidad al mantener HR y </w:t>
      </w:r>
      <w:proofErr w:type="spellStart"/>
      <w:r w:rsidRPr="00FA455B">
        <w:rPr>
          <w:sz w:val="20"/>
          <w:szCs w:val="20"/>
        </w:rPr>
        <w:t>T°</w:t>
      </w:r>
      <w:proofErr w:type="spellEnd"/>
      <w:r w:rsidRPr="00FA455B">
        <w:rPr>
          <w:sz w:val="20"/>
          <w:szCs w:val="20"/>
        </w:rPr>
        <w:t xml:space="preserve"> en rangos favorables más tiempo del día.</w:t>
      </w:r>
    </w:p>
    <w:p w14:paraId="1F8B28A6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 xml:space="preserve">Inóculo inicial (residual en hojas caídas) determina velocidad de ciclo epidémico; </w:t>
      </w:r>
      <w:proofErr w:type="spellStart"/>
      <w:r w:rsidRPr="00FA455B">
        <w:rPr>
          <w:sz w:val="20"/>
          <w:szCs w:val="20"/>
        </w:rPr>
        <w:t>uredosporas</w:t>
      </w:r>
      <w:proofErr w:type="spellEnd"/>
      <w:r w:rsidRPr="00FA455B">
        <w:rPr>
          <w:sz w:val="20"/>
          <w:szCs w:val="20"/>
        </w:rPr>
        <w:t xml:space="preserve"> viables 2×10⁵/</w:t>
      </w:r>
      <w:proofErr w:type="spellStart"/>
      <w:r w:rsidRPr="00FA455B">
        <w:rPr>
          <w:sz w:val="20"/>
          <w:szCs w:val="20"/>
        </w:rPr>
        <w:t>mL</w:t>
      </w:r>
      <w:proofErr w:type="spellEnd"/>
      <w:r w:rsidRPr="00FA455B">
        <w:rPr>
          <w:sz w:val="20"/>
          <w:szCs w:val="20"/>
        </w:rPr>
        <w:t xml:space="preserve"> producen 100% incidencia.</w:t>
      </w:r>
    </w:p>
    <w:p w14:paraId="38A329A5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>Eficacia fungicida: sistémicos (</w:t>
      </w:r>
      <w:proofErr w:type="spellStart"/>
      <w:r w:rsidRPr="00FA455B">
        <w:rPr>
          <w:sz w:val="20"/>
          <w:szCs w:val="20"/>
        </w:rPr>
        <w:t>epoxiconazol</w:t>
      </w:r>
      <w:proofErr w:type="spellEnd"/>
      <w:r w:rsidRPr="00FA455B">
        <w:rPr>
          <w:sz w:val="20"/>
          <w:szCs w:val="20"/>
        </w:rPr>
        <w:t xml:space="preserve">) preventivos </w:t>
      </w:r>
      <w:proofErr w:type="spellStart"/>
      <w:r w:rsidRPr="00FA455B">
        <w:rPr>
          <w:sz w:val="20"/>
          <w:szCs w:val="20"/>
        </w:rPr>
        <w:t>pre-infección</w:t>
      </w:r>
      <w:proofErr w:type="spellEnd"/>
      <w:r w:rsidRPr="00FA455B">
        <w:rPr>
          <w:sz w:val="20"/>
          <w:szCs w:val="20"/>
        </w:rPr>
        <w:t xml:space="preserve">; </w:t>
      </w:r>
      <w:proofErr w:type="spellStart"/>
      <w:r w:rsidRPr="00FA455B">
        <w:rPr>
          <w:sz w:val="20"/>
          <w:szCs w:val="20"/>
        </w:rPr>
        <w:t>protectantes</w:t>
      </w:r>
      <w:proofErr w:type="spellEnd"/>
      <w:r w:rsidRPr="00FA455B">
        <w:rPr>
          <w:sz w:val="20"/>
          <w:szCs w:val="20"/>
        </w:rPr>
        <w:t xml:space="preserve"> (cobre) requieren cobertura continua durante lluvias.</w:t>
      </w:r>
    </w:p>
    <w:p w14:paraId="66816167" w14:textId="77777777" w:rsidR="009A48FC" w:rsidRDefault="009A48FC" w:rsidP="00A01F2C">
      <w:pPr>
        <w:pStyle w:val="Prrafodelista"/>
        <w:spacing w:after="100"/>
        <w:ind w:left="1077"/>
        <w:contextualSpacing/>
      </w:pPr>
      <w:r w:rsidRPr="00FA455B">
        <w:rPr>
          <w:sz w:val="20"/>
          <w:szCs w:val="20"/>
        </w:rPr>
        <w:t xml:space="preserve">Interacciones críticas: </w:t>
      </w:r>
      <w:proofErr w:type="spellStart"/>
      <w:r w:rsidRPr="00FA455B">
        <w:rPr>
          <w:sz w:val="20"/>
          <w:szCs w:val="20"/>
        </w:rPr>
        <w:t>T°</w:t>
      </w:r>
      <w:proofErr w:type="spellEnd"/>
      <w:r w:rsidRPr="00FA455B">
        <w:rPr>
          <w:sz w:val="20"/>
          <w:szCs w:val="20"/>
        </w:rPr>
        <w:t>-HR-lluvia-inóculo-fungicida conforman variable de decisión para modelo simulación.</w:t>
      </w:r>
    </w:p>
    <w:p w14:paraId="0D605759" w14:textId="77777777" w:rsidR="00541C7D" w:rsidRDefault="00541C7D">
      <w:pPr>
        <w:spacing w:after="240"/>
      </w:pPr>
    </w:p>
    <w:p w14:paraId="6F8068CD" w14:textId="77777777" w:rsidR="00C00F50" w:rsidRDefault="00C00F50">
      <w:pPr>
        <w:spacing w:after="240"/>
      </w:pPr>
    </w:p>
    <w:p w14:paraId="687678A5" w14:textId="77777777" w:rsidR="00C00F50" w:rsidRDefault="00C00F50">
      <w:pPr>
        <w:spacing w:after="240"/>
      </w:pPr>
    </w:p>
    <w:p w14:paraId="2A0575BA" w14:textId="77777777" w:rsidR="00234ACE" w:rsidRDefault="00234ACE">
      <w:pPr>
        <w:spacing w:after="240"/>
      </w:pPr>
    </w:p>
    <w:p w14:paraId="4FF73A24" w14:textId="77777777" w:rsidR="00234ACE" w:rsidRDefault="00234ACE">
      <w:pPr>
        <w:spacing w:after="240"/>
      </w:pPr>
    </w:p>
    <w:p w14:paraId="108FBA33" w14:textId="77777777" w:rsidR="00C00F50" w:rsidRDefault="00C00F50">
      <w:pPr>
        <w:spacing w:after="240"/>
      </w:pPr>
    </w:p>
    <w:p w14:paraId="0D60575A" w14:textId="5FC5E76D" w:rsidR="00541C7D" w:rsidRPr="003D05E1" w:rsidRDefault="00B36250" w:rsidP="00B37C00">
      <w:pPr>
        <w:pStyle w:val="Ttulo2"/>
        <w:jc w:val="center"/>
        <w:rPr>
          <w:color w:val="000000" w:themeColor="text1"/>
          <w:lang w:val="en-US"/>
        </w:rPr>
      </w:pPr>
      <w:proofErr w:type="spellStart"/>
      <w:r w:rsidRPr="003D05E1">
        <w:rPr>
          <w:color w:val="000000" w:themeColor="text1"/>
          <w:lang w:val="en-US"/>
        </w:rPr>
        <w:lastRenderedPageBreak/>
        <w:t>Referencias</w:t>
      </w:r>
      <w:proofErr w:type="spellEnd"/>
    </w:p>
    <w:p w14:paraId="0D60575B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 xml:space="preserve">1. </w:t>
      </w:r>
      <w:proofErr w:type="spellStart"/>
      <w:r w:rsidRPr="0023028F">
        <w:rPr>
          <w:sz w:val="20"/>
          <w:szCs w:val="20"/>
          <w:lang w:val="en-US"/>
        </w:rPr>
        <w:t>Kushalappa</w:t>
      </w:r>
      <w:proofErr w:type="spellEnd"/>
      <w:r w:rsidRPr="0023028F">
        <w:rPr>
          <w:sz w:val="20"/>
          <w:szCs w:val="20"/>
          <w:lang w:val="en-US"/>
        </w:rPr>
        <w:t xml:space="preserve">, A.C. &amp; </w:t>
      </w:r>
      <w:proofErr w:type="spellStart"/>
      <w:r w:rsidRPr="0023028F">
        <w:rPr>
          <w:sz w:val="20"/>
          <w:szCs w:val="20"/>
          <w:lang w:val="en-US"/>
        </w:rPr>
        <w:t>Eskes</w:t>
      </w:r>
      <w:proofErr w:type="spellEnd"/>
      <w:r w:rsidRPr="0023028F">
        <w:rPr>
          <w:sz w:val="20"/>
          <w:szCs w:val="20"/>
          <w:lang w:val="en-US"/>
        </w:rPr>
        <w:t>, A.B. (1989). Coffee Rust: Epidemiology, Resistance, and Management. CRC Press. Journal: Phytopathology, Plant Disease (Q2)</w:t>
      </w:r>
    </w:p>
    <w:p w14:paraId="0D60575C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>2. Gibbs, J.N. &amp; Waller, J.M. (1959). Seasonal periodicity of coffee leaf rust and factors affecting the severity of outbreaks in Kenya Colony. Annals of Applied Biology, 47(2), 241-252. (Q2)</w:t>
      </w:r>
    </w:p>
    <w:p w14:paraId="0D60575D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 xml:space="preserve">3. Avelino, J., </w:t>
      </w:r>
      <w:proofErr w:type="spellStart"/>
      <w:r w:rsidRPr="0023028F">
        <w:rPr>
          <w:sz w:val="20"/>
          <w:szCs w:val="20"/>
          <w:lang w:val="en-US"/>
        </w:rPr>
        <w:t>Willocquet</w:t>
      </w:r>
      <w:proofErr w:type="spellEnd"/>
      <w:r w:rsidRPr="0023028F">
        <w:rPr>
          <w:sz w:val="20"/>
          <w:szCs w:val="20"/>
          <w:lang w:val="en-US"/>
        </w:rPr>
        <w:t>, L., &amp; Savary, S. (2012). Effects of crop management patterns on coffee rust epidemics. Phytopathology, Agricultural &amp; Environmental Science. (Q1-Q2)</w:t>
      </w:r>
    </w:p>
    <w:p w14:paraId="0D60575E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 xml:space="preserve">4. Granados, E. &amp; </w:t>
      </w:r>
      <w:proofErr w:type="spellStart"/>
      <w:r w:rsidRPr="0023028F">
        <w:rPr>
          <w:sz w:val="20"/>
          <w:szCs w:val="20"/>
          <w:lang w:val="en-US"/>
        </w:rPr>
        <w:t>Zambolim</w:t>
      </w:r>
      <w:proofErr w:type="spellEnd"/>
      <w:r w:rsidRPr="0023028F">
        <w:rPr>
          <w:sz w:val="20"/>
          <w:szCs w:val="20"/>
          <w:lang w:val="en-US"/>
        </w:rPr>
        <w:t>, L. (2019). Drying Time of Systemic and Protectant Fungicides on Coffee Leaves Exposed to Artificial Rain for the Control of Leaf Rust. Journal of Agricultural Science, 11(6), 329-340. (Q3)</w:t>
      </w:r>
    </w:p>
    <w:p w14:paraId="0D60575F" w14:textId="77777777" w:rsidR="00541C7D" w:rsidRDefault="00B36250" w:rsidP="00AC4090">
      <w:pPr>
        <w:spacing w:after="120"/>
        <w:jc w:val="both"/>
      </w:pPr>
      <w:r w:rsidRPr="0023028F">
        <w:rPr>
          <w:sz w:val="20"/>
          <w:szCs w:val="20"/>
          <w:lang w:val="en-US"/>
        </w:rPr>
        <w:t xml:space="preserve">5. Batista-Guedes, H.B., et al. </w:t>
      </w:r>
      <w:r w:rsidRPr="00A01F2C">
        <w:rPr>
          <w:sz w:val="20"/>
          <w:szCs w:val="20"/>
          <w:lang w:val="en-US"/>
        </w:rPr>
        <w:t xml:space="preserve">(2023). </w:t>
      </w:r>
      <w:r w:rsidRPr="0023028F">
        <w:rPr>
          <w:sz w:val="20"/>
          <w:szCs w:val="20"/>
          <w:lang w:val="en-US"/>
        </w:rPr>
        <w:t xml:space="preserve">Inoculation and Evaluation of </w:t>
      </w:r>
      <w:proofErr w:type="spellStart"/>
      <w:r w:rsidRPr="0023028F">
        <w:rPr>
          <w:sz w:val="20"/>
          <w:szCs w:val="20"/>
          <w:lang w:val="en-US"/>
        </w:rPr>
        <w:t>Hemileia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vastatrix</w:t>
      </w:r>
      <w:proofErr w:type="spellEnd"/>
      <w:r w:rsidRPr="0023028F">
        <w:rPr>
          <w:sz w:val="20"/>
          <w:szCs w:val="20"/>
          <w:lang w:val="en-US"/>
        </w:rPr>
        <w:t xml:space="preserve"> Under Laboratory Conditions. </w:t>
      </w:r>
      <w:r w:rsidRPr="00A01F2C">
        <w:rPr>
          <w:sz w:val="20"/>
          <w:szCs w:val="20"/>
          <w:lang w:val="en-US"/>
        </w:rPr>
        <w:t xml:space="preserve">In: Coffee Crop Improvement and Biotechnology (pp. XX-XX). Springer. </w:t>
      </w:r>
      <w:proofErr w:type="spellStart"/>
      <w:r>
        <w:rPr>
          <w:sz w:val="20"/>
          <w:szCs w:val="20"/>
        </w:rPr>
        <w:t>Scientia</w:t>
      </w:r>
      <w:proofErr w:type="spellEnd"/>
      <w:r>
        <w:rPr>
          <w:sz w:val="20"/>
          <w:szCs w:val="20"/>
        </w:rPr>
        <w:t xml:space="preserve"> Agropecuaria, Peru. (Q3)</w:t>
      </w:r>
    </w:p>
    <w:p w14:paraId="0D605760" w14:textId="77777777" w:rsidR="00541C7D" w:rsidRPr="00A01F2C" w:rsidRDefault="00B36250" w:rsidP="00AC4090">
      <w:pPr>
        <w:spacing w:after="120"/>
        <w:jc w:val="both"/>
        <w:rPr>
          <w:lang w:val="en-US"/>
        </w:rPr>
      </w:pPr>
      <w:r>
        <w:rPr>
          <w:sz w:val="20"/>
          <w:szCs w:val="20"/>
        </w:rPr>
        <w:t xml:space="preserve">6. Silva, M.C., et al. (2023). </w:t>
      </w:r>
      <w:r w:rsidRPr="0023028F">
        <w:rPr>
          <w:sz w:val="20"/>
          <w:szCs w:val="20"/>
          <w:lang w:val="en-US"/>
        </w:rPr>
        <w:t xml:space="preserve">Geostatistical Analysis of Coffee Leaf Rust in Irrigated Crops and Its Relation to Plant Nutrition and Soil Fertility. </w:t>
      </w:r>
      <w:r w:rsidRPr="00A01F2C">
        <w:rPr>
          <w:sz w:val="20"/>
          <w:szCs w:val="20"/>
          <w:lang w:val="en-US"/>
        </w:rPr>
        <w:t>Springer Link. (Q3)</w:t>
      </w:r>
    </w:p>
    <w:p w14:paraId="0D605761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A01F2C">
        <w:rPr>
          <w:sz w:val="20"/>
          <w:szCs w:val="20"/>
          <w:lang w:val="en-US"/>
        </w:rPr>
        <w:t xml:space="preserve">7. </w:t>
      </w:r>
      <w:proofErr w:type="spellStart"/>
      <w:r w:rsidRPr="00A01F2C">
        <w:rPr>
          <w:sz w:val="20"/>
          <w:szCs w:val="20"/>
          <w:lang w:val="en-US"/>
        </w:rPr>
        <w:t>Aristizábal</w:t>
      </w:r>
      <w:proofErr w:type="spellEnd"/>
      <w:r w:rsidRPr="00A01F2C">
        <w:rPr>
          <w:sz w:val="20"/>
          <w:szCs w:val="20"/>
          <w:lang w:val="en-US"/>
        </w:rPr>
        <w:t xml:space="preserve">, L.F., et al. (2025). </w:t>
      </w:r>
      <w:r w:rsidRPr="0023028F">
        <w:rPr>
          <w:sz w:val="20"/>
          <w:szCs w:val="20"/>
          <w:lang w:val="en-US"/>
        </w:rPr>
        <w:t>Fungicide Efficacy and Duration of Protection Against Coffee Leaf Rust (</w:t>
      </w:r>
      <w:proofErr w:type="spellStart"/>
      <w:r w:rsidRPr="0023028F">
        <w:rPr>
          <w:sz w:val="20"/>
          <w:szCs w:val="20"/>
          <w:lang w:val="en-US"/>
        </w:rPr>
        <w:t>Hemileia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vastatrix</w:t>
      </w:r>
      <w:proofErr w:type="spellEnd"/>
      <w:r w:rsidRPr="0023028F">
        <w:rPr>
          <w:sz w:val="20"/>
          <w:szCs w:val="20"/>
          <w:lang w:val="en-US"/>
        </w:rPr>
        <w:t>) on Commercial Coffee Farms in Hawaii. ScienceDirect, Crop Protection. (Q3)</w:t>
      </w:r>
    </w:p>
    <w:p w14:paraId="0D605762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 xml:space="preserve">8. Moraes, S.A., Sugimori, M.H., Ribeiro, I.J.A., &amp; Ortolani, A.A. (1976). </w:t>
      </w:r>
      <w:proofErr w:type="spellStart"/>
      <w:r w:rsidRPr="0023028F">
        <w:rPr>
          <w:sz w:val="20"/>
          <w:szCs w:val="20"/>
          <w:lang w:val="en-US"/>
        </w:rPr>
        <w:t>Período</w:t>
      </w:r>
      <w:proofErr w:type="spellEnd"/>
      <w:r w:rsidRPr="0023028F">
        <w:rPr>
          <w:sz w:val="20"/>
          <w:szCs w:val="20"/>
          <w:lang w:val="en-US"/>
        </w:rPr>
        <w:t xml:space="preserve"> de </w:t>
      </w:r>
      <w:proofErr w:type="spellStart"/>
      <w:r w:rsidRPr="0023028F">
        <w:rPr>
          <w:sz w:val="20"/>
          <w:szCs w:val="20"/>
          <w:lang w:val="en-US"/>
        </w:rPr>
        <w:t>incubação</w:t>
      </w:r>
      <w:proofErr w:type="spellEnd"/>
      <w:r w:rsidRPr="0023028F">
        <w:rPr>
          <w:sz w:val="20"/>
          <w:szCs w:val="20"/>
          <w:lang w:val="en-US"/>
        </w:rPr>
        <w:t xml:space="preserve"> de </w:t>
      </w:r>
      <w:proofErr w:type="spellStart"/>
      <w:r w:rsidRPr="0023028F">
        <w:rPr>
          <w:sz w:val="20"/>
          <w:szCs w:val="20"/>
          <w:lang w:val="en-US"/>
        </w:rPr>
        <w:t>Hemileia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vastatrix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em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três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regiões</w:t>
      </w:r>
      <w:proofErr w:type="spellEnd"/>
      <w:r w:rsidRPr="0023028F">
        <w:rPr>
          <w:sz w:val="20"/>
          <w:szCs w:val="20"/>
          <w:lang w:val="en-US"/>
        </w:rPr>
        <w:t xml:space="preserve"> do Estado de São Paulo. Summa </w:t>
      </w:r>
      <w:proofErr w:type="spellStart"/>
      <w:r w:rsidRPr="0023028F">
        <w:rPr>
          <w:sz w:val="20"/>
          <w:szCs w:val="20"/>
          <w:lang w:val="en-US"/>
        </w:rPr>
        <w:t>Phytopathologica</w:t>
      </w:r>
      <w:proofErr w:type="spellEnd"/>
      <w:r w:rsidRPr="0023028F">
        <w:rPr>
          <w:sz w:val="20"/>
          <w:szCs w:val="20"/>
          <w:lang w:val="en-US"/>
        </w:rPr>
        <w:t>, 2(1), 32-38. (Q3)</w:t>
      </w:r>
    </w:p>
    <w:p w14:paraId="0D605763" w14:textId="77777777" w:rsidR="00541C7D" w:rsidRPr="0023028F" w:rsidRDefault="00B36250" w:rsidP="00AC4090">
      <w:pPr>
        <w:spacing w:after="120"/>
        <w:jc w:val="both"/>
        <w:rPr>
          <w:lang w:val="en-US"/>
        </w:rPr>
      </w:pPr>
      <w:r w:rsidRPr="0023028F">
        <w:rPr>
          <w:sz w:val="20"/>
          <w:szCs w:val="20"/>
          <w:lang w:val="en-US"/>
        </w:rPr>
        <w:t>9. Waller, J.M., Bigger, M., &amp; Hillocks, R.J. (1993). Coffee Pests, Diseases and Their Management. CAB International. (Q2)</w:t>
      </w:r>
    </w:p>
    <w:p w14:paraId="0D605764" w14:textId="77777777" w:rsidR="00541C7D" w:rsidRDefault="00B36250" w:rsidP="00AC4090">
      <w:pPr>
        <w:spacing w:after="240"/>
        <w:jc w:val="both"/>
        <w:rPr>
          <w:sz w:val="20"/>
          <w:szCs w:val="20"/>
        </w:rPr>
      </w:pPr>
      <w:r w:rsidRPr="0023028F">
        <w:rPr>
          <w:sz w:val="20"/>
          <w:szCs w:val="20"/>
          <w:lang w:val="en-US"/>
        </w:rPr>
        <w:t xml:space="preserve">10. European Journal of Plant Pathology, Springer Nature (2023). Requirements for germination, germ tube growth and appressorium formation of </w:t>
      </w:r>
      <w:proofErr w:type="spellStart"/>
      <w:r w:rsidRPr="0023028F">
        <w:rPr>
          <w:sz w:val="20"/>
          <w:szCs w:val="20"/>
          <w:lang w:val="en-US"/>
        </w:rPr>
        <w:t>urediospores</w:t>
      </w:r>
      <w:proofErr w:type="spellEnd"/>
      <w:r w:rsidRPr="0023028F">
        <w:rPr>
          <w:sz w:val="20"/>
          <w:szCs w:val="20"/>
          <w:lang w:val="en-US"/>
        </w:rPr>
        <w:t xml:space="preserve"> of </w:t>
      </w:r>
      <w:proofErr w:type="spellStart"/>
      <w:r w:rsidRPr="0023028F">
        <w:rPr>
          <w:sz w:val="20"/>
          <w:szCs w:val="20"/>
          <w:lang w:val="en-US"/>
        </w:rPr>
        <w:t>Hemileia</w:t>
      </w:r>
      <w:proofErr w:type="spellEnd"/>
      <w:r w:rsidRPr="0023028F">
        <w:rPr>
          <w:sz w:val="20"/>
          <w:szCs w:val="20"/>
          <w:lang w:val="en-US"/>
        </w:rPr>
        <w:t xml:space="preserve"> </w:t>
      </w:r>
      <w:proofErr w:type="spellStart"/>
      <w:r w:rsidRPr="0023028F">
        <w:rPr>
          <w:sz w:val="20"/>
          <w:szCs w:val="20"/>
          <w:lang w:val="en-US"/>
        </w:rPr>
        <w:t>vastatrix</w:t>
      </w:r>
      <w:proofErr w:type="spellEnd"/>
      <w:r w:rsidRPr="0023028F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(Q2-Q3)</w:t>
      </w:r>
    </w:p>
    <w:p w14:paraId="3D58FAF3" w14:textId="77777777" w:rsidR="00AC4090" w:rsidRDefault="00AC4090" w:rsidP="00AC4090">
      <w:pPr>
        <w:spacing w:after="240"/>
        <w:jc w:val="both"/>
        <w:rPr>
          <w:sz w:val="20"/>
          <w:szCs w:val="20"/>
        </w:rPr>
      </w:pPr>
    </w:p>
    <w:p w14:paraId="2D692F7A" w14:textId="77777777" w:rsidR="00AC4090" w:rsidRDefault="00AC4090" w:rsidP="00AC4090">
      <w:pPr>
        <w:spacing w:after="240"/>
        <w:jc w:val="both"/>
      </w:pPr>
    </w:p>
    <w:p w14:paraId="56A910B9" w14:textId="77777777" w:rsidR="009A48FC" w:rsidRDefault="009A48FC" w:rsidP="00CC4291">
      <w:pPr>
        <w:spacing w:after="100"/>
      </w:pPr>
    </w:p>
    <w:sectPr w:rsidR="009A48FC" w:rsidSect="00B37C00">
      <w:pgSz w:w="15840" w:h="12240"/>
      <w:pgMar w:top="1135" w:right="1948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A18C2"/>
    <w:multiLevelType w:val="hybridMultilevel"/>
    <w:tmpl w:val="B472E6C6"/>
    <w:lvl w:ilvl="0" w:tplc="012E7F4E">
      <w:start w:val="1"/>
      <w:numFmt w:val="bullet"/>
      <w:lvlText w:val="●"/>
      <w:lvlJc w:val="left"/>
      <w:pPr>
        <w:ind w:left="720" w:hanging="360"/>
      </w:pPr>
    </w:lvl>
    <w:lvl w:ilvl="1" w:tplc="33CEE34C">
      <w:start w:val="1"/>
      <w:numFmt w:val="bullet"/>
      <w:lvlText w:val="○"/>
      <w:lvlJc w:val="left"/>
      <w:pPr>
        <w:ind w:left="1440" w:hanging="360"/>
      </w:pPr>
    </w:lvl>
    <w:lvl w:ilvl="2" w:tplc="6576C33C">
      <w:start w:val="1"/>
      <w:numFmt w:val="bullet"/>
      <w:lvlText w:val="■"/>
      <w:lvlJc w:val="left"/>
      <w:pPr>
        <w:ind w:left="2160" w:hanging="360"/>
      </w:pPr>
    </w:lvl>
    <w:lvl w:ilvl="3" w:tplc="6A9C559A">
      <w:start w:val="1"/>
      <w:numFmt w:val="bullet"/>
      <w:lvlText w:val="●"/>
      <w:lvlJc w:val="left"/>
      <w:pPr>
        <w:ind w:left="2880" w:hanging="360"/>
      </w:pPr>
    </w:lvl>
    <w:lvl w:ilvl="4" w:tplc="4DA2AE5A">
      <w:start w:val="1"/>
      <w:numFmt w:val="bullet"/>
      <w:lvlText w:val="○"/>
      <w:lvlJc w:val="left"/>
      <w:pPr>
        <w:ind w:left="3600" w:hanging="360"/>
      </w:pPr>
    </w:lvl>
    <w:lvl w:ilvl="5" w:tplc="5AEEF8FC">
      <w:start w:val="1"/>
      <w:numFmt w:val="bullet"/>
      <w:lvlText w:val="■"/>
      <w:lvlJc w:val="left"/>
      <w:pPr>
        <w:ind w:left="4320" w:hanging="360"/>
      </w:pPr>
    </w:lvl>
    <w:lvl w:ilvl="6" w:tplc="676E60EA">
      <w:start w:val="1"/>
      <w:numFmt w:val="bullet"/>
      <w:lvlText w:val="●"/>
      <w:lvlJc w:val="left"/>
      <w:pPr>
        <w:ind w:left="5040" w:hanging="360"/>
      </w:pPr>
    </w:lvl>
    <w:lvl w:ilvl="7" w:tplc="89920C5C">
      <w:start w:val="1"/>
      <w:numFmt w:val="bullet"/>
      <w:lvlText w:val="●"/>
      <w:lvlJc w:val="left"/>
      <w:pPr>
        <w:ind w:left="5760" w:hanging="360"/>
      </w:pPr>
    </w:lvl>
    <w:lvl w:ilvl="8" w:tplc="A32EBD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029FA"/>
    <w:multiLevelType w:val="hybridMultilevel"/>
    <w:tmpl w:val="21F8B1EC"/>
    <w:lvl w:ilvl="0" w:tplc="4E66F04E">
      <w:start w:val="1"/>
      <w:numFmt w:val="bullet"/>
      <w:lvlText w:val="•"/>
      <w:lvlJc w:val="left"/>
      <w:pPr>
        <w:ind w:left="720" w:hanging="360"/>
      </w:pPr>
    </w:lvl>
    <w:lvl w:ilvl="1" w:tplc="815C15F8">
      <w:numFmt w:val="decimal"/>
      <w:lvlText w:val=""/>
      <w:lvlJc w:val="left"/>
    </w:lvl>
    <w:lvl w:ilvl="2" w:tplc="4252BF42">
      <w:numFmt w:val="decimal"/>
      <w:lvlText w:val=""/>
      <w:lvlJc w:val="left"/>
    </w:lvl>
    <w:lvl w:ilvl="3" w:tplc="B8F29756">
      <w:numFmt w:val="decimal"/>
      <w:lvlText w:val=""/>
      <w:lvlJc w:val="left"/>
    </w:lvl>
    <w:lvl w:ilvl="4" w:tplc="4AC0FD80">
      <w:numFmt w:val="decimal"/>
      <w:lvlText w:val=""/>
      <w:lvlJc w:val="left"/>
    </w:lvl>
    <w:lvl w:ilvl="5" w:tplc="C206F528">
      <w:numFmt w:val="decimal"/>
      <w:lvlText w:val=""/>
      <w:lvlJc w:val="left"/>
    </w:lvl>
    <w:lvl w:ilvl="6" w:tplc="AE2C7090">
      <w:numFmt w:val="decimal"/>
      <w:lvlText w:val=""/>
      <w:lvlJc w:val="left"/>
    </w:lvl>
    <w:lvl w:ilvl="7" w:tplc="E7123182">
      <w:numFmt w:val="decimal"/>
      <w:lvlText w:val=""/>
      <w:lvlJc w:val="left"/>
    </w:lvl>
    <w:lvl w:ilvl="8" w:tplc="A3685E94">
      <w:numFmt w:val="decimal"/>
      <w:lvlText w:val=""/>
      <w:lvlJc w:val="left"/>
    </w:lvl>
  </w:abstractNum>
  <w:abstractNum w:abstractNumId="2" w15:restartNumberingAfterBreak="0">
    <w:nsid w:val="7DE3488F"/>
    <w:multiLevelType w:val="hybridMultilevel"/>
    <w:tmpl w:val="B2A861F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0303990">
    <w:abstractNumId w:val="0"/>
    <w:lvlOverride w:ilvl="0">
      <w:startOverride w:val="1"/>
    </w:lvlOverride>
  </w:num>
  <w:num w:numId="2" w16cid:durableId="1253121432">
    <w:abstractNumId w:val="1"/>
    <w:lvlOverride w:ilvl="0">
      <w:startOverride w:val="1"/>
    </w:lvlOverride>
  </w:num>
  <w:num w:numId="3" w16cid:durableId="1105148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C7D"/>
    <w:rsid w:val="00030453"/>
    <w:rsid w:val="0023028F"/>
    <w:rsid w:val="00234ACE"/>
    <w:rsid w:val="002E126E"/>
    <w:rsid w:val="003D05E1"/>
    <w:rsid w:val="0046557E"/>
    <w:rsid w:val="00541C7D"/>
    <w:rsid w:val="00566DEA"/>
    <w:rsid w:val="006B4D7B"/>
    <w:rsid w:val="009A48FC"/>
    <w:rsid w:val="009B4279"/>
    <w:rsid w:val="009D38EE"/>
    <w:rsid w:val="00A01F2C"/>
    <w:rsid w:val="00AB58D9"/>
    <w:rsid w:val="00AC4090"/>
    <w:rsid w:val="00B36250"/>
    <w:rsid w:val="00B37C00"/>
    <w:rsid w:val="00C00F50"/>
    <w:rsid w:val="00CC4291"/>
    <w:rsid w:val="00DE1808"/>
    <w:rsid w:val="00FA455B"/>
    <w:rsid w:val="00FA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5721"/>
  <w15:docId w15:val="{68607DF4-A1B0-468F-8233-DC820559B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497D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1694</TotalTime>
  <Pages>4</Pages>
  <Words>1273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 .</cp:lastModifiedBy>
  <cp:revision>18</cp:revision>
  <dcterms:created xsi:type="dcterms:W3CDTF">2026-05-20T18:55:00Z</dcterms:created>
  <dcterms:modified xsi:type="dcterms:W3CDTF">2026-06-02T02:58:00Z</dcterms:modified>
</cp:coreProperties>
</file>