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E3A5" w14:textId="380EA4BB" w:rsidR="00A115D7" w:rsidRDefault="00A115D7" w:rsidP="004C3E83">
      <w:pPr>
        <w:spacing w:line="240" w:lineRule="auto"/>
        <w:jc w:val="center"/>
        <w:rPr>
          <w:rFonts w:ascii="Times New Roman" w:eastAsia="Times New Roman" w:hAnsi="Times New Roman" w:cs="Times New Roman"/>
          <w:sz w:val="24"/>
          <w:szCs w:val="24"/>
          <w:lang w:val="en-US"/>
        </w:rPr>
      </w:pPr>
      <w:r w:rsidRPr="004C3E83">
        <w:rPr>
          <w:rFonts w:ascii="Times New Roman" w:eastAsia="Times New Roman" w:hAnsi="Times New Roman" w:cs="Times New Roman"/>
          <w:b/>
          <w:bCs/>
          <w:color w:val="000000"/>
          <w:sz w:val="34"/>
          <w:szCs w:val="34"/>
          <w:lang w:val="en-US"/>
        </w:rPr>
        <w:t> </w:t>
      </w:r>
      <w:proofErr w:type="spellStart"/>
      <w:r w:rsidRPr="004C3E83">
        <w:rPr>
          <w:rFonts w:ascii="Times New Roman" w:eastAsia="Times New Roman" w:hAnsi="Times New Roman" w:cs="Times New Roman"/>
          <w:b/>
          <w:bCs/>
          <w:color w:val="000000"/>
          <w:sz w:val="34"/>
          <w:szCs w:val="34"/>
          <w:lang w:val="en-US"/>
        </w:rPr>
        <w:t>Vivara</w:t>
      </w:r>
      <w:proofErr w:type="spellEnd"/>
      <w:r w:rsidRPr="004C3E83">
        <w:rPr>
          <w:rFonts w:ascii="Times New Roman" w:eastAsia="Times New Roman" w:hAnsi="Times New Roman" w:cs="Times New Roman"/>
          <w:b/>
          <w:bCs/>
          <w:color w:val="000000"/>
          <w:sz w:val="34"/>
          <w:szCs w:val="34"/>
          <w:lang w:val="en-US"/>
        </w:rPr>
        <w:t xml:space="preserve"> Franchise Modeling Report – Case Study: Feasibility of a Public-Private Partnership (PPP)</w:t>
      </w:r>
    </w:p>
    <w:p w14:paraId="24D27D37" w14:textId="77777777" w:rsidR="004C3E83" w:rsidRPr="004C3E83" w:rsidRDefault="004C3E83" w:rsidP="004C3E83">
      <w:pPr>
        <w:spacing w:line="240" w:lineRule="auto"/>
        <w:jc w:val="center"/>
        <w:rPr>
          <w:rFonts w:ascii="Times New Roman" w:eastAsia="Times New Roman" w:hAnsi="Times New Roman" w:cs="Times New Roman"/>
          <w:sz w:val="24"/>
          <w:szCs w:val="24"/>
          <w:lang w:val="en-US"/>
        </w:rPr>
      </w:pPr>
    </w:p>
    <w:p w14:paraId="58606EFE" w14:textId="241F7E52" w:rsidR="0041058C" w:rsidRDefault="00D95D2C">
      <w:pPr>
        <w:rPr>
          <w:rFonts w:ascii="Times New Roman" w:hAnsi="Times New Roman" w:cs="Times New Roman"/>
          <w:sz w:val="24"/>
          <w:szCs w:val="24"/>
        </w:rPr>
      </w:pPr>
      <w:r>
        <w:rPr>
          <w:rFonts w:ascii="Times New Roman" w:hAnsi="Times New Roman" w:cs="Times New Roman"/>
          <w:sz w:val="24"/>
          <w:szCs w:val="24"/>
        </w:rPr>
        <w:t>Project: Luxury Commercial Concession – Vivara Store – PPP Barra/Graça/Vitória</w:t>
      </w:r>
    </w:p>
    <w:p w14:paraId="673DDE63" w14:textId="4B896A8F" w:rsidR="00A115D7" w:rsidRDefault="00A115D7">
      <w:pPr>
        <w:rPr>
          <w:rFonts w:ascii="Times New Roman" w:hAnsi="Times New Roman" w:cs="Times New Roman"/>
          <w:sz w:val="24"/>
          <w:szCs w:val="24"/>
        </w:rPr>
      </w:pPr>
    </w:p>
    <w:p w14:paraId="71C9CDAF" w14:textId="2E7AC178" w:rsidR="00A115D7" w:rsidRPr="00A115D7" w:rsidRDefault="00A115D7">
      <w:pPr>
        <w:rPr>
          <w:rFonts w:ascii="Times New Roman" w:hAnsi="Times New Roman" w:cs="Times New Roman"/>
          <w:sz w:val="24"/>
          <w:szCs w:val="24"/>
        </w:rPr>
      </w:pPr>
      <w:r>
        <w:rPr>
          <w:noProof/>
        </w:rPr>
        <w:drawing>
          <wp:inline distT="0" distB="0" distL="0" distR="0" wp14:anchorId="46774A42" wp14:editId="7E5BFBEE">
            <wp:extent cx="5733415" cy="3984625"/>
            <wp:effectExtent l="0" t="0" r="635" b="0"/>
            <wp:docPr id="2" name="Picture 2" descr="VIVARA - Itajaí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VARA - Itajaí Shopp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3984625"/>
                    </a:xfrm>
                    <a:prstGeom prst="rect">
                      <a:avLst/>
                    </a:prstGeom>
                    <a:noFill/>
                    <a:ln>
                      <a:noFill/>
                    </a:ln>
                  </pic:spPr>
                </pic:pic>
              </a:graphicData>
            </a:graphic>
          </wp:inline>
        </w:drawing>
      </w:r>
    </w:p>
    <w:p w14:paraId="068EFE2A" w14:textId="77777777" w:rsidR="0041058C" w:rsidRPr="00A115D7" w:rsidRDefault="0041058C">
      <w:pPr>
        <w:rPr>
          <w:rFonts w:ascii="Times New Roman" w:hAnsi="Times New Roman" w:cs="Times New Roman"/>
          <w:sz w:val="24"/>
          <w:szCs w:val="24"/>
        </w:rPr>
      </w:pPr>
    </w:p>
    <w:p w14:paraId="36B93659" w14:textId="77777777" w:rsidR="0041058C" w:rsidRPr="004C3E83" w:rsidRDefault="00D95D2C">
      <w:pPr>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1. Choice of Business, Location, and Justification for the PPP</w:t>
      </w:r>
    </w:p>
    <w:p w14:paraId="7A66CACC" w14:textId="77777777" w:rsidR="0041058C" w:rsidRPr="004C3E83" w:rsidRDefault="0041058C">
      <w:pPr>
        <w:rPr>
          <w:rFonts w:ascii="Times New Roman" w:hAnsi="Times New Roman" w:cs="Times New Roman"/>
          <w:sz w:val="24"/>
          <w:szCs w:val="24"/>
          <w:lang w:val="en-US"/>
        </w:rPr>
      </w:pPr>
    </w:p>
    <w:p w14:paraId="547EE57A"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xml:space="preserve">The Business: Implementation of a high-end jewelry and watch street store modeled on </w:t>
      </w:r>
      <w:proofErr w:type="spellStart"/>
      <w:r w:rsidRPr="004C3E83">
        <w:rPr>
          <w:rFonts w:ascii="Times New Roman" w:hAnsi="Times New Roman" w:cs="Times New Roman"/>
          <w:sz w:val="24"/>
          <w:szCs w:val="24"/>
          <w:lang w:val="en-US"/>
        </w:rPr>
        <w:t>Vivara</w:t>
      </w:r>
      <w:proofErr w:type="spellEnd"/>
      <w:r w:rsidRPr="004C3E83">
        <w:rPr>
          <w:rFonts w:ascii="Times New Roman" w:hAnsi="Times New Roman" w:cs="Times New Roman"/>
          <w:sz w:val="24"/>
          <w:szCs w:val="24"/>
          <w:lang w:val="en-US"/>
        </w:rPr>
        <w:t xml:space="preserve"> (VIVA3).</w:t>
      </w:r>
    </w:p>
    <w:p w14:paraId="23364C6B" w14:textId="77777777" w:rsidR="0041058C" w:rsidRPr="004C3E83" w:rsidRDefault="0041058C">
      <w:pPr>
        <w:rPr>
          <w:rFonts w:ascii="Times New Roman" w:hAnsi="Times New Roman" w:cs="Times New Roman"/>
          <w:sz w:val="24"/>
          <w:szCs w:val="24"/>
          <w:lang w:val="en-US"/>
        </w:rPr>
      </w:pPr>
    </w:p>
    <w:p w14:paraId="751E6934"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The Location: Public space in the Barra/</w:t>
      </w:r>
      <w:proofErr w:type="spellStart"/>
      <w:r w:rsidRPr="004C3E83">
        <w:rPr>
          <w:rFonts w:ascii="Times New Roman" w:hAnsi="Times New Roman" w:cs="Times New Roman"/>
          <w:sz w:val="24"/>
          <w:szCs w:val="24"/>
          <w:lang w:val="en-US"/>
        </w:rPr>
        <w:t>Graça</w:t>
      </w:r>
      <w:proofErr w:type="spellEnd"/>
      <w:r w:rsidRPr="004C3E83">
        <w:rPr>
          <w:rFonts w:ascii="Times New Roman" w:hAnsi="Times New Roman" w:cs="Times New Roman"/>
          <w:sz w:val="24"/>
          <w:szCs w:val="24"/>
          <w:lang w:val="en-US"/>
        </w:rPr>
        <w:t>/Vitória region, Salvador – BA.</w:t>
      </w:r>
    </w:p>
    <w:p w14:paraId="2AB6E2E8" w14:textId="77777777" w:rsidR="0041058C" w:rsidRPr="004C3E83" w:rsidRDefault="0041058C">
      <w:pPr>
        <w:rPr>
          <w:rFonts w:ascii="Times New Roman" w:hAnsi="Times New Roman" w:cs="Times New Roman"/>
          <w:sz w:val="24"/>
          <w:szCs w:val="24"/>
          <w:lang w:val="en-US"/>
        </w:rPr>
      </w:pPr>
    </w:p>
    <w:p w14:paraId="452BB13A" w14:textId="32DECA91" w:rsidR="0041058C" w:rsidRDefault="00A115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0DDE3D" wp14:editId="5DC88DE2">
            <wp:extent cx="255862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79501" cy="2112601"/>
                    </a:xfrm>
                    <a:prstGeom prst="rect">
                      <a:avLst/>
                    </a:prstGeom>
                  </pic:spPr>
                </pic:pic>
              </a:graphicData>
            </a:graphic>
          </wp:inline>
        </w:drawing>
      </w:r>
    </w:p>
    <w:p w14:paraId="383ADAD5" w14:textId="77777777" w:rsidR="0041058C" w:rsidRPr="004C3E83" w:rsidRDefault="00D95D2C">
      <w:pPr>
        <w:spacing w:after="160"/>
        <w:rPr>
          <w:rFonts w:ascii="Times New Roman" w:hAnsi="Times New Roman" w:cs="Times New Roman"/>
          <w:b/>
          <w:bCs/>
          <w:sz w:val="24"/>
          <w:szCs w:val="24"/>
          <w:lang w:val="en-US"/>
        </w:rPr>
      </w:pPr>
      <w:r w:rsidRPr="004C3E83">
        <w:rPr>
          <w:rFonts w:ascii="Times New Roman" w:hAnsi="Times New Roman" w:cs="Times New Roman"/>
          <w:b/>
          <w:bCs/>
          <w:sz w:val="24"/>
          <w:szCs w:val="24"/>
          <w:lang w:val="en-US"/>
        </w:rPr>
        <w:lastRenderedPageBreak/>
        <w:t>The Business Model: High-End Jewelry (Benchmark: VIVA3)</w:t>
      </w:r>
    </w:p>
    <w:p w14:paraId="44E9F246" w14:textId="77777777" w:rsidR="0041058C" w:rsidRPr="004C3E83" w:rsidRDefault="00D95D2C">
      <w:pPr>
        <w:spacing w:after="160"/>
        <w:rPr>
          <w:rFonts w:ascii="Times New Roman" w:hAnsi="Times New Roman" w:cs="Times New Roman"/>
          <w:sz w:val="24"/>
          <w:szCs w:val="24"/>
          <w:lang w:val="en-US"/>
        </w:rPr>
      </w:pPr>
      <w:r w:rsidRPr="004C3E83">
        <w:rPr>
          <w:rFonts w:ascii="Times New Roman" w:hAnsi="Times New Roman" w:cs="Times New Roman"/>
          <w:sz w:val="24"/>
          <w:szCs w:val="24"/>
          <w:lang w:val="en-US"/>
        </w:rPr>
        <w:t xml:space="preserve">The chosen business consists of the implementation and operation of a high-end jewelry and watchmaking concept kiosk/pavilion, structured along the operational lines of </w:t>
      </w:r>
      <w:proofErr w:type="spellStart"/>
      <w:r w:rsidRPr="004C3E83">
        <w:rPr>
          <w:rFonts w:ascii="Times New Roman" w:hAnsi="Times New Roman" w:cs="Times New Roman"/>
          <w:sz w:val="24"/>
          <w:szCs w:val="24"/>
          <w:lang w:val="en-US"/>
        </w:rPr>
        <w:t>Vivara</w:t>
      </w:r>
      <w:proofErr w:type="spellEnd"/>
      <w:r w:rsidRPr="004C3E83">
        <w:rPr>
          <w:rFonts w:ascii="Times New Roman" w:hAnsi="Times New Roman" w:cs="Times New Roman"/>
          <w:sz w:val="24"/>
          <w:szCs w:val="24"/>
          <w:lang w:val="en-US"/>
        </w:rPr>
        <w:t xml:space="preserve"> (B3: VIVA3). The choice of this segment in physical retail is justified by the excellent ratio between the square meters occupied and the high Average Ticket Value (ATV) of the merchandise. Unlike food or clothing operations, jewelry requires a smaller physical space (lower civil construction cost and lower spatial impact on the public area) and does not generate organic waste, odors, or noise pollution. It is a “clean”, high-value-added operation with high gross margins, allowing the financial sustainability of the business even with the incidence of the public concession costs.</w:t>
      </w:r>
    </w:p>
    <w:p w14:paraId="5E00398D" w14:textId="77777777" w:rsidR="0041058C" w:rsidRPr="00A115D7" w:rsidRDefault="00D95D2C">
      <w:pPr>
        <w:spacing w:after="160"/>
        <w:rPr>
          <w:rFonts w:ascii="Times New Roman" w:hAnsi="Times New Roman" w:cs="Times New Roman"/>
          <w:b/>
          <w:bCs/>
          <w:sz w:val="28"/>
          <w:szCs w:val="28"/>
        </w:rPr>
      </w:pPr>
      <w:r>
        <w:rPr>
          <w:rFonts w:ascii="Times New Roman" w:hAnsi="Times New Roman" w:cs="Times New Roman"/>
          <w:b/>
          <w:bCs/>
          <w:sz w:val="28"/>
          <w:szCs w:val="28"/>
        </w:rPr>
        <w:t>1.2. The Strategic Location: Barra/Graça/Vitória Axis (Salvador – BA)</w:t>
      </w:r>
    </w:p>
    <w:p w14:paraId="49ACB30F" w14:textId="77777777" w:rsidR="0041058C" w:rsidRPr="004C3E83" w:rsidRDefault="00D95D2C">
      <w:pPr>
        <w:spacing w:after="160"/>
        <w:rPr>
          <w:rFonts w:ascii="Times New Roman" w:hAnsi="Times New Roman" w:cs="Times New Roman"/>
          <w:sz w:val="24"/>
          <w:szCs w:val="24"/>
          <w:lang w:val="en-US"/>
        </w:rPr>
      </w:pPr>
      <w:r w:rsidRPr="004C3E83">
        <w:rPr>
          <w:rFonts w:ascii="Times New Roman" w:hAnsi="Times New Roman" w:cs="Times New Roman"/>
          <w:sz w:val="24"/>
          <w:szCs w:val="24"/>
          <w:lang w:val="en-US"/>
        </w:rPr>
        <w:t xml:space="preserve">The project will be installed in a prominent public space in the Barra, </w:t>
      </w:r>
      <w:proofErr w:type="spellStart"/>
      <w:r w:rsidRPr="004C3E83">
        <w:rPr>
          <w:rFonts w:ascii="Times New Roman" w:hAnsi="Times New Roman" w:cs="Times New Roman"/>
          <w:sz w:val="24"/>
          <w:szCs w:val="24"/>
          <w:lang w:val="en-US"/>
        </w:rPr>
        <w:t>Graça</w:t>
      </w:r>
      <w:proofErr w:type="spellEnd"/>
      <w:r w:rsidRPr="004C3E83">
        <w:rPr>
          <w:rFonts w:ascii="Times New Roman" w:hAnsi="Times New Roman" w:cs="Times New Roman"/>
          <w:sz w:val="24"/>
          <w:szCs w:val="24"/>
          <w:lang w:val="en-US"/>
        </w:rPr>
        <w:t xml:space="preserve">, or Vitória Corridor area (such as the surroundings of Largo da Vitória or the </w:t>
      </w:r>
      <w:proofErr w:type="spellStart"/>
      <w:r w:rsidRPr="004C3E83">
        <w:rPr>
          <w:rFonts w:ascii="Times New Roman" w:hAnsi="Times New Roman" w:cs="Times New Roman"/>
          <w:sz w:val="24"/>
          <w:szCs w:val="24"/>
          <w:lang w:val="en-US"/>
        </w:rPr>
        <w:t>Farol</w:t>
      </w:r>
      <w:proofErr w:type="spellEnd"/>
      <w:r w:rsidRPr="004C3E83">
        <w:rPr>
          <w:rFonts w:ascii="Times New Roman" w:hAnsi="Times New Roman" w:cs="Times New Roman"/>
          <w:sz w:val="24"/>
          <w:szCs w:val="24"/>
          <w:lang w:val="en-US"/>
        </w:rPr>
        <w:t xml:space="preserve"> da Barra boardwalk). The choice of this macro-region is based on three economic pillars:</w:t>
      </w:r>
    </w:p>
    <w:p w14:paraId="015E2251" w14:textId="77777777" w:rsidR="0041058C" w:rsidRPr="004C3E83" w:rsidRDefault="00D95D2C">
      <w:pPr>
        <w:numPr>
          <w:ilvl w:val="0"/>
          <w:numId w:val="1"/>
        </w:numPr>
        <w:rPr>
          <w:rFonts w:ascii="Times New Roman" w:hAnsi="Times New Roman" w:cs="Times New Roman"/>
          <w:sz w:val="24"/>
          <w:szCs w:val="24"/>
          <w:lang w:val="en-US"/>
        </w:rPr>
      </w:pPr>
      <w:r w:rsidRPr="004C3E83">
        <w:rPr>
          <w:rFonts w:ascii="Times New Roman" w:hAnsi="Times New Roman" w:cs="Times New Roman"/>
          <w:b/>
          <w:bCs/>
          <w:sz w:val="24"/>
          <w:szCs w:val="24"/>
          <w:lang w:val="en-US"/>
        </w:rPr>
        <w:t>Income Density:</w:t>
      </w:r>
      <w:r w:rsidRPr="004C3E83">
        <w:rPr>
          <w:rFonts w:ascii="Times New Roman" w:hAnsi="Times New Roman" w:cs="Times New Roman"/>
          <w:sz w:val="24"/>
          <w:szCs w:val="24"/>
          <w:lang w:val="en-US"/>
        </w:rPr>
        <w:t xml:space="preserve"> The region concentrates one of the highest Human Development Indices (HDI) and the highest per capita income in the Bahian capital, housing the primary consumer base for luxury goods.</w:t>
      </w:r>
    </w:p>
    <w:p w14:paraId="13572511" w14:textId="77777777" w:rsidR="0041058C" w:rsidRPr="004C3E83" w:rsidRDefault="00D95D2C">
      <w:pPr>
        <w:numPr>
          <w:ilvl w:val="0"/>
          <w:numId w:val="1"/>
        </w:numPr>
        <w:rPr>
          <w:rFonts w:ascii="Times New Roman" w:hAnsi="Times New Roman" w:cs="Times New Roman"/>
          <w:sz w:val="24"/>
          <w:szCs w:val="24"/>
          <w:lang w:val="en-US"/>
        </w:rPr>
      </w:pPr>
      <w:r w:rsidRPr="004C3E83">
        <w:rPr>
          <w:rFonts w:ascii="Times New Roman" w:hAnsi="Times New Roman" w:cs="Times New Roman"/>
          <w:b/>
          <w:bCs/>
          <w:sz w:val="24"/>
          <w:szCs w:val="24"/>
          <w:lang w:val="en-US"/>
        </w:rPr>
        <w:t>Premium Tourist Flow:</w:t>
      </w:r>
      <w:r w:rsidRPr="004C3E83">
        <w:rPr>
          <w:rFonts w:ascii="Times New Roman" w:hAnsi="Times New Roman" w:cs="Times New Roman"/>
          <w:sz w:val="24"/>
          <w:szCs w:val="24"/>
          <w:lang w:val="en-US"/>
        </w:rPr>
        <w:t xml:space="preserve"> The location is a natural postcard, guaranteeing a continuous flow of national and international tourists with a high propensity to consume commemorative and luxury items.</w:t>
      </w:r>
    </w:p>
    <w:p w14:paraId="1135B407" w14:textId="77777777" w:rsidR="0041058C" w:rsidRPr="004C3E83" w:rsidRDefault="00D95D2C">
      <w:pPr>
        <w:numPr>
          <w:ilvl w:val="0"/>
          <w:numId w:val="1"/>
        </w:numPr>
        <w:rPr>
          <w:rFonts w:ascii="Times New Roman" w:hAnsi="Times New Roman" w:cs="Times New Roman"/>
          <w:sz w:val="24"/>
          <w:szCs w:val="24"/>
          <w:lang w:val="en-US"/>
        </w:rPr>
      </w:pPr>
      <w:r w:rsidRPr="004C3E83">
        <w:rPr>
          <w:rFonts w:ascii="Times New Roman" w:hAnsi="Times New Roman" w:cs="Times New Roman"/>
          <w:b/>
          <w:bCs/>
          <w:sz w:val="24"/>
          <w:szCs w:val="24"/>
          <w:lang w:val="en-US"/>
        </w:rPr>
        <w:t>Brand Visibility and Positioning:</w:t>
      </w:r>
      <w:r w:rsidRPr="004C3E83">
        <w:rPr>
          <w:rFonts w:ascii="Times New Roman" w:hAnsi="Times New Roman" w:cs="Times New Roman"/>
          <w:sz w:val="24"/>
          <w:szCs w:val="24"/>
          <w:lang w:val="en-US"/>
        </w:rPr>
        <w:t xml:space="preserve"> Installing a boutique in a postcard location provides invaluable organic marketing exposure for the brand, associating luxury with the natural and historical beauty of Salvador.</w:t>
      </w:r>
    </w:p>
    <w:p w14:paraId="54482E05" w14:textId="77777777" w:rsidR="0041058C" w:rsidRPr="004C3E83" w:rsidRDefault="0041058C" w:rsidP="00A115D7">
      <w:pPr>
        <w:ind w:left="720"/>
        <w:rPr>
          <w:rFonts w:ascii="Times New Roman" w:hAnsi="Times New Roman" w:cs="Times New Roman"/>
          <w:sz w:val="24"/>
          <w:szCs w:val="24"/>
          <w:lang w:val="en-US"/>
        </w:rPr>
      </w:pPr>
    </w:p>
    <w:p w14:paraId="701A6438" w14:textId="77777777" w:rsidR="0041058C" w:rsidRPr="004C3E83" w:rsidRDefault="00D95D2C">
      <w:pPr>
        <w:spacing w:after="160"/>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1.3. Target Audience and Attractiveness Potential</w:t>
      </w:r>
    </w:p>
    <w:p w14:paraId="3F83BE2B" w14:textId="77777777" w:rsidR="0041058C" w:rsidRPr="004C3E83" w:rsidRDefault="00D95D2C">
      <w:pPr>
        <w:spacing w:after="160"/>
        <w:rPr>
          <w:rFonts w:ascii="Times New Roman" w:hAnsi="Times New Roman" w:cs="Times New Roman"/>
          <w:sz w:val="24"/>
          <w:szCs w:val="24"/>
          <w:lang w:val="en-US"/>
        </w:rPr>
      </w:pPr>
      <w:r w:rsidRPr="004C3E83">
        <w:rPr>
          <w:rFonts w:ascii="Times New Roman" w:hAnsi="Times New Roman" w:cs="Times New Roman"/>
          <w:sz w:val="24"/>
          <w:szCs w:val="24"/>
          <w:lang w:val="en-US"/>
        </w:rPr>
        <w:t>The target audience is predominantly composed of classes A and B, encompassing local residents with high purchasing power and leisure or business tourists. Local demand is justified by the convenience and exclusivity of the experience: buying a piece of jewelry in a historic, scenically beautiful setting, outside the closed and standardized environment of shopping malls. The attractiveness potential is based on “qualified impulse purchases” and gift purchases, boosted by the high pedestrian flow in the surrounding area on weekends and holidays.</w:t>
      </w:r>
    </w:p>
    <w:p w14:paraId="3C233AFB" w14:textId="77777777" w:rsidR="0041058C" w:rsidRPr="004C3E83" w:rsidRDefault="00D95D2C">
      <w:pPr>
        <w:spacing w:after="160"/>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1.4. Justification and Structuring of the Public-Private Partnership (PPP)</w:t>
      </w:r>
    </w:p>
    <w:p w14:paraId="2E9A9457"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This is a fee-based concession for the use of public space. The private operation finances the maintenance and integrated security of the surrounding public space, relieving the municipal budget and boosting local tourism through a fixed percentage transfer set at 5% of gross revenue, allocated exclusively to the conservation and patrolling fund for the location.</w:t>
      </w:r>
    </w:p>
    <w:p w14:paraId="7B398952" w14:textId="77777777" w:rsidR="0041058C" w:rsidRPr="004C3E83" w:rsidRDefault="0041058C">
      <w:pPr>
        <w:rPr>
          <w:rFonts w:ascii="Times New Roman" w:hAnsi="Times New Roman" w:cs="Times New Roman"/>
          <w:sz w:val="24"/>
          <w:szCs w:val="24"/>
          <w:lang w:val="en-US"/>
        </w:rPr>
      </w:pPr>
    </w:p>
    <w:p w14:paraId="69560613"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b/>
          <w:bCs/>
          <w:sz w:val="24"/>
          <w:szCs w:val="24"/>
          <w:lang w:val="en-US"/>
        </w:rPr>
        <w:lastRenderedPageBreak/>
        <w:t>The Private Side:</w:t>
      </w:r>
      <w:r w:rsidRPr="004C3E83">
        <w:rPr>
          <w:rFonts w:ascii="Times New Roman" w:hAnsi="Times New Roman" w:cs="Times New Roman"/>
          <w:sz w:val="24"/>
          <w:szCs w:val="24"/>
          <w:lang w:val="en-US"/>
        </w:rPr>
        <w:t xml:space="preserve"> The investor gains the right to commercially exploit a location with extremely high foot traffic and zoning restrictions (where competitors cannot easily establish themselves), guaranteeing a temporary “economic moat” (competitive advantage).</w:t>
      </w:r>
    </w:p>
    <w:p w14:paraId="2433E756" w14:textId="77777777" w:rsidR="0041058C" w:rsidRPr="004C3E83" w:rsidRDefault="00D95D2C">
      <w:pPr>
        <w:rPr>
          <w:rFonts w:ascii="Times New Roman" w:hAnsi="Times New Roman" w:cs="Times New Roman"/>
          <w:b/>
          <w:bCs/>
          <w:sz w:val="24"/>
          <w:szCs w:val="24"/>
          <w:lang w:val="en-US"/>
        </w:rPr>
      </w:pPr>
      <w:r w:rsidRPr="004C3E83">
        <w:rPr>
          <w:rFonts w:ascii="Times New Roman" w:hAnsi="Times New Roman" w:cs="Times New Roman"/>
          <w:b/>
          <w:bCs/>
          <w:sz w:val="24"/>
          <w:szCs w:val="24"/>
          <w:lang w:val="en-US"/>
        </w:rPr>
        <w:t>The Public Side (The Counterpart):</w:t>
      </w:r>
      <w:r w:rsidRPr="004C3E83">
        <w:rPr>
          <w:rFonts w:ascii="Times New Roman" w:hAnsi="Times New Roman" w:cs="Times New Roman"/>
          <w:sz w:val="24"/>
          <w:szCs w:val="24"/>
          <w:lang w:val="en-US"/>
        </w:rPr>
        <w:t xml:space="preserve"> In exchange for permission to use the land, the project provides for a monthly transfer – structured as a fixed percentage of 5% of gross revenue – allocated to a fund for the conservation and security of the location.</w:t>
      </w:r>
    </w:p>
    <w:p w14:paraId="763E9F50"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b/>
          <w:bCs/>
          <w:sz w:val="24"/>
          <w:szCs w:val="24"/>
          <w:lang w:val="en-US"/>
        </w:rPr>
        <w:t>Positive Externalities:</w:t>
      </w:r>
      <w:r w:rsidRPr="004C3E83">
        <w:rPr>
          <w:rFonts w:ascii="Times New Roman" w:hAnsi="Times New Roman" w:cs="Times New Roman"/>
          <w:sz w:val="24"/>
          <w:szCs w:val="24"/>
          <w:lang w:val="en-US"/>
        </w:rPr>
        <w:t xml:space="preserve"> These funds will directly finance landscaping maintenance, cleaning, and, primarily, the security of the immediate surroundings. This generates a formidable positive externality: the operation shields the jewelry store against theft, while at the same time giving the people of Salvador a safer, better-lit, and better-maintained square, boosting tourism and property values in the region without burdening municipal coffers.</w:t>
      </w:r>
    </w:p>
    <w:p w14:paraId="5B72AE6E" w14:textId="77777777" w:rsidR="0041058C" w:rsidRPr="004C3E83" w:rsidRDefault="0041058C">
      <w:pPr>
        <w:rPr>
          <w:rFonts w:ascii="Times New Roman" w:hAnsi="Times New Roman" w:cs="Times New Roman"/>
          <w:sz w:val="24"/>
          <w:szCs w:val="24"/>
          <w:lang w:val="en-US"/>
        </w:rPr>
      </w:pPr>
    </w:p>
    <w:p w14:paraId="599AA13A" w14:textId="77777777" w:rsidR="0041058C" w:rsidRPr="004C3E83" w:rsidRDefault="0041058C">
      <w:pPr>
        <w:rPr>
          <w:rFonts w:ascii="Times New Roman" w:hAnsi="Times New Roman" w:cs="Times New Roman"/>
          <w:sz w:val="24"/>
          <w:szCs w:val="24"/>
          <w:lang w:val="en-US"/>
        </w:rPr>
      </w:pPr>
    </w:p>
    <w:p w14:paraId="1C282429" w14:textId="77777777" w:rsidR="0041058C" w:rsidRPr="004C3E83" w:rsidRDefault="0041058C">
      <w:pPr>
        <w:rPr>
          <w:rFonts w:ascii="Times New Roman" w:hAnsi="Times New Roman" w:cs="Times New Roman"/>
          <w:sz w:val="24"/>
          <w:szCs w:val="24"/>
          <w:lang w:val="en-US"/>
        </w:rPr>
      </w:pPr>
    </w:p>
    <w:p w14:paraId="4AFFF68F" w14:textId="77777777" w:rsidR="0041058C" w:rsidRPr="004C3E83" w:rsidRDefault="00D95D2C">
      <w:pPr>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2. Assumptions Considered in the Project and Operational Premises</w:t>
      </w:r>
    </w:p>
    <w:p w14:paraId="58A2B898" w14:textId="77777777" w:rsidR="0041058C" w:rsidRPr="004C3E83" w:rsidRDefault="0041058C">
      <w:pPr>
        <w:rPr>
          <w:rFonts w:ascii="Times New Roman" w:hAnsi="Times New Roman" w:cs="Times New Roman"/>
          <w:sz w:val="24"/>
          <w:szCs w:val="24"/>
          <w:lang w:val="en-US"/>
        </w:rPr>
      </w:pPr>
    </w:p>
    <w:p w14:paraId="75908797"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For the composition of revenues and costs, the following market assumptions were adopted, adapted from the average performance per point of sale:</w:t>
      </w:r>
    </w:p>
    <w:p w14:paraId="44AEAD08" w14:textId="77777777" w:rsidR="0041058C" w:rsidRPr="004C3E83" w:rsidRDefault="0041058C">
      <w:pPr>
        <w:rPr>
          <w:rFonts w:ascii="Times New Roman" w:hAnsi="Times New Roman" w:cs="Times New Roman"/>
          <w:sz w:val="24"/>
          <w:szCs w:val="24"/>
          <w:lang w:val="en-US"/>
        </w:rPr>
      </w:pPr>
    </w:p>
    <w:p w14:paraId="7C30EB70" w14:textId="77777777" w:rsidR="0041058C" w:rsidRPr="004C3E83" w:rsidRDefault="00D95D2C">
      <w:pPr>
        <w:rPr>
          <w:rFonts w:ascii="Times New Roman" w:hAnsi="Times New Roman" w:cs="Times New Roman"/>
          <w:sz w:val="24"/>
          <w:szCs w:val="24"/>
          <w:u w:val="single"/>
          <w:lang w:val="en-US"/>
        </w:rPr>
      </w:pPr>
      <w:r w:rsidRPr="004C3E83">
        <w:rPr>
          <w:rFonts w:ascii="Times New Roman" w:hAnsi="Times New Roman" w:cs="Times New Roman"/>
          <w:sz w:val="24"/>
          <w:szCs w:val="24"/>
          <w:u w:val="single"/>
          <w:lang w:val="en-US"/>
        </w:rPr>
        <w:t>Flow and Conversion (Weekly Estimate):</w:t>
      </w:r>
    </w:p>
    <w:p w14:paraId="7BC5183A" w14:textId="77777777" w:rsidR="0041058C" w:rsidRPr="004C3E83" w:rsidRDefault="0041058C">
      <w:pPr>
        <w:rPr>
          <w:rFonts w:ascii="Times New Roman" w:hAnsi="Times New Roman" w:cs="Times New Roman"/>
          <w:sz w:val="24"/>
          <w:szCs w:val="24"/>
          <w:lang w:val="en-US"/>
        </w:rPr>
      </w:pPr>
    </w:p>
    <w:p w14:paraId="533F62AE"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u w:val="single"/>
          <w:lang w:val="en-US"/>
        </w:rPr>
        <w:t>Weekday:</w:t>
      </w:r>
      <w:r w:rsidRPr="004C3E83">
        <w:rPr>
          <w:rFonts w:ascii="Times New Roman" w:hAnsi="Times New Roman" w:cs="Times New Roman"/>
          <w:sz w:val="24"/>
          <w:szCs w:val="24"/>
          <w:lang w:val="en-US"/>
        </w:rPr>
        <w:t xml:space="preserve"> Expected 1,200 visitors/day in the surrounding area; estimated conversion rate of 1.5%; average ticket of **R$ 1,150.00.</w:t>
      </w:r>
    </w:p>
    <w:p w14:paraId="41B97F8F"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u w:val="single"/>
          <w:lang w:val="en-US"/>
        </w:rPr>
        <w:t>Saturday:</w:t>
      </w:r>
      <w:r w:rsidRPr="004C3E83">
        <w:rPr>
          <w:rFonts w:ascii="Times New Roman" w:hAnsi="Times New Roman" w:cs="Times New Roman"/>
          <w:sz w:val="24"/>
          <w:szCs w:val="24"/>
          <w:lang w:val="en-US"/>
        </w:rPr>
        <w:t xml:space="preserve"> Expected 2,500 visitors/day in the surrounding area; estimated conversion rate of 2.0%; average ticket of **R$ 1,300.00**.</w:t>
      </w:r>
    </w:p>
    <w:p w14:paraId="045F5C55"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u w:val="single"/>
          <w:lang w:val="en-US"/>
        </w:rPr>
        <w:t>Sunday/Holiday:</w:t>
      </w:r>
      <w:r w:rsidRPr="004C3E83">
        <w:rPr>
          <w:rFonts w:ascii="Times New Roman" w:hAnsi="Times New Roman" w:cs="Times New Roman"/>
          <w:sz w:val="24"/>
          <w:szCs w:val="24"/>
          <w:lang w:val="en-US"/>
        </w:rPr>
        <w:t xml:space="preserve"> Expected **2,000** visitors/day in the surrounding area; estimated conversion rate of **1.2%**; average ticket of **R$ 1,050.00**.</w:t>
      </w:r>
    </w:p>
    <w:p w14:paraId="5965D203" w14:textId="77777777" w:rsidR="0041058C" w:rsidRPr="004C3E83" w:rsidRDefault="0041058C">
      <w:pPr>
        <w:rPr>
          <w:rFonts w:ascii="Times New Roman" w:hAnsi="Times New Roman" w:cs="Times New Roman"/>
          <w:sz w:val="24"/>
          <w:szCs w:val="24"/>
          <w:lang w:val="en-US"/>
        </w:rPr>
      </w:pPr>
    </w:p>
    <w:p w14:paraId="3236B294"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Tax Regime: Actual Profit (effective rate of deductions and taxes on revenue of 20.3%, per the consolidated Income Statement).</w:t>
      </w:r>
    </w:p>
    <w:p w14:paraId="776DAA69" w14:textId="77777777" w:rsidR="0041058C" w:rsidRPr="004C3E83" w:rsidRDefault="0041058C">
      <w:pPr>
        <w:rPr>
          <w:rFonts w:ascii="Times New Roman" w:hAnsi="Times New Roman" w:cs="Times New Roman"/>
          <w:sz w:val="24"/>
          <w:szCs w:val="24"/>
          <w:lang w:val="en-US"/>
        </w:rPr>
      </w:pPr>
    </w:p>
    <w:p w14:paraId="452F6565"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Partnership Cost (PPP Concession Fee): Transfer of 5.0% of monthly Gross Revenue allocated to the maintenance of the public space and integrated monitoring.</w:t>
      </w:r>
    </w:p>
    <w:p w14:paraId="4651B938" w14:textId="77777777" w:rsidR="0041058C" w:rsidRPr="004C3E83" w:rsidRDefault="0041058C">
      <w:pPr>
        <w:rPr>
          <w:rFonts w:ascii="Times New Roman" w:hAnsi="Times New Roman" w:cs="Times New Roman"/>
          <w:sz w:val="24"/>
          <w:szCs w:val="24"/>
          <w:lang w:val="en-US"/>
        </w:rPr>
      </w:pPr>
    </w:p>
    <w:p w14:paraId="483B77E7"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Discount Rate (MARR/WACC): Set at 15.4% per year for calculating the NPV and discounting the cash flow.</w:t>
      </w:r>
    </w:p>
    <w:p w14:paraId="2C73BB9A" w14:textId="77777777" w:rsidR="0041058C" w:rsidRPr="004C3E83" w:rsidRDefault="0041058C">
      <w:pPr>
        <w:rPr>
          <w:rFonts w:ascii="Times New Roman" w:hAnsi="Times New Roman" w:cs="Times New Roman"/>
          <w:sz w:val="24"/>
          <w:szCs w:val="24"/>
          <w:lang w:val="en-US"/>
        </w:rPr>
      </w:pPr>
    </w:p>
    <w:p w14:paraId="6EF0BEE3" w14:textId="77777777" w:rsidR="0041058C" w:rsidRPr="004C3E83" w:rsidRDefault="0041058C">
      <w:pPr>
        <w:rPr>
          <w:rFonts w:ascii="Times New Roman" w:hAnsi="Times New Roman" w:cs="Times New Roman"/>
          <w:b/>
          <w:bCs/>
          <w:sz w:val="24"/>
          <w:szCs w:val="24"/>
          <w:lang w:val="en-US"/>
        </w:rPr>
      </w:pPr>
    </w:p>
    <w:p w14:paraId="24D7F04B" w14:textId="2CD4F103" w:rsidR="0041058C" w:rsidRPr="004C3E83" w:rsidRDefault="0041058C">
      <w:pPr>
        <w:rPr>
          <w:rFonts w:ascii="Times New Roman" w:hAnsi="Times New Roman" w:cs="Times New Roman"/>
          <w:b/>
          <w:bCs/>
          <w:sz w:val="24"/>
          <w:szCs w:val="24"/>
          <w:lang w:val="en-US"/>
        </w:rPr>
      </w:pPr>
    </w:p>
    <w:p w14:paraId="002EC22E" w14:textId="1CDC1A22" w:rsidR="00A115D7" w:rsidRPr="004C3E83" w:rsidRDefault="00A115D7">
      <w:pPr>
        <w:rPr>
          <w:rFonts w:ascii="Times New Roman" w:hAnsi="Times New Roman" w:cs="Times New Roman"/>
          <w:b/>
          <w:bCs/>
          <w:sz w:val="24"/>
          <w:szCs w:val="24"/>
          <w:lang w:val="en-US"/>
        </w:rPr>
      </w:pPr>
    </w:p>
    <w:p w14:paraId="0CB91002" w14:textId="3910AD1F" w:rsidR="00A115D7" w:rsidRPr="004C3E83" w:rsidRDefault="00A115D7">
      <w:pPr>
        <w:rPr>
          <w:rFonts w:ascii="Times New Roman" w:hAnsi="Times New Roman" w:cs="Times New Roman"/>
          <w:b/>
          <w:bCs/>
          <w:sz w:val="24"/>
          <w:szCs w:val="24"/>
          <w:lang w:val="en-US"/>
        </w:rPr>
      </w:pPr>
    </w:p>
    <w:p w14:paraId="4FCE491D" w14:textId="37D7C8FC" w:rsidR="00A115D7" w:rsidRPr="004C3E83" w:rsidRDefault="00A115D7">
      <w:pPr>
        <w:rPr>
          <w:rFonts w:ascii="Times New Roman" w:hAnsi="Times New Roman" w:cs="Times New Roman"/>
          <w:b/>
          <w:bCs/>
          <w:sz w:val="24"/>
          <w:szCs w:val="24"/>
          <w:lang w:val="en-US"/>
        </w:rPr>
      </w:pPr>
    </w:p>
    <w:p w14:paraId="6C463127" w14:textId="77777777" w:rsidR="00A115D7" w:rsidRPr="004C3E83" w:rsidRDefault="00A115D7">
      <w:pPr>
        <w:rPr>
          <w:rFonts w:ascii="Times New Roman" w:hAnsi="Times New Roman" w:cs="Times New Roman"/>
          <w:b/>
          <w:bCs/>
          <w:sz w:val="24"/>
          <w:szCs w:val="24"/>
          <w:lang w:val="en-US"/>
        </w:rPr>
      </w:pPr>
    </w:p>
    <w:p w14:paraId="0B2A4165" w14:textId="77777777" w:rsidR="0041058C" w:rsidRPr="004C3E83" w:rsidRDefault="0041058C">
      <w:pPr>
        <w:rPr>
          <w:rFonts w:ascii="Times New Roman" w:hAnsi="Times New Roman" w:cs="Times New Roman"/>
          <w:b/>
          <w:bCs/>
          <w:sz w:val="24"/>
          <w:szCs w:val="24"/>
          <w:lang w:val="en-US"/>
        </w:rPr>
      </w:pPr>
    </w:p>
    <w:p w14:paraId="6F1B727E" w14:textId="77777777" w:rsidR="0041058C" w:rsidRPr="00A115D7" w:rsidRDefault="00D95D2C">
      <w:pPr>
        <w:rPr>
          <w:rFonts w:ascii="Times New Roman" w:hAnsi="Times New Roman" w:cs="Times New Roman"/>
          <w:b/>
          <w:bCs/>
          <w:sz w:val="28"/>
          <w:szCs w:val="28"/>
        </w:rPr>
      </w:pPr>
      <w:r>
        <w:rPr>
          <w:rFonts w:ascii="Times New Roman" w:hAnsi="Times New Roman" w:cs="Times New Roman"/>
          <w:b/>
          <w:bCs/>
          <w:sz w:val="28"/>
          <w:szCs w:val="28"/>
        </w:rPr>
        <w:t>3. Income Statement (Projected Monthly)</w:t>
      </w:r>
    </w:p>
    <w:p w14:paraId="0B042B76" w14:textId="77777777" w:rsidR="0041058C" w:rsidRPr="00A115D7" w:rsidRDefault="0041058C">
      <w:pPr>
        <w:rPr>
          <w:rFonts w:ascii="Times New Roman" w:hAnsi="Times New Roman" w:cs="Times New Roman"/>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1058C" w:rsidRPr="00A115D7" w14:paraId="0C471DDD" w14:textId="77777777">
        <w:tc>
          <w:tcPr>
            <w:tcW w:w="4514" w:type="dxa"/>
            <w:shd w:val="clear" w:color="auto" w:fill="auto"/>
            <w:tcMar>
              <w:top w:w="100" w:type="dxa"/>
              <w:left w:w="100" w:type="dxa"/>
              <w:bottom w:w="100" w:type="dxa"/>
              <w:right w:w="100" w:type="dxa"/>
            </w:tcMar>
          </w:tcPr>
          <w:p w14:paraId="3A03FFB2" w14:textId="77777777" w:rsidR="0041058C" w:rsidRPr="00A115D7" w:rsidRDefault="00D95D2C">
            <w:pPr>
              <w:rPr>
                <w:rFonts w:ascii="Times New Roman" w:hAnsi="Times New Roman" w:cs="Times New Roman"/>
                <w:sz w:val="24"/>
                <w:szCs w:val="24"/>
              </w:rPr>
            </w:pPr>
            <w:r>
              <w:rPr>
                <w:rFonts w:ascii="Times New Roman" w:hAnsi="Times New Roman" w:cs="Times New Roman"/>
                <w:sz w:val="24"/>
                <w:szCs w:val="24"/>
              </w:rPr>
              <w:t xml:space="preserve">Summarized Income Statement Line                                                          </w:t>
            </w:r>
          </w:p>
        </w:tc>
        <w:tc>
          <w:tcPr>
            <w:tcW w:w="4514" w:type="dxa"/>
            <w:shd w:val="clear" w:color="auto" w:fill="auto"/>
            <w:tcMar>
              <w:top w:w="100" w:type="dxa"/>
              <w:left w:w="100" w:type="dxa"/>
              <w:bottom w:w="100" w:type="dxa"/>
              <w:right w:w="100" w:type="dxa"/>
            </w:tcMar>
          </w:tcPr>
          <w:p w14:paraId="4675217C"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 of Gross Rev.</w:t>
            </w:r>
          </w:p>
          <w:p w14:paraId="16927960" w14:textId="77777777" w:rsidR="0041058C" w:rsidRPr="00A115D7" w:rsidRDefault="0041058C">
            <w:pPr>
              <w:widowControl w:val="0"/>
              <w:pBdr>
                <w:top w:val="nil"/>
                <w:left w:val="nil"/>
                <w:bottom w:val="nil"/>
                <w:right w:val="nil"/>
                <w:between w:val="nil"/>
              </w:pBdr>
              <w:spacing w:line="240" w:lineRule="auto"/>
              <w:rPr>
                <w:rFonts w:ascii="Times New Roman" w:hAnsi="Times New Roman" w:cs="Times New Roman"/>
                <w:sz w:val="24"/>
                <w:szCs w:val="24"/>
              </w:rPr>
            </w:pPr>
          </w:p>
        </w:tc>
      </w:tr>
      <w:tr w:rsidR="0041058C" w:rsidRPr="00A115D7" w14:paraId="29559551" w14:textId="77777777">
        <w:tc>
          <w:tcPr>
            <w:tcW w:w="4514" w:type="dxa"/>
            <w:shd w:val="clear" w:color="auto" w:fill="auto"/>
            <w:tcMar>
              <w:top w:w="100" w:type="dxa"/>
              <w:left w:w="100" w:type="dxa"/>
              <w:bottom w:w="100" w:type="dxa"/>
              <w:right w:w="100" w:type="dxa"/>
            </w:tcMar>
          </w:tcPr>
          <w:p w14:paraId="1F514D6D" w14:textId="77777777" w:rsidR="0041058C" w:rsidRPr="00A115D7" w:rsidRDefault="00D95D2C">
            <w:pPr>
              <w:rPr>
                <w:rFonts w:ascii="Times New Roman" w:hAnsi="Times New Roman" w:cs="Times New Roman"/>
                <w:sz w:val="24"/>
                <w:szCs w:val="24"/>
              </w:rPr>
            </w:pPr>
            <w:r>
              <w:rPr>
                <w:rFonts w:ascii="Times New Roman" w:hAnsi="Times New Roman" w:cs="Times New Roman"/>
                <w:sz w:val="24"/>
                <w:szCs w:val="24"/>
              </w:rPr>
              <w:t xml:space="preserve">(=) GROSS OPERATING REVENUE                                         </w:t>
            </w:r>
          </w:p>
          <w:p w14:paraId="0D141389" w14:textId="77777777" w:rsidR="0041058C" w:rsidRPr="00A115D7" w:rsidRDefault="0041058C">
            <w:pPr>
              <w:widowControl w:val="0"/>
              <w:pBdr>
                <w:top w:val="nil"/>
                <w:left w:val="nil"/>
                <w:bottom w:val="nil"/>
                <w:right w:val="nil"/>
                <w:between w:val="nil"/>
              </w:pBdr>
              <w:spacing w:line="240" w:lineRule="auto"/>
              <w:rPr>
                <w:rFonts w:ascii="Times New Roman" w:hAnsi="Times New Roman" w:cs="Times New Roman"/>
                <w:sz w:val="24"/>
                <w:szCs w:val="24"/>
              </w:rPr>
            </w:pPr>
          </w:p>
        </w:tc>
        <w:tc>
          <w:tcPr>
            <w:tcW w:w="4514" w:type="dxa"/>
            <w:shd w:val="clear" w:color="auto" w:fill="auto"/>
            <w:tcMar>
              <w:top w:w="100" w:type="dxa"/>
              <w:left w:w="100" w:type="dxa"/>
              <w:bottom w:w="100" w:type="dxa"/>
              <w:right w:w="100" w:type="dxa"/>
            </w:tcMar>
          </w:tcPr>
          <w:p w14:paraId="563E2671"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100.0%</w:t>
            </w:r>
          </w:p>
        </w:tc>
      </w:tr>
      <w:tr w:rsidR="0041058C" w:rsidRPr="00A115D7" w14:paraId="4B64B9CB" w14:textId="77777777">
        <w:tc>
          <w:tcPr>
            <w:tcW w:w="4514" w:type="dxa"/>
            <w:shd w:val="clear" w:color="auto" w:fill="auto"/>
            <w:tcMar>
              <w:top w:w="100" w:type="dxa"/>
              <w:left w:w="100" w:type="dxa"/>
              <w:bottom w:w="100" w:type="dxa"/>
              <w:right w:w="100" w:type="dxa"/>
            </w:tcMar>
          </w:tcPr>
          <w:p w14:paraId="534E1D37" w14:textId="77777777" w:rsidR="0041058C" w:rsidRPr="00A115D7" w:rsidRDefault="00D95D2C">
            <w:pPr>
              <w:rPr>
                <w:rFonts w:ascii="Times New Roman" w:hAnsi="Times New Roman" w:cs="Times New Roman"/>
                <w:sz w:val="24"/>
                <w:szCs w:val="24"/>
              </w:rPr>
            </w:pPr>
            <w:r>
              <w:rPr>
                <w:rFonts w:ascii="Times New Roman" w:hAnsi="Times New Roman" w:cs="Times New Roman"/>
                <w:sz w:val="24"/>
                <w:szCs w:val="24"/>
              </w:rPr>
              <w:t xml:space="preserve">(-) Deductions and Taxes Incurred                                             </w:t>
            </w:r>
          </w:p>
        </w:tc>
        <w:tc>
          <w:tcPr>
            <w:tcW w:w="4514" w:type="dxa"/>
            <w:shd w:val="clear" w:color="auto" w:fill="auto"/>
            <w:tcMar>
              <w:top w:w="100" w:type="dxa"/>
              <w:left w:w="100" w:type="dxa"/>
              <w:bottom w:w="100" w:type="dxa"/>
              <w:right w:w="100" w:type="dxa"/>
            </w:tcMar>
          </w:tcPr>
          <w:p w14:paraId="76C3AA2F"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20.3%</w:t>
            </w:r>
          </w:p>
        </w:tc>
      </w:tr>
      <w:tr w:rsidR="0041058C" w:rsidRPr="00A115D7" w14:paraId="29CEAB4F" w14:textId="77777777">
        <w:tc>
          <w:tcPr>
            <w:tcW w:w="4514" w:type="dxa"/>
            <w:shd w:val="clear" w:color="auto" w:fill="auto"/>
            <w:tcMar>
              <w:top w:w="100" w:type="dxa"/>
              <w:left w:w="100" w:type="dxa"/>
              <w:bottom w:w="100" w:type="dxa"/>
              <w:right w:w="100" w:type="dxa"/>
            </w:tcMar>
          </w:tcPr>
          <w:p w14:paraId="72389029" w14:textId="77777777" w:rsidR="0041058C" w:rsidRPr="00A115D7" w:rsidRDefault="00D95D2C">
            <w:pPr>
              <w:rPr>
                <w:rFonts w:ascii="Times New Roman" w:hAnsi="Times New Roman" w:cs="Times New Roman"/>
                <w:sz w:val="24"/>
                <w:szCs w:val="24"/>
              </w:rPr>
            </w:pPr>
            <w:r>
              <w:rPr>
                <w:rFonts w:ascii="Times New Roman" w:hAnsi="Times New Roman" w:cs="Times New Roman"/>
                <w:sz w:val="24"/>
                <w:szCs w:val="24"/>
              </w:rPr>
              <w:t xml:space="preserve">(-) PPP Transfer (Barra/Graça Maintenance Concession) </w:t>
            </w:r>
          </w:p>
        </w:tc>
        <w:tc>
          <w:tcPr>
            <w:tcW w:w="4514" w:type="dxa"/>
            <w:shd w:val="clear" w:color="auto" w:fill="auto"/>
            <w:tcMar>
              <w:top w:w="100" w:type="dxa"/>
              <w:left w:w="100" w:type="dxa"/>
              <w:bottom w:w="100" w:type="dxa"/>
              <w:right w:w="100" w:type="dxa"/>
            </w:tcMar>
          </w:tcPr>
          <w:p w14:paraId="7EFF78EA"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5.0%</w:t>
            </w:r>
          </w:p>
        </w:tc>
      </w:tr>
      <w:tr w:rsidR="0041058C" w:rsidRPr="00A115D7" w14:paraId="6589E95F" w14:textId="77777777">
        <w:tc>
          <w:tcPr>
            <w:tcW w:w="4514" w:type="dxa"/>
            <w:shd w:val="clear" w:color="auto" w:fill="auto"/>
            <w:tcMar>
              <w:top w:w="100" w:type="dxa"/>
              <w:left w:w="100" w:type="dxa"/>
              <w:bottom w:w="100" w:type="dxa"/>
              <w:right w:w="100" w:type="dxa"/>
            </w:tcMar>
          </w:tcPr>
          <w:p w14:paraId="788ECABD" w14:textId="77777777" w:rsidR="0041058C" w:rsidRPr="00A115D7" w:rsidRDefault="00D95D2C">
            <w:pPr>
              <w:rPr>
                <w:rFonts w:ascii="Times New Roman" w:hAnsi="Times New Roman" w:cs="Times New Roman"/>
                <w:sz w:val="24"/>
                <w:szCs w:val="24"/>
              </w:rPr>
            </w:pPr>
            <w:r>
              <w:rPr>
                <w:rFonts w:ascii="Times New Roman" w:hAnsi="Times New Roman" w:cs="Times New Roman"/>
                <w:sz w:val="24"/>
                <w:szCs w:val="24"/>
              </w:rPr>
              <w:t>(=) NET OPERATING REVENUE</w:t>
            </w:r>
          </w:p>
        </w:tc>
        <w:tc>
          <w:tcPr>
            <w:tcW w:w="4514" w:type="dxa"/>
            <w:shd w:val="clear" w:color="auto" w:fill="auto"/>
            <w:tcMar>
              <w:top w:w="100" w:type="dxa"/>
              <w:left w:w="100" w:type="dxa"/>
              <w:bottom w:w="100" w:type="dxa"/>
              <w:right w:w="100" w:type="dxa"/>
            </w:tcMar>
          </w:tcPr>
          <w:p w14:paraId="1904BB16"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74.7%</w:t>
            </w:r>
          </w:p>
        </w:tc>
      </w:tr>
    </w:tbl>
    <w:p w14:paraId="76CACC0F" w14:textId="77777777" w:rsidR="0041058C" w:rsidRPr="00A115D7" w:rsidRDefault="0041058C">
      <w:pPr>
        <w:rPr>
          <w:rFonts w:ascii="Times New Roman" w:hAnsi="Times New Roman" w:cs="Times New Roman"/>
          <w:sz w:val="24"/>
          <w:szCs w:val="24"/>
        </w:rPr>
      </w:pPr>
    </w:p>
    <w:p w14:paraId="5D034087" w14:textId="77777777" w:rsidR="0041058C" w:rsidRPr="00A115D7" w:rsidRDefault="0041058C">
      <w:pPr>
        <w:rPr>
          <w:rFonts w:ascii="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1058C" w:rsidRPr="00A115D7" w14:paraId="69DA7E59" w14:textId="77777777">
        <w:tc>
          <w:tcPr>
            <w:tcW w:w="4514" w:type="dxa"/>
            <w:shd w:val="clear" w:color="auto" w:fill="auto"/>
            <w:tcMar>
              <w:top w:w="100" w:type="dxa"/>
              <w:left w:w="100" w:type="dxa"/>
              <w:bottom w:w="100" w:type="dxa"/>
              <w:right w:w="100" w:type="dxa"/>
            </w:tcMar>
          </w:tcPr>
          <w:p w14:paraId="60CF563B"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Variable Costs (COGS – Jewelry/</w:t>
            </w:r>
            <w:proofErr w:type="gramStart"/>
            <w:r w:rsidRPr="004C3E83">
              <w:rPr>
                <w:rFonts w:ascii="Times New Roman" w:hAnsi="Times New Roman" w:cs="Times New Roman"/>
                <w:sz w:val="24"/>
                <w:szCs w:val="24"/>
                <w:lang w:val="en-US"/>
              </w:rPr>
              <w:t xml:space="preserve">Supplies)   </w:t>
            </w:r>
            <w:proofErr w:type="gramEnd"/>
            <w:r w:rsidRPr="004C3E83">
              <w:rPr>
                <w:rFonts w:ascii="Times New Roman" w:hAnsi="Times New Roman" w:cs="Times New Roman"/>
                <w:sz w:val="24"/>
                <w:szCs w:val="24"/>
                <w:lang w:val="en-US"/>
              </w:rPr>
              <w:t xml:space="preserve">            </w:t>
            </w:r>
          </w:p>
        </w:tc>
        <w:tc>
          <w:tcPr>
            <w:tcW w:w="4514" w:type="dxa"/>
            <w:shd w:val="clear" w:color="auto" w:fill="auto"/>
            <w:tcMar>
              <w:top w:w="100" w:type="dxa"/>
              <w:left w:w="100" w:type="dxa"/>
              <w:bottom w:w="100" w:type="dxa"/>
              <w:right w:w="100" w:type="dxa"/>
            </w:tcMar>
          </w:tcPr>
          <w:p w14:paraId="0D2BF173"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24.1%</w:t>
            </w:r>
          </w:p>
        </w:tc>
      </w:tr>
      <w:tr w:rsidR="0041058C" w:rsidRPr="00A115D7" w14:paraId="6A70369F" w14:textId="77777777">
        <w:trPr>
          <w:trHeight w:val="746"/>
        </w:trPr>
        <w:tc>
          <w:tcPr>
            <w:tcW w:w="4514" w:type="dxa"/>
            <w:shd w:val="clear" w:color="auto" w:fill="auto"/>
            <w:tcMar>
              <w:top w:w="100" w:type="dxa"/>
              <w:left w:w="100" w:type="dxa"/>
              <w:bottom w:w="100" w:type="dxa"/>
              <w:right w:w="100" w:type="dxa"/>
            </w:tcMar>
          </w:tcPr>
          <w:p w14:paraId="7E2E17A9"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Fixed Operating Costs (Personnel, Utilities, Base Security)</w:t>
            </w:r>
          </w:p>
        </w:tc>
        <w:tc>
          <w:tcPr>
            <w:tcW w:w="4514" w:type="dxa"/>
            <w:shd w:val="clear" w:color="auto" w:fill="auto"/>
            <w:tcMar>
              <w:top w:w="100" w:type="dxa"/>
              <w:left w:w="100" w:type="dxa"/>
              <w:bottom w:w="100" w:type="dxa"/>
              <w:right w:w="100" w:type="dxa"/>
            </w:tcMar>
          </w:tcPr>
          <w:p w14:paraId="494EADD9"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 xml:space="preserve">26.3% </w:t>
            </w:r>
          </w:p>
        </w:tc>
      </w:tr>
      <w:tr w:rsidR="0041058C" w:rsidRPr="00A115D7" w14:paraId="5A744F32" w14:textId="77777777">
        <w:tc>
          <w:tcPr>
            <w:tcW w:w="4514" w:type="dxa"/>
            <w:shd w:val="clear" w:color="auto" w:fill="auto"/>
            <w:tcMar>
              <w:top w:w="100" w:type="dxa"/>
              <w:left w:w="100" w:type="dxa"/>
              <w:bottom w:w="100" w:type="dxa"/>
              <w:right w:w="100" w:type="dxa"/>
            </w:tcMar>
          </w:tcPr>
          <w:p w14:paraId="6DEC54F7" w14:textId="77777777" w:rsidR="0041058C" w:rsidRPr="00A115D7" w:rsidRDefault="00D95D2C">
            <w:pPr>
              <w:rPr>
                <w:rFonts w:ascii="Times New Roman" w:hAnsi="Times New Roman" w:cs="Times New Roman"/>
                <w:sz w:val="24"/>
                <w:szCs w:val="24"/>
              </w:rPr>
            </w:pPr>
            <w:r>
              <w:rPr>
                <w:rFonts w:ascii="Times New Roman" w:hAnsi="Times New Roman" w:cs="Times New Roman"/>
                <w:sz w:val="24"/>
                <w:szCs w:val="24"/>
              </w:rPr>
              <w:t xml:space="preserve">(-) Administrative/General Expenses                                             </w:t>
            </w:r>
          </w:p>
        </w:tc>
        <w:tc>
          <w:tcPr>
            <w:tcW w:w="4514" w:type="dxa"/>
            <w:shd w:val="clear" w:color="auto" w:fill="auto"/>
            <w:tcMar>
              <w:top w:w="100" w:type="dxa"/>
              <w:left w:w="100" w:type="dxa"/>
              <w:bottom w:w="100" w:type="dxa"/>
              <w:right w:w="100" w:type="dxa"/>
            </w:tcMar>
          </w:tcPr>
          <w:p w14:paraId="1E847474"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8.9%</w:t>
            </w:r>
          </w:p>
        </w:tc>
      </w:tr>
      <w:tr w:rsidR="0041058C" w:rsidRPr="00A115D7" w14:paraId="028A0616" w14:textId="77777777">
        <w:tc>
          <w:tcPr>
            <w:tcW w:w="4514" w:type="dxa"/>
            <w:shd w:val="clear" w:color="auto" w:fill="auto"/>
            <w:tcMar>
              <w:top w:w="100" w:type="dxa"/>
              <w:left w:w="100" w:type="dxa"/>
              <w:bottom w:w="100" w:type="dxa"/>
              <w:right w:w="100" w:type="dxa"/>
            </w:tcMar>
          </w:tcPr>
          <w:p w14:paraId="3B0F0ED3"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NET OPERATING RESULT (EBIT/PROFIT)</w:t>
            </w:r>
          </w:p>
        </w:tc>
        <w:tc>
          <w:tcPr>
            <w:tcW w:w="4514" w:type="dxa"/>
            <w:shd w:val="clear" w:color="auto" w:fill="auto"/>
            <w:tcMar>
              <w:top w:w="100" w:type="dxa"/>
              <w:left w:w="100" w:type="dxa"/>
              <w:bottom w:w="100" w:type="dxa"/>
              <w:right w:w="100" w:type="dxa"/>
            </w:tcMar>
          </w:tcPr>
          <w:p w14:paraId="4BB89070" w14:textId="77777777" w:rsidR="0041058C" w:rsidRPr="00A115D7" w:rsidRDefault="00D95D2C">
            <w:pPr>
              <w:jc w:val="center"/>
              <w:rPr>
                <w:rFonts w:ascii="Times New Roman" w:hAnsi="Times New Roman" w:cs="Times New Roman"/>
                <w:sz w:val="24"/>
                <w:szCs w:val="24"/>
              </w:rPr>
            </w:pPr>
            <w:r>
              <w:rPr>
                <w:rFonts w:ascii="Times New Roman" w:hAnsi="Times New Roman" w:cs="Times New Roman"/>
                <w:sz w:val="24"/>
                <w:szCs w:val="24"/>
              </w:rPr>
              <w:t>15.4%</w:t>
            </w:r>
          </w:p>
        </w:tc>
      </w:tr>
    </w:tbl>
    <w:p w14:paraId="041834F7" w14:textId="77777777" w:rsidR="0041058C" w:rsidRPr="00A115D7" w:rsidRDefault="0041058C">
      <w:pPr>
        <w:rPr>
          <w:rFonts w:ascii="Times New Roman" w:hAnsi="Times New Roman" w:cs="Times New Roman"/>
          <w:sz w:val="24"/>
          <w:szCs w:val="24"/>
        </w:rPr>
      </w:pPr>
    </w:p>
    <w:p w14:paraId="2FB49956" w14:textId="77777777" w:rsidR="0041058C" w:rsidRPr="00A115D7" w:rsidRDefault="0041058C">
      <w:pPr>
        <w:rPr>
          <w:rFonts w:ascii="Times New Roman" w:hAnsi="Times New Roman" w:cs="Times New Roman"/>
          <w:sz w:val="24"/>
          <w:szCs w:val="24"/>
        </w:rPr>
      </w:pPr>
    </w:p>
    <w:p w14:paraId="3E6B4C27" w14:textId="77777777" w:rsidR="0041058C" w:rsidRPr="00A115D7" w:rsidRDefault="0041058C">
      <w:pPr>
        <w:rPr>
          <w:rFonts w:ascii="Times New Roman" w:hAnsi="Times New Roman" w:cs="Times New Roman"/>
          <w:sz w:val="24"/>
          <w:szCs w:val="24"/>
        </w:rPr>
      </w:pPr>
    </w:p>
    <w:p w14:paraId="35554F8B" w14:textId="77777777" w:rsidR="0041058C" w:rsidRPr="004C3E83" w:rsidRDefault="00D95D2C">
      <w:pPr>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4. Investment Structure (CAPEX and Working Capital)</w:t>
      </w:r>
    </w:p>
    <w:p w14:paraId="24D961B6" w14:textId="77777777" w:rsidR="0041058C" w:rsidRPr="004C3E83" w:rsidRDefault="0041058C">
      <w:pPr>
        <w:rPr>
          <w:rFonts w:ascii="Times New Roman" w:hAnsi="Times New Roman" w:cs="Times New Roman"/>
          <w:sz w:val="24"/>
          <w:szCs w:val="24"/>
          <w:lang w:val="en-US"/>
        </w:rPr>
      </w:pPr>
    </w:p>
    <w:p w14:paraId="42865144"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CAPEX (Initial Investment – Physical):</w:t>
      </w:r>
    </w:p>
    <w:p w14:paraId="35E888DA" w14:textId="77777777" w:rsidR="0041058C" w:rsidRPr="004C3E83" w:rsidRDefault="0041058C">
      <w:pPr>
        <w:rPr>
          <w:rFonts w:ascii="Times New Roman" w:hAnsi="Times New Roman" w:cs="Times New Roman"/>
          <w:sz w:val="24"/>
          <w:szCs w:val="24"/>
          <w:lang w:val="en-US"/>
        </w:rPr>
      </w:pPr>
    </w:p>
    <w:p w14:paraId="34D6E34B" w14:textId="528E2429"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Infrastructure (Premium boutique, security reinforcement, display cases):</w:t>
      </w:r>
      <w:r w:rsidR="004C3E83">
        <w:rPr>
          <w:rFonts w:ascii="Times New Roman" w:hAnsi="Times New Roman" w:cs="Times New Roman"/>
          <w:sz w:val="24"/>
          <w:szCs w:val="24"/>
          <w:lang w:val="en-US"/>
        </w:rPr>
        <w:t xml:space="preserve"> </w:t>
      </w:r>
      <w:r w:rsidRPr="004C3E83">
        <w:rPr>
          <w:rFonts w:ascii="Times New Roman" w:hAnsi="Times New Roman" w:cs="Times New Roman"/>
          <w:sz w:val="24"/>
          <w:szCs w:val="24"/>
          <w:lang w:val="en-US"/>
        </w:rPr>
        <w:t>R$ 450,000.00</w:t>
      </w:r>
    </w:p>
    <w:p w14:paraId="32DA94C1" w14:textId="63AEE869"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Equipment, IT, Alarm and Monitoring Systems:</w:t>
      </w:r>
      <w:r w:rsidR="004C3E83">
        <w:rPr>
          <w:rFonts w:ascii="Times New Roman" w:hAnsi="Times New Roman" w:cs="Times New Roman"/>
          <w:sz w:val="24"/>
          <w:szCs w:val="24"/>
          <w:lang w:val="en-US"/>
        </w:rPr>
        <w:t xml:space="preserve"> </w:t>
      </w:r>
      <w:r w:rsidRPr="004C3E83">
        <w:rPr>
          <w:rFonts w:ascii="Times New Roman" w:hAnsi="Times New Roman" w:cs="Times New Roman"/>
          <w:sz w:val="24"/>
          <w:szCs w:val="24"/>
          <w:lang w:val="en-US"/>
        </w:rPr>
        <w:t xml:space="preserve"> R$ 250,000.00</w:t>
      </w:r>
    </w:p>
    <w:p w14:paraId="06898828" w14:textId="0365223A"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Licenses, Municipal Fees, Legal Costs</w:t>
      </w:r>
      <w:r w:rsidR="004C3E83">
        <w:rPr>
          <w:rFonts w:ascii="Times New Roman" w:hAnsi="Times New Roman" w:cs="Times New Roman"/>
          <w:sz w:val="24"/>
          <w:szCs w:val="24"/>
          <w:lang w:val="en-US"/>
        </w:rPr>
        <w:t xml:space="preserve">: </w:t>
      </w:r>
      <w:r w:rsidRPr="004C3E83">
        <w:rPr>
          <w:rFonts w:ascii="Times New Roman" w:hAnsi="Times New Roman" w:cs="Times New Roman"/>
          <w:sz w:val="24"/>
          <w:szCs w:val="24"/>
          <w:lang w:val="en-US"/>
        </w:rPr>
        <w:t>R$ 92,707.32</w:t>
      </w:r>
    </w:p>
    <w:p w14:paraId="65392A6A" w14:textId="5EAFFE79"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TOTAL CAPEX</w:t>
      </w:r>
      <w:r w:rsidR="004C3E83">
        <w:rPr>
          <w:rFonts w:ascii="Times New Roman" w:hAnsi="Times New Roman" w:cs="Times New Roman"/>
          <w:sz w:val="24"/>
          <w:szCs w:val="24"/>
          <w:lang w:val="en-US"/>
        </w:rPr>
        <w:t xml:space="preserve">: </w:t>
      </w:r>
      <w:r w:rsidRPr="004C3E83">
        <w:rPr>
          <w:rFonts w:ascii="Times New Roman" w:hAnsi="Times New Roman" w:cs="Times New Roman"/>
          <w:sz w:val="24"/>
          <w:szCs w:val="24"/>
          <w:lang w:val="en-US"/>
        </w:rPr>
        <w:t>R$ 792,707.32</w:t>
      </w:r>
    </w:p>
    <w:p w14:paraId="5D1D1413" w14:textId="77777777" w:rsidR="0041058C" w:rsidRPr="004C3E83" w:rsidRDefault="0041058C">
      <w:pPr>
        <w:rPr>
          <w:rFonts w:ascii="Times New Roman" w:hAnsi="Times New Roman" w:cs="Times New Roman"/>
          <w:sz w:val="24"/>
          <w:szCs w:val="24"/>
          <w:lang w:val="en-US"/>
        </w:rPr>
      </w:pPr>
    </w:p>
    <w:p w14:paraId="3F980880"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Initial Working Capital:</w:t>
      </w:r>
    </w:p>
    <w:p w14:paraId="468AEA0C"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Initial Inventory (Stock of high-value gold and silver jewelry): R$ 1,250,000.00</w:t>
      </w:r>
    </w:p>
    <w:p w14:paraId="5A419624" w14:textId="20C24372"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Operating Reserve (First months of fixed expenses): R$ 233,192.68</w:t>
      </w:r>
    </w:p>
    <w:p w14:paraId="2129BD5E" w14:textId="57A23DEF"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 TOTAL WORKING CAPITAL: R$ 1,483,192.68</w:t>
      </w:r>
    </w:p>
    <w:p w14:paraId="59529444" w14:textId="77777777" w:rsidR="0041058C" w:rsidRPr="004C3E83" w:rsidRDefault="0041058C">
      <w:pPr>
        <w:rPr>
          <w:rFonts w:ascii="Times New Roman" w:hAnsi="Times New Roman" w:cs="Times New Roman"/>
          <w:sz w:val="24"/>
          <w:szCs w:val="24"/>
          <w:lang w:val="en-US"/>
        </w:rPr>
      </w:pPr>
    </w:p>
    <w:p w14:paraId="4E873F4C" w14:textId="062EEBA5" w:rsidR="0041058C"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lastRenderedPageBreak/>
        <w:t>*Note: The total implementation investment in Year 0 consolidates an outflow of R$ 2,275,900.00*</w:t>
      </w:r>
    </w:p>
    <w:p w14:paraId="5112C90B" w14:textId="77777777" w:rsidR="004C3E83" w:rsidRPr="004C3E83" w:rsidRDefault="004C3E83">
      <w:pPr>
        <w:rPr>
          <w:rFonts w:ascii="Times New Roman" w:hAnsi="Times New Roman" w:cs="Times New Roman"/>
          <w:sz w:val="24"/>
          <w:szCs w:val="24"/>
          <w:lang w:val="en-US"/>
        </w:rPr>
      </w:pPr>
    </w:p>
    <w:p w14:paraId="35941EE0" w14:textId="77777777" w:rsidR="0041058C" w:rsidRPr="004C3E83" w:rsidRDefault="00D95D2C">
      <w:pPr>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5. Projected Operating Cash Flow</w:t>
      </w:r>
    </w:p>
    <w:p w14:paraId="16F66ECF" w14:textId="77777777" w:rsidR="004C3E83" w:rsidRDefault="004C3E83">
      <w:pPr>
        <w:rPr>
          <w:rFonts w:ascii="Times New Roman" w:hAnsi="Times New Roman" w:cs="Times New Roman"/>
          <w:sz w:val="24"/>
          <w:szCs w:val="24"/>
          <w:lang w:val="en-US"/>
        </w:rPr>
      </w:pPr>
    </w:p>
    <w:p w14:paraId="2C1D3E77" w14:textId="58B79C5D"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(Projection based on the Expected Scenario from the Valuation Summary)</w:t>
      </w:r>
    </w:p>
    <w:p w14:paraId="78F22196" w14:textId="77777777" w:rsidR="0041058C" w:rsidRPr="004C3E83" w:rsidRDefault="0041058C">
      <w:pPr>
        <w:rPr>
          <w:rFonts w:ascii="Times New Roman" w:hAnsi="Times New Roman" w:cs="Times New Roman"/>
          <w:sz w:val="24"/>
          <w:szCs w:val="24"/>
          <w:lang w:val="en-US"/>
        </w:rPr>
      </w:pPr>
    </w:p>
    <w:p w14:paraId="7BFF66D5"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Period 0 (Initial Investment):</w:t>
      </w:r>
    </w:p>
    <w:p w14:paraId="1018F696"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CAPEX + Total Working Capital:         R$ (2,275,900.00)</w:t>
      </w:r>
    </w:p>
    <w:p w14:paraId="28B8A00D"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Total Cash Flow in Period 0:    R$ (2,275,900.00)</w:t>
      </w:r>
    </w:p>
    <w:p w14:paraId="4DE0D81B" w14:textId="77777777" w:rsidR="0041058C" w:rsidRPr="004C3E83" w:rsidRDefault="0041058C">
      <w:pPr>
        <w:rPr>
          <w:rFonts w:ascii="Times New Roman" w:hAnsi="Times New Roman" w:cs="Times New Roman"/>
          <w:sz w:val="24"/>
          <w:szCs w:val="24"/>
          <w:lang w:val="en-US"/>
        </w:rPr>
      </w:pPr>
    </w:p>
    <w:p w14:paraId="45CF654A"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Annual Net Cash Flows (Year 1 to Year 4):</w:t>
      </w:r>
    </w:p>
    <w:p w14:paraId="406DADC9" w14:textId="77777777" w:rsidR="0041058C" w:rsidRPr="004C3E83" w:rsidRDefault="0041058C">
      <w:pPr>
        <w:rPr>
          <w:rFonts w:ascii="Times New Roman" w:hAnsi="Times New Roman" w:cs="Times New Roman"/>
          <w:sz w:val="24"/>
          <w:szCs w:val="24"/>
          <w:lang w:val="en-US"/>
        </w:rPr>
      </w:pPr>
    </w:p>
    <w:p w14:paraId="02DFCE21" w14:textId="77777777" w:rsidR="00A115D7" w:rsidRDefault="00D95D2C" w:rsidP="00A115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Year 1:   R$ 312,800.00</w:t>
      </w:r>
    </w:p>
    <w:p w14:paraId="73E6C237" w14:textId="77777777" w:rsidR="00A115D7" w:rsidRDefault="00D95D2C" w:rsidP="00A115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Year 2:   R$ 688,400.00</w:t>
      </w:r>
    </w:p>
    <w:p w14:paraId="59489A20" w14:textId="77777777" w:rsidR="00A115D7" w:rsidRDefault="00D95D2C" w:rsidP="00A115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Year 3:   R$ 1,136,300.00</w:t>
      </w:r>
    </w:p>
    <w:p w14:paraId="6CAE3837" w14:textId="18037FC0" w:rsidR="0041058C" w:rsidRPr="00A115D7" w:rsidRDefault="00D95D2C" w:rsidP="00A115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Year 4:   R$ 1,250,300.00</w:t>
      </w:r>
    </w:p>
    <w:p w14:paraId="72AF7D14" w14:textId="77777777" w:rsidR="0041058C" w:rsidRPr="00A115D7" w:rsidRDefault="0041058C">
      <w:pPr>
        <w:rPr>
          <w:rFonts w:ascii="Times New Roman" w:hAnsi="Times New Roman" w:cs="Times New Roman"/>
          <w:sz w:val="24"/>
          <w:szCs w:val="24"/>
        </w:rPr>
      </w:pPr>
    </w:p>
    <w:p w14:paraId="515E6612" w14:textId="77777777" w:rsidR="0041058C" w:rsidRPr="00A115D7" w:rsidRDefault="0041058C">
      <w:pPr>
        <w:rPr>
          <w:rFonts w:ascii="Times New Roman" w:hAnsi="Times New Roman" w:cs="Times New Roman"/>
          <w:sz w:val="24"/>
          <w:szCs w:val="24"/>
        </w:rPr>
      </w:pPr>
    </w:p>
    <w:p w14:paraId="2D7E997B" w14:textId="77777777" w:rsidR="0041058C" w:rsidRPr="00A115D7" w:rsidRDefault="00D95D2C">
      <w:pPr>
        <w:rPr>
          <w:rFonts w:ascii="Times New Roman" w:hAnsi="Times New Roman" w:cs="Times New Roman"/>
          <w:b/>
          <w:bCs/>
          <w:sz w:val="28"/>
          <w:szCs w:val="28"/>
        </w:rPr>
      </w:pPr>
      <w:r>
        <w:rPr>
          <w:rFonts w:ascii="Times New Roman" w:hAnsi="Times New Roman" w:cs="Times New Roman"/>
          <w:b/>
          <w:bCs/>
          <w:sz w:val="28"/>
          <w:szCs w:val="28"/>
        </w:rPr>
        <w:t>6. Financial Indicators and Sensitivity Analysis</w:t>
      </w:r>
    </w:p>
    <w:p w14:paraId="6CD2CE76" w14:textId="77777777" w:rsidR="0041058C" w:rsidRPr="00A115D7" w:rsidRDefault="0041058C">
      <w:pPr>
        <w:rPr>
          <w:rFonts w:ascii="Times New Roman" w:hAnsi="Times New Roman" w:cs="Times New Roman"/>
          <w:sz w:val="24"/>
          <w:szCs w:val="24"/>
        </w:rPr>
      </w:pPr>
    </w:p>
    <w:p w14:paraId="6E476958" w14:textId="77777777" w:rsidR="0041058C" w:rsidRPr="004C3E83" w:rsidRDefault="00D95D2C">
      <w:pPr>
        <w:rPr>
          <w:rFonts w:ascii="Times New Roman" w:hAnsi="Times New Roman" w:cs="Times New Roman"/>
          <w:sz w:val="24"/>
          <w:szCs w:val="24"/>
          <w:u w:val="single"/>
          <w:lang w:val="en-US"/>
        </w:rPr>
      </w:pPr>
      <w:r w:rsidRPr="004C3E83">
        <w:rPr>
          <w:rFonts w:ascii="Times New Roman" w:hAnsi="Times New Roman" w:cs="Times New Roman"/>
          <w:sz w:val="24"/>
          <w:szCs w:val="24"/>
          <w:u w:val="single"/>
          <w:lang w:val="en-US"/>
        </w:rPr>
        <w:t>Project Indicators (Base Scenario – Expected):</w:t>
      </w:r>
    </w:p>
    <w:p w14:paraId="44A14523" w14:textId="77777777" w:rsidR="0041058C" w:rsidRPr="004C3E83" w:rsidRDefault="0041058C">
      <w:pPr>
        <w:rPr>
          <w:rFonts w:ascii="Times New Roman" w:hAnsi="Times New Roman" w:cs="Times New Roman"/>
          <w:sz w:val="24"/>
          <w:szCs w:val="24"/>
          <w:lang w:val="en-US"/>
        </w:rPr>
      </w:pPr>
    </w:p>
    <w:p w14:paraId="4565F521" w14:textId="77777777" w:rsidR="00A115D7" w:rsidRPr="004C3E83" w:rsidRDefault="00D95D2C" w:rsidP="00A115D7">
      <w:pPr>
        <w:pStyle w:val="ListParagraph"/>
        <w:numPr>
          <w:ilvl w:val="0"/>
          <w:numId w:val="2"/>
        </w:numPr>
        <w:rPr>
          <w:rFonts w:ascii="Times New Roman" w:hAnsi="Times New Roman" w:cs="Times New Roman"/>
          <w:sz w:val="24"/>
          <w:szCs w:val="24"/>
          <w:lang w:val="en-US"/>
        </w:rPr>
      </w:pPr>
      <w:r w:rsidRPr="004C3E83">
        <w:rPr>
          <w:rFonts w:ascii="Times New Roman" w:hAnsi="Times New Roman" w:cs="Times New Roman"/>
          <w:sz w:val="24"/>
          <w:szCs w:val="24"/>
          <w:lang w:val="en-US"/>
        </w:rPr>
        <w:t>NPV (Net Present Value): R$6,220,100.00 (The project generates strong value creation beyond the 15.4% MARR).</w:t>
      </w:r>
    </w:p>
    <w:p w14:paraId="1E4E65FA" w14:textId="77777777" w:rsidR="00A115D7" w:rsidRPr="004C3E83" w:rsidRDefault="00D95D2C" w:rsidP="00A115D7">
      <w:pPr>
        <w:pStyle w:val="ListParagraph"/>
        <w:numPr>
          <w:ilvl w:val="0"/>
          <w:numId w:val="2"/>
        </w:numPr>
        <w:rPr>
          <w:rFonts w:ascii="Times New Roman" w:hAnsi="Times New Roman" w:cs="Times New Roman"/>
          <w:sz w:val="24"/>
          <w:szCs w:val="24"/>
          <w:lang w:val="en-US"/>
        </w:rPr>
      </w:pPr>
      <w:r w:rsidRPr="004C3E83">
        <w:rPr>
          <w:rFonts w:ascii="Times New Roman" w:hAnsi="Times New Roman" w:cs="Times New Roman"/>
          <w:sz w:val="24"/>
          <w:szCs w:val="24"/>
          <w:lang w:val="en-US"/>
        </w:rPr>
        <w:t>IRR (Internal Rate of Return): 57.8%</w:t>
      </w:r>
    </w:p>
    <w:p w14:paraId="279DA3F6" w14:textId="513CA337" w:rsidR="0041058C" w:rsidRPr="00A115D7" w:rsidRDefault="00D95D2C" w:rsidP="00A115D7">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Discounted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Payback</w:t>
      </w:r>
      <w:proofErr w:type="spellEnd"/>
      <w:r>
        <w:rPr>
          <w:rFonts w:ascii="Times New Roman" w:hAnsi="Times New Roman" w:cs="Times New Roman"/>
          <w:sz w:val="24"/>
          <w:szCs w:val="24"/>
        </w:rPr>
        <w:t xml:space="preserve">: 4.0 </w:t>
      </w:r>
      <w:proofErr w:type="spellStart"/>
      <w:r>
        <w:rPr>
          <w:rFonts w:ascii="Times New Roman" w:hAnsi="Times New Roman" w:cs="Times New Roman"/>
          <w:sz w:val="24"/>
          <w:szCs w:val="24"/>
        </w:rPr>
        <w:t>years</w:t>
      </w:r>
      <w:proofErr w:type="spellEnd"/>
      <w:r>
        <w:rPr>
          <w:rFonts w:ascii="Times New Roman" w:hAnsi="Times New Roman" w:cs="Times New Roman"/>
          <w:sz w:val="24"/>
          <w:szCs w:val="24"/>
        </w:rPr>
        <w:t xml:space="preserve"> (48 months)</w:t>
      </w:r>
    </w:p>
    <w:p w14:paraId="65A7D2DB" w14:textId="77777777" w:rsidR="0041058C" w:rsidRPr="00A115D7" w:rsidRDefault="0041058C">
      <w:pPr>
        <w:rPr>
          <w:rFonts w:ascii="Times New Roman" w:hAnsi="Times New Roman" w:cs="Times New Roman"/>
          <w:sz w:val="24"/>
          <w:szCs w:val="24"/>
        </w:rPr>
      </w:pPr>
    </w:p>
    <w:p w14:paraId="72510820" w14:textId="77777777" w:rsidR="0041058C" w:rsidRPr="00A115D7" w:rsidRDefault="0041058C">
      <w:pPr>
        <w:rPr>
          <w:rFonts w:ascii="Times New Roman" w:hAnsi="Times New Roman" w:cs="Times New Roman"/>
          <w:sz w:val="24"/>
          <w:szCs w:val="24"/>
        </w:rPr>
      </w:pPr>
    </w:p>
    <w:p w14:paraId="29B1BB66" w14:textId="77777777" w:rsidR="0041058C" w:rsidRPr="00A115D7" w:rsidRDefault="00D95D2C">
      <w:pPr>
        <w:rPr>
          <w:rFonts w:ascii="Times New Roman" w:hAnsi="Times New Roman" w:cs="Times New Roman"/>
          <w:sz w:val="24"/>
          <w:szCs w:val="24"/>
          <w:u w:val="single"/>
        </w:rPr>
      </w:pPr>
      <w:r>
        <w:rPr>
          <w:rFonts w:ascii="Times New Roman" w:hAnsi="Times New Roman" w:cs="Times New Roman"/>
          <w:sz w:val="24"/>
          <w:szCs w:val="24"/>
          <w:u w:val="single"/>
        </w:rPr>
        <w:t>Sensitivity Analysis (Extremes):</w:t>
      </w:r>
    </w:p>
    <w:p w14:paraId="226EF0A1" w14:textId="77777777" w:rsidR="0041058C" w:rsidRPr="00A115D7" w:rsidRDefault="0041058C">
      <w:pPr>
        <w:rPr>
          <w:rFonts w:ascii="Times New Roman" w:hAnsi="Times New Roman" w:cs="Times New Roman"/>
          <w:sz w:val="24"/>
          <w:szCs w:val="24"/>
        </w:rPr>
      </w:pPr>
    </w:p>
    <w:p w14:paraId="5DCAA6A2" w14:textId="0705B892" w:rsidR="00A115D7" w:rsidRPr="004C3E83" w:rsidRDefault="00D95D2C" w:rsidP="00A115D7">
      <w:pPr>
        <w:pStyle w:val="ListParagraph"/>
        <w:numPr>
          <w:ilvl w:val="0"/>
          <w:numId w:val="3"/>
        </w:numPr>
        <w:rPr>
          <w:rFonts w:ascii="Times New Roman" w:hAnsi="Times New Roman" w:cs="Times New Roman"/>
          <w:sz w:val="24"/>
          <w:szCs w:val="24"/>
          <w:lang w:val="en-US"/>
        </w:rPr>
      </w:pPr>
      <w:r w:rsidRPr="004C3E83">
        <w:rPr>
          <w:rFonts w:ascii="Times New Roman" w:hAnsi="Times New Roman" w:cs="Times New Roman"/>
          <w:sz w:val="24"/>
          <w:szCs w:val="24"/>
          <w:lang w:val="en-US"/>
        </w:rPr>
        <w:t>Optimistic Scenario: NPV of R$ 7,931,000.00 | IRR of 62.7%.</w:t>
      </w:r>
    </w:p>
    <w:p w14:paraId="6FFB0338" w14:textId="01866374" w:rsidR="0041058C" w:rsidRPr="004C3E83" w:rsidRDefault="00D95D2C" w:rsidP="00A115D7">
      <w:pPr>
        <w:pStyle w:val="ListParagraph"/>
        <w:numPr>
          <w:ilvl w:val="0"/>
          <w:numId w:val="3"/>
        </w:numPr>
        <w:rPr>
          <w:rFonts w:ascii="Times New Roman" w:hAnsi="Times New Roman" w:cs="Times New Roman"/>
          <w:sz w:val="24"/>
          <w:szCs w:val="24"/>
          <w:lang w:val="en-US"/>
        </w:rPr>
      </w:pPr>
      <w:r w:rsidRPr="004C3E83">
        <w:rPr>
          <w:rFonts w:ascii="Times New Roman" w:hAnsi="Times New Roman" w:cs="Times New Roman"/>
          <w:sz w:val="24"/>
          <w:szCs w:val="24"/>
          <w:lang w:val="en-US"/>
        </w:rPr>
        <w:t>Pessimistic Scenario: NPV of R$ 4,685,800.00 | IRR of 51.7%.</w:t>
      </w:r>
    </w:p>
    <w:p w14:paraId="0BB7630C" w14:textId="77777777" w:rsidR="0041058C" w:rsidRPr="004C3E83" w:rsidRDefault="0041058C">
      <w:pPr>
        <w:rPr>
          <w:rFonts w:ascii="Times New Roman" w:hAnsi="Times New Roman" w:cs="Times New Roman"/>
          <w:sz w:val="24"/>
          <w:szCs w:val="24"/>
          <w:lang w:val="en-US"/>
        </w:rPr>
      </w:pPr>
    </w:p>
    <w:p w14:paraId="155F85D3" w14:textId="77777777" w:rsidR="0041058C" w:rsidRPr="004C3E83" w:rsidRDefault="0041058C">
      <w:pPr>
        <w:rPr>
          <w:rFonts w:ascii="Times New Roman" w:hAnsi="Times New Roman" w:cs="Times New Roman"/>
          <w:sz w:val="24"/>
          <w:szCs w:val="24"/>
          <w:lang w:val="en-US"/>
        </w:rPr>
      </w:pPr>
    </w:p>
    <w:p w14:paraId="0C9DA78D" w14:textId="77777777" w:rsidR="0041058C" w:rsidRPr="004C3E83" w:rsidRDefault="00D95D2C">
      <w:pPr>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7. Associated Risks and Mitigations</w:t>
      </w:r>
    </w:p>
    <w:p w14:paraId="17319308" w14:textId="77777777" w:rsidR="0041058C" w:rsidRPr="004C3E83" w:rsidRDefault="0041058C">
      <w:pPr>
        <w:rPr>
          <w:rFonts w:ascii="Times New Roman" w:hAnsi="Times New Roman" w:cs="Times New Roman"/>
          <w:sz w:val="24"/>
          <w:szCs w:val="24"/>
          <w:lang w:val="en-US"/>
        </w:rPr>
      </w:pPr>
    </w:p>
    <w:p w14:paraId="63E26655"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Public Safety Risk: mitigated through the PPP counterpart contribution (5% of revenue). The investment subsidizes overt private security and 24-hour monitoring integrated with the Military Police's COPOM (command and control center), creating a relatively secure perimeter in Barra/</w:t>
      </w:r>
      <w:proofErr w:type="spellStart"/>
      <w:r w:rsidRPr="004C3E83">
        <w:rPr>
          <w:rFonts w:ascii="Times New Roman" w:hAnsi="Times New Roman" w:cs="Times New Roman"/>
          <w:sz w:val="24"/>
          <w:szCs w:val="24"/>
          <w:lang w:val="en-US"/>
        </w:rPr>
        <w:t>Graça</w:t>
      </w:r>
      <w:proofErr w:type="spellEnd"/>
      <w:r w:rsidRPr="004C3E83">
        <w:rPr>
          <w:rFonts w:ascii="Times New Roman" w:hAnsi="Times New Roman" w:cs="Times New Roman"/>
          <w:sz w:val="24"/>
          <w:szCs w:val="24"/>
          <w:lang w:val="en-US"/>
        </w:rPr>
        <w:t>/Vitória.</w:t>
      </w:r>
    </w:p>
    <w:p w14:paraId="7F7CAF34" w14:textId="77777777" w:rsidR="0041058C" w:rsidRPr="004C3E83" w:rsidRDefault="0041058C">
      <w:pPr>
        <w:rPr>
          <w:rFonts w:ascii="Times New Roman" w:hAnsi="Times New Roman" w:cs="Times New Roman"/>
          <w:sz w:val="24"/>
          <w:szCs w:val="24"/>
          <w:lang w:val="en-US"/>
        </w:rPr>
      </w:pPr>
    </w:p>
    <w:p w14:paraId="6D5A6668"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lastRenderedPageBreak/>
        <w:t>Demand Risk: Mitigated by the strategic positioning (tourist circuit and high-end residential area) and by the resilience of high-income consumers to adverse economic cycles.</w:t>
      </w:r>
    </w:p>
    <w:p w14:paraId="4017A230" w14:textId="77777777" w:rsidR="0041058C" w:rsidRPr="004C3E83" w:rsidRDefault="0041058C">
      <w:pPr>
        <w:rPr>
          <w:rFonts w:ascii="Times New Roman" w:hAnsi="Times New Roman" w:cs="Times New Roman"/>
          <w:sz w:val="24"/>
          <w:szCs w:val="24"/>
          <w:lang w:val="en-US"/>
        </w:rPr>
      </w:pPr>
    </w:p>
    <w:p w14:paraId="65B5CF65" w14:textId="77777777"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Inventory (Turnover) Risk: The capital tied up in inventory (representing the largest share of the initial investment) has inherent mitigation due to the nature of the assets (gold and precious stones), which act as a store of value against inflationary pressures.</w:t>
      </w:r>
    </w:p>
    <w:p w14:paraId="0AE24C3B" w14:textId="77777777" w:rsidR="0041058C" w:rsidRPr="004C3E83" w:rsidRDefault="0041058C">
      <w:pPr>
        <w:rPr>
          <w:rFonts w:ascii="Times New Roman" w:hAnsi="Times New Roman" w:cs="Times New Roman"/>
          <w:sz w:val="24"/>
          <w:szCs w:val="24"/>
          <w:lang w:val="en-US"/>
        </w:rPr>
      </w:pPr>
    </w:p>
    <w:p w14:paraId="2693348C" w14:textId="77777777" w:rsidR="0041058C" w:rsidRPr="004C3E83" w:rsidRDefault="0041058C">
      <w:pPr>
        <w:rPr>
          <w:rFonts w:ascii="Times New Roman" w:hAnsi="Times New Roman" w:cs="Times New Roman"/>
          <w:sz w:val="24"/>
          <w:szCs w:val="24"/>
          <w:lang w:val="en-US"/>
        </w:rPr>
      </w:pPr>
    </w:p>
    <w:p w14:paraId="7853B2C7" w14:textId="77777777" w:rsidR="0041058C" w:rsidRPr="004C3E83" w:rsidRDefault="00D95D2C">
      <w:pPr>
        <w:rPr>
          <w:rFonts w:ascii="Times New Roman" w:hAnsi="Times New Roman" w:cs="Times New Roman"/>
          <w:b/>
          <w:bCs/>
          <w:sz w:val="28"/>
          <w:szCs w:val="28"/>
          <w:lang w:val="en-US"/>
        </w:rPr>
      </w:pPr>
      <w:r w:rsidRPr="004C3E83">
        <w:rPr>
          <w:rFonts w:ascii="Times New Roman" w:hAnsi="Times New Roman" w:cs="Times New Roman"/>
          <w:b/>
          <w:bCs/>
          <w:sz w:val="28"/>
          <w:szCs w:val="28"/>
          <w:lang w:val="en-US"/>
        </w:rPr>
        <w:t>8. Final Feasibility Assessment</w:t>
      </w:r>
    </w:p>
    <w:p w14:paraId="3DFE66EB" w14:textId="77777777" w:rsidR="0041058C" w:rsidRPr="004C3E83" w:rsidRDefault="0041058C">
      <w:pPr>
        <w:rPr>
          <w:rFonts w:ascii="Times New Roman" w:hAnsi="Times New Roman" w:cs="Times New Roman"/>
          <w:sz w:val="24"/>
          <w:szCs w:val="24"/>
          <w:lang w:val="en-US"/>
        </w:rPr>
      </w:pPr>
    </w:p>
    <w:p w14:paraId="6365B54B" w14:textId="6C99E860" w:rsidR="0041058C" w:rsidRPr="004C3E83" w:rsidRDefault="00D95D2C">
      <w:pPr>
        <w:rPr>
          <w:rFonts w:ascii="Times New Roman" w:hAnsi="Times New Roman" w:cs="Times New Roman"/>
          <w:sz w:val="24"/>
          <w:szCs w:val="24"/>
          <w:lang w:val="en-US"/>
        </w:rPr>
      </w:pPr>
      <w:r w:rsidRPr="004C3E83">
        <w:rPr>
          <w:rFonts w:ascii="Times New Roman" w:hAnsi="Times New Roman" w:cs="Times New Roman"/>
          <w:sz w:val="24"/>
          <w:szCs w:val="24"/>
          <w:lang w:val="en-US"/>
        </w:rPr>
        <w:t>Based on the economic indicators calculated under the Normal Scenario, the jewelry store implementation project in the Barra/</w:t>
      </w:r>
      <w:proofErr w:type="spellStart"/>
      <w:r w:rsidRPr="004C3E83">
        <w:rPr>
          <w:rFonts w:ascii="Times New Roman" w:hAnsi="Times New Roman" w:cs="Times New Roman"/>
          <w:sz w:val="24"/>
          <w:szCs w:val="24"/>
          <w:lang w:val="en-US"/>
        </w:rPr>
        <w:t>Graça</w:t>
      </w:r>
      <w:proofErr w:type="spellEnd"/>
      <w:r w:rsidRPr="004C3E83">
        <w:rPr>
          <w:rFonts w:ascii="Times New Roman" w:hAnsi="Times New Roman" w:cs="Times New Roman"/>
          <w:sz w:val="24"/>
          <w:szCs w:val="24"/>
          <w:lang w:val="en-US"/>
        </w:rPr>
        <w:t xml:space="preserve"> Region is presented as </w:t>
      </w:r>
      <w:r w:rsidRPr="004C3E83">
        <w:rPr>
          <w:rFonts w:ascii="Times New Roman" w:hAnsi="Times New Roman" w:cs="Times New Roman"/>
          <w:b/>
          <w:bCs/>
          <w:sz w:val="24"/>
          <w:szCs w:val="24"/>
          <w:lang w:val="en-US"/>
        </w:rPr>
        <w:t>FINANCIALLY VIABLE</w:t>
      </w:r>
      <w:r w:rsidRPr="004C3E83">
        <w:rPr>
          <w:rFonts w:ascii="Times New Roman" w:hAnsi="Times New Roman" w:cs="Times New Roman"/>
          <w:sz w:val="24"/>
          <w:szCs w:val="24"/>
          <w:lang w:val="en-US"/>
        </w:rPr>
        <w:t>. The Net Present Value (NPV) came to R$ 6,220,100.00, accompanied by an Internal Rate of Return (IRR) of 57.8%, comfortably exceeding the Minimum Attractive Rate of Return (15.4%) stipulated for the sector. The capital recovery time (discounted payback) of 48 months demonstrates a safe return, fully consistent with the entry barriers and inventory risk of the luxury market. Additionally, the Public-Private Partnership model proved sustainable, given that the operation supports the 5% transfer of gross revenue for the conservation and security of the public space without compromising the unit's free cash flow (FCF) generation.</w:t>
      </w:r>
    </w:p>
    <w:sectPr w:rsidR="0041058C" w:rsidRPr="004C3E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86C73E0-5C60-4BDA-AC3E-7468CCF20823}"/>
  </w:font>
  <w:font w:name="Cambria">
    <w:panose1 w:val="02040503050406030204"/>
    <w:charset w:val="00"/>
    <w:family w:val="roman"/>
    <w:pitch w:val="variable"/>
    <w:sig w:usb0="E00006FF" w:usb1="420024FF" w:usb2="02000000" w:usb3="00000000" w:csb0="0000019F" w:csb1="00000000"/>
    <w:embedRegular r:id="rId2" w:fontKey="{BBD3D56F-25DA-4655-89C4-E78B81F6D3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257FE"/>
    <w:multiLevelType w:val="multilevel"/>
    <w:tmpl w:val="0DE43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AA752C"/>
    <w:multiLevelType w:val="hybridMultilevel"/>
    <w:tmpl w:val="CAF4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6159D"/>
    <w:multiLevelType w:val="hybridMultilevel"/>
    <w:tmpl w:val="D522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D427C1"/>
    <w:multiLevelType w:val="hybridMultilevel"/>
    <w:tmpl w:val="BAF2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58C"/>
    <w:rsid w:val="0041058C"/>
    <w:rsid w:val="004C3E83"/>
    <w:rsid w:val="00A115D7"/>
    <w:rsid w:val="00D9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E2D0B"/>
  <w15:docId w15:val="{AA3A642C-1B18-4ADF-8D24-89FDDE08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A115D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115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279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 Cavalcante</cp:lastModifiedBy>
  <cp:revision>3</cp:revision>
  <dcterms:created xsi:type="dcterms:W3CDTF">2026-06-28T20:42:00Z</dcterms:created>
  <dcterms:modified xsi:type="dcterms:W3CDTF">2026-09-25T20:18:00Z</dcterms:modified>
</cp:coreProperties>
</file>